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0216A" w14:textId="5ABCD340" w:rsidR="00497451" w:rsidRPr="00BC4255" w:rsidRDefault="002659A7" w:rsidP="00BC4255">
      <w:pPr>
        <w:jc w:val="center"/>
        <w:rPr>
          <w:b/>
          <w:bCs/>
        </w:rPr>
      </w:pPr>
      <w:r>
        <w:rPr>
          <w:b/>
          <w:bCs/>
          <w:noProof/>
        </w:rPr>
        <w:drawing>
          <wp:anchor distT="0" distB="0" distL="114300" distR="114300" simplePos="0" relativeHeight="251661312" behindDoc="0" locked="0" layoutInCell="1" allowOverlap="1" wp14:anchorId="28669EAC" wp14:editId="5A3B2BC2">
            <wp:simplePos x="0" y="0"/>
            <wp:positionH relativeFrom="margin">
              <wp:posOffset>4724400</wp:posOffset>
            </wp:positionH>
            <wp:positionV relativeFrom="paragraph">
              <wp:posOffset>-485775</wp:posOffset>
            </wp:positionV>
            <wp:extent cx="1333500" cy="553515"/>
            <wp:effectExtent l="0" t="0" r="0" b="0"/>
            <wp:wrapNone/>
            <wp:docPr id="8253304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30407" name="Picture 8253304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3500" cy="553515"/>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60288" behindDoc="0" locked="0" layoutInCell="1" allowOverlap="1" wp14:anchorId="2A981C9F" wp14:editId="18671B57">
            <wp:simplePos x="0" y="0"/>
            <wp:positionH relativeFrom="column">
              <wp:posOffset>2847975</wp:posOffset>
            </wp:positionH>
            <wp:positionV relativeFrom="paragraph">
              <wp:posOffset>-295275</wp:posOffset>
            </wp:positionV>
            <wp:extent cx="1585327" cy="333375"/>
            <wp:effectExtent l="0" t="0" r="0" b="0"/>
            <wp:wrapNone/>
            <wp:docPr id="1868569911" name="Picture 3" descr="A grey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569911" name="Picture 3" descr="A grey and white logo&#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5327" cy="333375"/>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64384" behindDoc="0" locked="0" layoutInCell="1" allowOverlap="1" wp14:anchorId="0775A015" wp14:editId="6ED8B67C">
            <wp:simplePos x="0" y="0"/>
            <wp:positionH relativeFrom="column">
              <wp:posOffset>1438884</wp:posOffset>
            </wp:positionH>
            <wp:positionV relativeFrom="paragraph">
              <wp:posOffset>-571500</wp:posOffset>
            </wp:positionV>
            <wp:extent cx="1247775" cy="754113"/>
            <wp:effectExtent l="0" t="0" r="0" b="8255"/>
            <wp:wrapNone/>
            <wp:docPr id="47200778" name="Picture 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0778" name="Picture 7" descr="A blue and white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47775" cy="754113"/>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59264" behindDoc="0" locked="0" layoutInCell="1" allowOverlap="1" wp14:anchorId="45ECA101" wp14:editId="45BD8EF5">
            <wp:simplePos x="0" y="0"/>
            <wp:positionH relativeFrom="margin">
              <wp:align>left</wp:align>
            </wp:positionH>
            <wp:positionV relativeFrom="paragraph">
              <wp:posOffset>-723900</wp:posOffset>
            </wp:positionV>
            <wp:extent cx="1133475" cy="1133475"/>
            <wp:effectExtent l="0" t="0" r="9525" b="9525"/>
            <wp:wrapNone/>
            <wp:docPr id="1687534813" name="Picture 1"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34813" name="Picture 1" descr="A red and white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14:sizeRelH relativeFrom="margin">
              <wp14:pctWidth>0</wp14:pctWidth>
            </wp14:sizeRelH>
            <wp14:sizeRelV relativeFrom="margin">
              <wp14:pctHeight>0</wp14:pctHeight>
            </wp14:sizeRelV>
          </wp:anchor>
        </w:drawing>
      </w:r>
    </w:p>
    <w:p w14:paraId="4EE197A1" w14:textId="1936277C" w:rsidR="00283E2D" w:rsidRDefault="002659A7" w:rsidP="00921687">
      <w:pPr>
        <w:spacing w:after="0"/>
        <w:rPr>
          <w:sz w:val="22"/>
          <w:szCs w:val="22"/>
        </w:rPr>
      </w:pPr>
      <w:r>
        <w:rPr>
          <w:noProof/>
          <w:sz w:val="22"/>
          <w:szCs w:val="22"/>
        </w:rPr>
        <w:drawing>
          <wp:anchor distT="0" distB="0" distL="114300" distR="114300" simplePos="0" relativeHeight="251663360" behindDoc="0" locked="0" layoutInCell="1" allowOverlap="1" wp14:anchorId="1336B788" wp14:editId="0BDC24A5">
            <wp:simplePos x="0" y="0"/>
            <wp:positionH relativeFrom="column">
              <wp:posOffset>4142740</wp:posOffset>
            </wp:positionH>
            <wp:positionV relativeFrom="paragraph">
              <wp:posOffset>16684</wp:posOffset>
            </wp:positionV>
            <wp:extent cx="1239993" cy="457200"/>
            <wp:effectExtent l="0" t="0" r="0" b="0"/>
            <wp:wrapNone/>
            <wp:docPr id="2297146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14649" name="Picture 22971464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39993" cy="457200"/>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62336" behindDoc="0" locked="0" layoutInCell="1" allowOverlap="1" wp14:anchorId="3437DB6F" wp14:editId="57C8E790">
            <wp:simplePos x="0" y="0"/>
            <wp:positionH relativeFrom="margin">
              <wp:align>center</wp:align>
            </wp:positionH>
            <wp:positionV relativeFrom="paragraph">
              <wp:posOffset>6985</wp:posOffset>
            </wp:positionV>
            <wp:extent cx="559768" cy="609600"/>
            <wp:effectExtent l="0" t="0" r="0" b="0"/>
            <wp:wrapNone/>
            <wp:docPr id="7816874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687446" name="Picture 78168744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9768" cy="609600"/>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58240" behindDoc="0" locked="0" layoutInCell="1" allowOverlap="1" wp14:anchorId="66D069BF" wp14:editId="5D5A89FD">
            <wp:simplePos x="0" y="0"/>
            <wp:positionH relativeFrom="margin">
              <wp:posOffset>680085</wp:posOffset>
            </wp:positionH>
            <wp:positionV relativeFrom="paragraph">
              <wp:posOffset>59055</wp:posOffset>
            </wp:positionV>
            <wp:extent cx="1127125" cy="476250"/>
            <wp:effectExtent l="0" t="0" r="0" b="0"/>
            <wp:wrapNone/>
            <wp:docPr id="15228161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816107" name="Picture 152281610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7125" cy="476250"/>
                    </a:xfrm>
                    <a:prstGeom prst="rect">
                      <a:avLst/>
                    </a:prstGeom>
                  </pic:spPr>
                </pic:pic>
              </a:graphicData>
            </a:graphic>
          </wp:anchor>
        </w:drawing>
      </w:r>
    </w:p>
    <w:p w14:paraId="19BD4380" w14:textId="03742E39" w:rsidR="00283E2D" w:rsidRDefault="00283E2D" w:rsidP="00921687">
      <w:pPr>
        <w:spacing w:after="0"/>
        <w:rPr>
          <w:sz w:val="22"/>
          <w:szCs w:val="22"/>
        </w:rPr>
      </w:pPr>
    </w:p>
    <w:p w14:paraId="1FBECF2A" w14:textId="7E54E084" w:rsidR="00283E2D" w:rsidRDefault="00283E2D" w:rsidP="00921687">
      <w:pPr>
        <w:spacing w:after="0"/>
        <w:rPr>
          <w:sz w:val="22"/>
          <w:szCs w:val="22"/>
        </w:rPr>
      </w:pPr>
    </w:p>
    <w:p w14:paraId="02D0A3A8" w14:textId="3B96823B" w:rsidR="00283E2D" w:rsidRDefault="00283E2D" w:rsidP="00921687">
      <w:pPr>
        <w:spacing w:after="0"/>
        <w:rPr>
          <w:sz w:val="22"/>
          <w:szCs w:val="22"/>
        </w:rPr>
      </w:pPr>
    </w:p>
    <w:p w14:paraId="743811A7" w14:textId="5899E51B" w:rsidR="00283E2D" w:rsidRDefault="00283E2D" w:rsidP="00921687">
      <w:pPr>
        <w:spacing w:after="0"/>
        <w:rPr>
          <w:sz w:val="22"/>
          <w:szCs w:val="22"/>
        </w:rPr>
      </w:pPr>
    </w:p>
    <w:p w14:paraId="1850071F" w14:textId="58317DBB" w:rsidR="00BC4255" w:rsidRPr="00F718CC" w:rsidRDefault="00BC4255" w:rsidP="00921687">
      <w:pPr>
        <w:spacing w:after="0"/>
        <w:rPr>
          <w:sz w:val="22"/>
          <w:szCs w:val="22"/>
        </w:rPr>
      </w:pPr>
      <w:r w:rsidRPr="00F718CC">
        <w:rPr>
          <w:sz w:val="22"/>
          <w:szCs w:val="22"/>
        </w:rPr>
        <w:t>Clare Savage</w:t>
      </w:r>
    </w:p>
    <w:p w14:paraId="3530DAFB" w14:textId="30364382" w:rsidR="00BC4255" w:rsidRPr="00F718CC" w:rsidRDefault="00BC4255" w:rsidP="00921687">
      <w:pPr>
        <w:spacing w:after="0"/>
        <w:rPr>
          <w:sz w:val="22"/>
          <w:szCs w:val="22"/>
        </w:rPr>
      </w:pPr>
      <w:r w:rsidRPr="00F718CC">
        <w:rPr>
          <w:sz w:val="22"/>
          <w:szCs w:val="22"/>
        </w:rPr>
        <w:t xml:space="preserve">Chair </w:t>
      </w:r>
    </w:p>
    <w:p w14:paraId="2A277238" w14:textId="0BFE7C81" w:rsidR="00BC4255" w:rsidRPr="00F718CC" w:rsidRDefault="00BC4255" w:rsidP="00921687">
      <w:pPr>
        <w:spacing w:after="0"/>
        <w:rPr>
          <w:sz w:val="22"/>
          <w:szCs w:val="22"/>
        </w:rPr>
      </w:pPr>
      <w:r w:rsidRPr="00F718CC">
        <w:rPr>
          <w:sz w:val="22"/>
          <w:szCs w:val="22"/>
        </w:rPr>
        <w:t>Australian Energy Regulator (AER)</w:t>
      </w:r>
    </w:p>
    <w:p w14:paraId="054E360B" w14:textId="5F904212" w:rsidR="00BC4255" w:rsidRPr="00F718CC" w:rsidRDefault="00BC4255" w:rsidP="00921687">
      <w:pPr>
        <w:spacing w:after="0"/>
        <w:rPr>
          <w:sz w:val="22"/>
          <w:szCs w:val="22"/>
        </w:rPr>
      </w:pPr>
      <w:r w:rsidRPr="00F718CC">
        <w:rPr>
          <w:sz w:val="22"/>
          <w:szCs w:val="22"/>
        </w:rPr>
        <w:t xml:space="preserve">E: </w:t>
      </w:r>
      <w:hyperlink r:id="rId15" w:history="1">
        <w:r w:rsidR="00921687" w:rsidRPr="00F718CC">
          <w:rPr>
            <w:rStyle w:val="Hyperlink"/>
            <w:sz w:val="22"/>
            <w:szCs w:val="22"/>
          </w:rPr>
          <w:t>Clare.Savage@aer.gov.au</w:t>
        </w:r>
      </w:hyperlink>
    </w:p>
    <w:p w14:paraId="33339274" w14:textId="1FDBD542" w:rsidR="00BC4255" w:rsidRPr="00F718CC" w:rsidRDefault="00BC4255">
      <w:pPr>
        <w:rPr>
          <w:sz w:val="22"/>
          <w:szCs w:val="22"/>
        </w:rPr>
      </w:pPr>
      <w:r w:rsidRPr="00F718CC">
        <w:rPr>
          <w:sz w:val="22"/>
          <w:szCs w:val="22"/>
        </w:rPr>
        <w:t xml:space="preserve">CC: </w:t>
      </w:r>
      <w:hyperlink r:id="rId16" w:history="1">
        <w:r w:rsidRPr="00F718CC">
          <w:rPr>
            <w:rStyle w:val="Hyperlink"/>
            <w:sz w:val="22"/>
            <w:szCs w:val="22"/>
          </w:rPr>
          <w:t>RateOfReturn@aer.gov.au</w:t>
        </w:r>
      </w:hyperlink>
      <w:r w:rsidRPr="00F718CC">
        <w:rPr>
          <w:sz w:val="22"/>
          <w:szCs w:val="22"/>
        </w:rPr>
        <w:t xml:space="preserve"> </w:t>
      </w:r>
    </w:p>
    <w:p w14:paraId="21BC9375" w14:textId="0F52C154" w:rsidR="00BC4255" w:rsidRDefault="00BC4255">
      <w:pPr>
        <w:rPr>
          <w:sz w:val="22"/>
          <w:szCs w:val="22"/>
        </w:rPr>
      </w:pPr>
      <w:r w:rsidRPr="00F718CC">
        <w:rPr>
          <w:sz w:val="22"/>
          <w:szCs w:val="22"/>
        </w:rPr>
        <w:t>AER reference: AER25010572</w:t>
      </w:r>
    </w:p>
    <w:p w14:paraId="1AD209C3" w14:textId="24CF3E3C" w:rsidR="00BC4255" w:rsidRPr="009C6EE1" w:rsidRDefault="000C6C8A" w:rsidP="002659A7">
      <w:pPr>
        <w:jc w:val="right"/>
        <w:rPr>
          <w:sz w:val="22"/>
          <w:szCs w:val="22"/>
        </w:rPr>
      </w:pPr>
      <w:r>
        <w:rPr>
          <w:sz w:val="22"/>
          <w:szCs w:val="22"/>
        </w:rPr>
        <w:t>7th</w:t>
      </w:r>
      <w:r w:rsidR="00A31990">
        <w:rPr>
          <w:sz w:val="22"/>
          <w:szCs w:val="22"/>
        </w:rPr>
        <w:t xml:space="preserve"> August</w:t>
      </w:r>
      <w:r w:rsidR="00BC4255" w:rsidRPr="009C6EE1">
        <w:rPr>
          <w:sz w:val="22"/>
          <w:szCs w:val="22"/>
        </w:rPr>
        <w:t xml:space="preserve"> 202</w:t>
      </w:r>
      <w:r w:rsidR="00A31990">
        <w:rPr>
          <w:sz w:val="22"/>
          <w:szCs w:val="22"/>
        </w:rPr>
        <w:t>6</w:t>
      </w:r>
    </w:p>
    <w:p w14:paraId="3DA167F9" w14:textId="701B8413" w:rsidR="00951B17" w:rsidRPr="009C6EE1" w:rsidRDefault="00951B17">
      <w:pPr>
        <w:rPr>
          <w:sz w:val="22"/>
          <w:szCs w:val="22"/>
        </w:rPr>
      </w:pPr>
      <w:r w:rsidRPr="009C6EE1">
        <w:rPr>
          <w:sz w:val="22"/>
          <w:szCs w:val="22"/>
        </w:rPr>
        <w:t>Dear Clare</w:t>
      </w:r>
    </w:p>
    <w:p w14:paraId="294A0230" w14:textId="77777777" w:rsidR="00251890" w:rsidRPr="00E836DE" w:rsidRDefault="00BE2CDA" w:rsidP="00D35B2A">
      <w:pPr>
        <w:spacing w:line="259" w:lineRule="auto"/>
        <w:rPr>
          <w:sz w:val="22"/>
          <w:szCs w:val="22"/>
        </w:rPr>
      </w:pPr>
      <w:r w:rsidRPr="00E836DE">
        <w:rPr>
          <w:sz w:val="22"/>
          <w:szCs w:val="22"/>
        </w:rPr>
        <w:t xml:space="preserve">The undersigned Councils of Social Service, welcome the opportunity to make a submission to the </w:t>
      </w:r>
      <w:hyperlink r:id="rId17" w:history="1">
        <w:r w:rsidR="00D21A7F" w:rsidRPr="00E836DE">
          <w:rPr>
            <w:rStyle w:val="Hyperlink"/>
            <w:sz w:val="22"/>
            <w:szCs w:val="22"/>
          </w:rPr>
          <w:t>AERs Draft Decision</w:t>
        </w:r>
        <w:r w:rsidR="00137A04" w:rsidRPr="00E836DE">
          <w:rPr>
            <w:rStyle w:val="Hyperlink"/>
            <w:sz w:val="22"/>
            <w:szCs w:val="22"/>
          </w:rPr>
          <w:t xml:space="preserve"> and Explanatory Statement</w:t>
        </w:r>
        <w:r w:rsidR="00D21A7F" w:rsidRPr="00E836DE">
          <w:rPr>
            <w:rStyle w:val="Hyperlink"/>
            <w:sz w:val="22"/>
            <w:szCs w:val="22"/>
          </w:rPr>
          <w:t xml:space="preserve"> on the </w:t>
        </w:r>
        <w:r w:rsidRPr="00E836DE">
          <w:rPr>
            <w:rStyle w:val="Hyperlink"/>
            <w:sz w:val="22"/>
            <w:szCs w:val="22"/>
          </w:rPr>
          <w:t>Rate of Return Instrument (RORI) 2026</w:t>
        </w:r>
      </w:hyperlink>
      <w:r w:rsidR="0046777C" w:rsidRPr="00E836DE">
        <w:rPr>
          <w:sz w:val="22"/>
          <w:szCs w:val="22"/>
        </w:rPr>
        <w:t>.</w:t>
      </w:r>
      <w:r w:rsidR="004B4051" w:rsidRPr="00E836DE">
        <w:rPr>
          <w:sz w:val="22"/>
          <w:szCs w:val="22"/>
        </w:rPr>
        <w:t xml:space="preserve"> </w:t>
      </w:r>
    </w:p>
    <w:p w14:paraId="1EFE0364" w14:textId="22D50453" w:rsidR="00CD2CA1" w:rsidRPr="00E836DE" w:rsidRDefault="004B4051" w:rsidP="00D35B2A">
      <w:pPr>
        <w:spacing w:line="259" w:lineRule="auto"/>
        <w:rPr>
          <w:sz w:val="22"/>
          <w:szCs w:val="22"/>
        </w:rPr>
      </w:pPr>
      <w:r w:rsidRPr="00E836DE">
        <w:rPr>
          <w:sz w:val="22"/>
          <w:szCs w:val="22"/>
        </w:rPr>
        <w:t>This</w:t>
      </w:r>
      <w:r w:rsidR="00653EF6" w:rsidRPr="00E836DE">
        <w:rPr>
          <w:sz w:val="22"/>
          <w:szCs w:val="22"/>
        </w:rPr>
        <w:t xml:space="preserve"> submission</w:t>
      </w:r>
      <w:r w:rsidRPr="00E836DE">
        <w:rPr>
          <w:sz w:val="22"/>
          <w:szCs w:val="22"/>
        </w:rPr>
        <w:t xml:space="preserve"> follows our </w:t>
      </w:r>
      <w:hyperlink r:id="rId18" w:history="1">
        <w:r w:rsidR="00043403" w:rsidRPr="00E836DE">
          <w:rPr>
            <w:rStyle w:val="Hyperlink"/>
            <w:sz w:val="22"/>
            <w:szCs w:val="22"/>
          </w:rPr>
          <w:t>J</w:t>
        </w:r>
        <w:r w:rsidRPr="00E836DE">
          <w:rPr>
            <w:rStyle w:val="Hyperlink"/>
            <w:sz w:val="22"/>
            <w:szCs w:val="22"/>
          </w:rPr>
          <w:t xml:space="preserve">oint </w:t>
        </w:r>
        <w:r w:rsidR="00043403" w:rsidRPr="00E836DE">
          <w:rPr>
            <w:rStyle w:val="Hyperlink"/>
            <w:sz w:val="22"/>
            <w:szCs w:val="22"/>
          </w:rPr>
          <w:t>S</w:t>
        </w:r>
        <w:r w:rsidR="005469F0" w:rsidRPr="00E836DE">
          <w:rPr>
            <w:rStyle w:val="Hyperlink"/>
            <w:sz w:val="22"/>
            <w:szCs w:val="22"/>
          </w:rPr>
          <w:t>ubmission Rate</w:t>
        </w:r>
        <w:r w:rsidR="001F602B" w:rsidRPr="00E836DE">
          <w:rPr>
            <w:rStyle w:val="Hyperlink"/>
            <w:kern w:val="0"/>
            <w:sz w:val="22"/>
            <w:szCs w:val="22"/>
            <w14:ligatures w14:val="none"/>
          </w:rPr>
          <w:t xml:space="preserve"> of Return Instrument (RORI) Review 2026</w:t>
        </w:r>
      </w:hyperlink>
      <w:r w:rsidR="008156FA" w:rsidRPr="00E836DE">
        <w:rPr>
          <w:kern w:val="0"/>
          <w:sz w:val="22"/>
          <w:szCs w:val="22"/>
          <w14:ligatures w14:val="none"/>
        </w:rPr>
        <w:t>.</w:t>
      </w:r>
    </w:p>
    <w:p w14:paraId="1EC1A563" w14:textId="33665278" w:rsidR="009936CC" w:rsidRDefault="00BE2CDA" w:rsidP="00D35B2A">
      <w:pPr>
        <w:spacing w:line="259" w:lineRule="auto"/>
        <w:rPr>
          <w:sz w:val="22"/>
          <w:szCs w:val="22"/>
          <w:shd w:val="clear" w:color="auto" w:fill="FFFFFF"/>
        </w:rPr>
      </w:pPr>
      <w:r w:rsidRPr="00E836DE">
        <w:rPr>
          <w:sz w:val="22"/>
          <w:szCs w:val="22"/>
          <w:shd w:val="clear" w:color="auto" w:fill="FFFFFF"/>
        </w:rPr>
        <w:t>The Rate of Return Instrument (RORI) specifies how the Australian Energy regulator (AER) will determine the allowed rate of return on capital invested in regulated electricity and gas networks, for the four-year period following RORI’s release.</w:t>
      </w:r>
      <w:r w:rsidR="00BD445B">
        <w:rPr>
          <w:sz w:val="22"/>
          <w:szCs w:val="22"/>
          <w:shd w:val="clear" w:color="auto" w:fill="FFFFFF"/>
        </w:rPr>
        <w:br/>
      </w:r>
      <w:r w:rsidR="00BD445B">
        <w:rPr>
          <w:sz w:val="22"/>
          <w:szCs w:val="22"/>
          <w:shd w:val="clear" w:color="auto" w:fill="FFFFFF"/>
        </w:rPr>
        <w:br/>
      </w:r>
      <w:r w:rsidR="002E13BD" w:rsidRPr="002E13BD">
        <w:rPr>
          <w:sz w:val="22"/>
          <w:szCs w:val="22"/>
          <w:shd w:val="clear" w:color="auto" w:fill="FFFFFF"/>
        </w:rPr>
        <w:t xml:space="preserve">The rate of return </w:t>
      </w:r>
      <w:r w:rsidR="008B3633">
        <w:rPr>
          <w:sz w:val="22"/>
          <w:szCs w:val="22"/>
          <w:shd w:val="clear" w:color="auto" w:fill="FFFFFF"/>
        </w:rPr>
        <w:t>for capital investment</w:t>
      </w:r>
      <w:r w:rsidR="00397946">
        <w:rPr>
          <w:sz w:val="22"/>
          <w:szCs w:val="22"/>
          <w:shd w:val="clear" w:color="auto" w:fill="FFFFFF"/>
        </w:rPr>
        <w:t xml:space="preserve">, </w:t>
      </w:r>
      <w:r w:rsidR="002E13BD" w:rsidRPr="002E13BD">
        <w:rPr>
          <w:sz w:val="22"/>
          <w:szCs w:val="22"/>
          <w:shd w:val="clear" w:color="auto" w:fill="FFFFFF"/>
        </w:rPr>
        <w:t>sets around 40 to 60% of network costs</w:t>
      </w:r>
      <w:r w:rsidR="008F1CDD">
        <w:rPr>
          <w:sz w:val="22"/>
          <w:szCs w:val="22"/>
          <w:shd w:val="clear" w:color="auto" w:fill="FFFFFF"/>
        </w:rPr>
        <w:t xml:space="preserve">. </w:t>
      </w:r>
    </w:p>
    <w:p w14:paraId="42E8A176" w14:textId="7C533267" w:rsidR="00CD2CA1" w:rsidRPr="00E836DE" w:rsidRDefault="00254643" w:rsidP="00D35B2A">
      <w:pPr>
        <w:spacing w:line="259" w:lineRule="auto"/>
        <w:rPr>
          <w:sz w:val="22"/>
          <w:szCs w:val="22"/>
          <w:shd w:val="clear" w:color="auto" w:fill="FFFFFF"/>
        </w:rPr>
      </w:pPr>
      <w:r>
        <w:rPr>
          <w:sz w:val="22"/>
          <w:szCs w:val="22"/>
          <w:shd w:val="clear" w:color="auto" w:fill="FFFFFF"/>
        </w:rPr>
        <w:t>While we welcome AER</w:t>
      </w:r>
      <w:r w:rsidR="00484C01">
        <w:rPr>
          <w:sz w:val="22"/>
          <w:szCs w:val="22"/>
          <w:shd w:val="clear" w:color="auto" w:fill="FFFFFF"/>
        </w:rPr>
        <w:t>s</w:t>
      </w:r>
      <w:r>
        <w:rPr>
          <w:sz w:val="22"/>
          <w:szCs w:val="22"/>
          <w:shd w:val="clear" w:color="auto" w:fill="FFFFFF"/>
        </w:rPr>
        <w:t xml:space="preserve"> </w:t>
      </w:r>
      <w:r w:rsidR="00484C01">
        <w:rPr>
          <w:sz w:val="22"/>
          <w:szCs w:val="22"/>
          <w:shd w:val="clear" w:color="auto" w:fill="FFFFFF"/>
        </w:rPr>
        <w:t xml:space="preserve">proposed changes </w:t>
      </w:r>
      <w:r w:rsidR="008F09D1">
        <w:rPr>
          <w:sz w:val="22"/>
          <w:szCs w:val="22"/>
          <w:shd w:val="clear" w:color="auto" w:fill="FFFFFF"/>
        </w:rPr>
        <w:t xml:space="preserve">to some aspects of the 2026 RORI, which could result in </w:t>
      </w:r>
      <w:r w:rsidR="00D41814">
        <w:rPr>
          <w:sz w:val="22"/>
          <w:szCs w:val="22"/>
          <w:shd w:val="clear" w:color="auto" w:fill="FFFFFF"/>
        </w:rPr>
        <w:t xml:space="preserve">some </w:t>
      </w:r>
      <w:r w:rsidR="008F09D1">
        <w:rPr>
          <w:sz w:val="22"/>
          <w:szCs w:val="22"/>
          <w:shd w:val="clear" w:color="auto" w:fill="FFFFFF"/>
        </w:rPr>
        <w:t>small savings to consumers</w:t>
      </w:r>
      <w:r w:rsidR="00D41814">
        <w:rPr>
          <w:sz w:val="22"/>
          <w:szCs w:val="22"/>
          <w:shd w:val="clear" w:color="auto" w:fill="FFFFFF"/>
        </w:rPr>
        <w:t xml:space="preserve">, the proposed changes </w:t>
      </w:r>
      <w:r w:rsidR="00AB63B8">
        <w:rPr>
          <w:sz w:val="22"/>
          <w:szCs w:val="22"/>
          <w:shd w:val="clear" w:color="auto" w:fill="FFFFFF"/>
        </w:rPr>
        <w:t>are too increment</w:t>
      </w:r>
      <w:r w:rsidR="00FC5633">
        <w:rPr>
          <w:sz w:val="22"/>
          <w:szCs w:val="22"/>
          <w:shd w:val="clear" w:color="auto" w:fill="FFFFFF"/>
        </w:rPr>
        <w:t>al</w:t>
      </w:r>
      <w:r w:rsidR="007A2C9D">
        <w:rPr>
          <w:sz w:val="22"/>
          <w:szCs w:val="22"/>
          <w:shd w:val="clear" w:color="auto" w:fill="FFFFFF"/>
        </w:rPr>
        <w:t xml:space="preserve">, </w:t>
      </w:r>
      <w:r w:rsidR="00B220BD">
        <w:rPr>
          <w:sz w:val="22"/>
          <w:szCs w:val="22"/>
          <w:shd w:val="clear" w:color="auto" w:fill="FFFFFF"/>
        </w:rPr>
        <w:t>rather than the material shift necessary</w:t>
      </w:r>
      <w:r w:rsidR="00D41814">
        <w:rPr>
          <w:sz w:val="22"/>
          <w:szCs w:val="22"/>
          <w:shd w:val="clear" w:color="auto" w:fill="FFFFFF"/>
        </w:rPr>
        <w:t xml:space="preserve"> given the </w:t>
      </w:r>
      <w:r w:rsidR="0019763B">
        <w:rPr>
          <w:sz w:val="22"/>
          <w:szCs w:val="22"/>
          <w:shd w:val="clear" w:color="auto" w:fill="FFFFFF"/>
        </w:rPr>
        <w:t>significant</w:t>
      </w:r>
      <w:r w:rsidR="00D41814">
        <w:rPr>
          <w:sz w:val="22"/>
          <w:szCs w:val="22"/>
          <w:shd w:val="clear" w:color="auto" w:fill="FFFFFF"/>
        </w:rPr>
        <w:t xml:space="preserve"> </w:t>
      </w:r>
      <w:r w:rsidR="006B6AF6">
        <w:rPr>
          <w:sz w:val="22"/>
          <w:szCs w:val="22"/>
          <w:shd w:val="clear" w:color="auto" w:fill="FFFFFF"/>
        </w:rPr>
        <w:t>impacts electricity prices are having on inflation, interest rates, cost of living, and energy hardship</w:t>
      </w:r>
      <w:r w:rsidR="00DD0368">
        <w:rPr>
          <w:sz w:val="22"/>
          <w:szCs w:val="22"/>
          <w:shd w:val="clear" w:color="auto" w:fill="FFFFFF"/>
        </w:rPr>
        <w:t>.</w:t>
      </w:r>
      <w:r w:rsidR="00094D60">
        <w:rPr>
          <w:sz w:val="22"/>
          <w:szCs w:val="22"/>
          <w:shd w:val="clear" w:color="auto" w:fill="FFFFFF"/>
        </w:rPr>
        <w:t xml:space="preserve"> </w:t>
      </w:r>
    </w:p>
    <w:p w14:paraId="19E6BBB4" w14:textId="1FF98AEB" w:rsidR="0057535C" w:rsidRPr="00E836DE" w:rsidRDefault="009061B2" w:rsidP="00D35B2A">
      <w:pPr>
        <w:spacing w:line="259" w:lineRule="auto"/>
        <w:rPr>
          <w:rFonts w:eastAsia="Times New Roman"/>
          <w:color w:val="000000"/>
          <w:sz w:val="22"/>
          <w:szCs w:val="22"/>
        </w:rPr>
      </w:pPr>
      <w:r w:rsidRPr="00E836DE">
        <w:rPr>
          <w:sz w:val="22"/>
          <w:szCs w:val="22"/>
          <w:shd w:val="clear" w:color="auto" w:fill="FFFFFF"/>
        </w:rPr>
        <w:t>W</w:t>
      </w:r>
      <w:r w:rsidR="00E35564" w:rsidRPr="00E836DE">
        <w:rPr>
          <w:sz w:val="22"/>
          <w:szCs w:val="22"/>
          <w:shd w:val="clear" w:color="auto" w:fill="FFFFFF"/>
        </w:rPr>
        <w:t>e</w:t>
      </w:r>
      <w:r w:rsidRPr="00E836DE">
        <w:rPr>
          <w:sz w:val="22"/>
          <w:szCs w:val="22"/>
          <w:shd w:val="clear" w:color="auto" w:fill="FFFFFF"/>
        </w:rPr>
        <w:t xml:space="preserve"> support the submission</w:t>
      </w:r>
      <w:r w:rsidR="00E35564" w:rsidRPr="00E836DE">
        <w:rPr>
          <w:sz w:val="22"/>
          <w:szCs w:val="22"/>
          <w:shd w:val="clear" w:color="auto" w:fill="FFFFFF"/>
        </w:rPr>
        <w:t xml:space="preserve"> and recommendations</w:t>
      </w:r>
      <w:r w:rsidRPr="00E836DE">
        <w:rPr>
          <w:sz w:val="22"/>
          <w:szCs w:val="22"/>
          <w:shd w:val="clear" w:color="auto" w:fill="FFFFFF"/>
        </w:rPr>
        <w:t xml:space="preserve"> made by Energy Consumers Australia</w:t>
      </w:r>
      <w:r w:rsidR="0057535C" w:rsidRPr="00E836DE">
        <w:rPr>
          <w:rStyle w:val="EndnoteReference"/>
          <w:sz w:val="22"/>
          <w:szCs w:val="22"/>
          <w:shd w:val="clear" w:color="auto" w:fill="FFFFFF"/>
        </w:rPr>
        <w:endnoteReference w:id="1"/>
      </w:r>
      <w:r w:rsidR="0057535C" w:rsidRPr="00E836DE">
        <w:rPr>
          <w:sz w:val="22"/>
          <w:szCs w:val="22"/>
          <w:shd w:val="clear" w:color="auto" w:fill="FFFFFF"/>
        </w:rPr>
        <w:t xml:space="preserve"> and point to the supporting evidence provided by </w:t>
      </w:r>
      <w:r w:rsidR="0057535C" w:rsidRPr="00E836DE">
        <w:rPr>
          <w:rFonts w:eastAsia="Times New Roman"/>
          <w:color w:val="000000"/>
          <w:sz w:val="22"/>
          <w:szCs w:val="22"/>
        </w:rPr>
        <w:t>consultants EMAS</w:t>
      </w:r>
      <w:r w:rsidR="0057535C">
        <w:rPr>
          <w:rFonts w:eastAsia="Times New Roman"/>
          <w:color w:val="000000"/>
          <w:sz w:val="22"/>
          <w:szCs w:val="22"/>
        </w:rPr>
        <w:t>.</w:t>
      </w:r>
      <w:r w:rsidR="0057535C">
        <w:rPr>
          <w:rStyle w:val="EndnoteReference"/>
          <w:rFonts w:eastAsia="Times New Roman"/>
          <w:color w:val="000000"/>
          <w:sz w:val="22"/>
          <w:szCs w:val="22"/>
        </w:rPr>
        <w:endnoteReference w:id="2"/>
      </w:r>
    </w:p>
    <w:p w14:paraId="3B1014F4" w14:textId="3FAFE1E9" w:rsidR="00A3711E" w:rsidRPr="00E836DE" w:rsidRDefault="00BD43ED" w:rsidP="00D35B2A">
      <w:pPr>
        <w:spacing w:line="259" w:lineRule="auto"/>
        <w:rPr>
          <w:rFonts w:eastAsia="Times New Roman"/>
          <w:color w:val="000000"/>
          <w:sz w:val="22"/>
          <w:szCs w:val="22"/>
        </w:rPr>
      </w:pPr>
      <w:r w:rsidRPr="00E836DE">
        <w:rPr>
          <w:rFonts w:eastAsia="Times New Roman"/>
          <w:color w:val="000000"/>
          <w:sz w:val="22"/>
          <w:szCs w:val="22"/>
        </w:rPr>
        <w:t xml:space="preserve">In support of </w:t>
      </w:r>
      <w:r w:rsidR="00FF5EE7">
        <w:rPr>
          <w:rFonts w:eastAsia="Times New Roman"/>
          <w:color w:val="000000"/>
          <w:sz w:val="22"/>
          <w:szCs w:val="22"/>
        </w:rPr>
        <w:t>ECA’s</w:t>
      </w:r>
      <w:r w:rsidRPr="00E836DE">
        <w:rPr>
          <w:rFonts w:eastAsia="Times New Roman"/>
          <w:color w:val="000000"/>
          <w:sz w:val="22"/>
          <w:szCs w:val="22"/>
        </w:rPr>
        <w:t xml:space="preserve"> </w:t>
      </w:r>
      <w:r w:rsidR="004D576C" w:rsidRPr="00E836DE">
        <w:rPr>
          <w:rFonts w:eastAsia="Times New Roman"/>
          <w:color w:val="000000"/>
          <w:sz w:val="22"/>
          <w:szCs w:val="22"/>
        </w:rPr>
        <w:t>submission,</w:t>
      </w:r>
      <w:r w:rsidRPr="00E836DE">
        <w:rPr>
          <w:rFonts w:eastAsia="Times New Roman"/>
          <w:color w:val="000000"/>
          <w:sz w:val="22"/>
          <w:szCs w:val="22"/>
        </w:rPr>
        <w:t xml:space="preserve"> we make </w:t>
      </w:r>
      <w:r w:rsidR="0052416A" w:rsidRPr="00E836DE">
        <w:rPr>
          <w:rFonts w:eastAsia="Times New Roman"/>
          <w:color w:val="000000"/>
          <w:sz w:val="22"/>
          <w:szCs w:val="22"/>
        </w:rPr>
        <w:t>the following key points and recommendations</w:t>
      </w:r>
      <w:r w:rsidR="006F280F" w:rsidRPr="00E836DE">
        <w:rPr>
          <w:rFonts w:eastAsia="Times New Roman"/>
          <w:color w:val="000000"/>
          <w:sz w:val="22"/>
          <w:szCs w:val="22"/>
        </w:rPr>
        <w:t>.</w:t>
      </w:r>
    </w:p>
    <w:p w14:paraId="401DEA4D" w14:textId="09BDC513" w:rsidR="004400D4" w:rsidRPr="004B39FB" w:rsidRDefault="00691207" w:rsidP="002A4047">
      <w:pPr>
        <w:spacing w:line="259" w:lineRule="auto"/>
        <w:rPr>
          <w:rFonts w:eastAsia="Times New Roman"/>
          <w:b/>
          <w:bCs/>
          <w:i/>
          <w:iCs/>
          <w:color w:val="0F4761" w:themeColor="accent1" w:themeShade="BF"/>
        </w:rPr>
      </w:pPr>
      <w:r w:rsidRPr="004B39FB">
        <w:rPr>
          <w:rFonts w:eastAsia="Times New Roman"/>
          <w:b/>
          <w:bCs/>
          <w:i/>
          <w:iCs/>
          <w:color w:val="0F4761" w:themeColor="accent1" w:themeShade="BF"/>
        </w:rPr>
        <w:t>Inflated n</w:t>
      </w:r>
      <w:r w:rsidR="006F280F" w:rsidRPr="004B39FB">
        <w:rPr>
          <w:rFonts w:eastAsia="Times New Roman"/>
          <w:b/>
          <w:bCs/>
          <w:i/>
          <w:iCs/>
          <w:color w:val="0F4761" w:themeColor="accent1" w:themeShade="BF"/>
        </w:rPr>
        <w:t xml:space="preserve">etwork prices </w:t>
      </w:r>
      <w:r w:rsidR="004B39FB" w:rsidRPr="004B39FB">
        <w:rPr>
          <w:rFonts w:eastAsia="Times New Roman"/>
          <w:b/>
          <w:bCs/>
          <w:i/>
          <w:iCs/>
          <w:color w:val="0F4761" w:themeColor="accent1" w:themeShade="BF"/>
        </w:rPr>
        <w:t>are</w:t>
      </w:r>
      <w:r w:rsidR="001D6AA6" w:rsidRPr="004B39FB">
        <w:rPr>
          <w:rFonts w:eastAsia="Times New Roman"/>
          <w:b/>
          <w:bCs/>
          <w:i/>
          <w:iCs/>
          <w:color w:val="0F4761" w:themeColor="accent1" w:themeShade="BF"/>
        </w:rPr>
        <w:t xml:space="preserve"> </w:t>
      </w:r>
      <w:r w:rsidR="006F280F" w:rsidRPr="004B39FB">
        <w:rPr>
          <w:rFonts w:eastAsia="Times New Roman"/>
          <w:b/>
          <w:bCs/>
          <w:i/>
          <w:iCs/>
          <w:color w:val="0F4761" w:themeColor="accent1" w:themeShade="BF"/>
        </w:rPr>
        <w:t>contributing to economic and social h</w:t>
      </w:r>
      <w:r w:rsidRPr="004B39FB">
        <w:rPr>
          <w:rFonts w:eastAsia="Times New Roman"/>
          <w:b/>
          <w:bCs/>
          <w:i/>
          <w:iCs/>
          <w:color w:val="0F4761" w:themeColor="accent1" w:themeShade="BF"/>
        </w:rPr>
        <w:t>arm</w:t>
      </w:r>
    </w:p>
    <w:p w14:paraId="7B7A9C00" w14:textId="04EAF1DA" w:rsidR="0057535C" w:rsidRDefault="00C963F2" w:rsidP="00C07B91">
      <w:pPr>
        <w:pStyle w:val="ListBullet"/>
        <w:tabs>
          <w:tab w:val="clear" w:pos="794"/>
          <w:tab w:val="num" w:pos="709"/>
        </w:tabs>
        <w:spacing w:before="0" w:after="160" w:line="259" w:lineRule="auto"/>
        <w:ind w:left="709"/>
        <w:rPr>
          <w:color w:val="auto"/>
        </w:rPr>
      </w:pPr>
      <w:r w:rsidRPr="00C963F2">
        <w:rPr>
          <w:b/>
          <w:bCs/>
          <w:color w:val="auto"/>
        </w:rPr>
        <w:t>N</w:t>
      </w:r>
      <w:r w:rsidR="009755F6" w:rsidRPr="00C963F2">
        <w:rPr>
          <w:b/>
          <w:bCs/>
          <w:color w:val="auto"/>
        </w:rPr>
        <w:t xml:space="preserve">etwork costs </w:t>
      </w:r>
      <w:r>
        <w:rPr>
          <w:b/>
          <w:bCs/>
          <w:color w:val="auto"/>
        </w:rPr>
        <w:t xml:space="preserve">are </w:t>
      </w:r>
      <w:r w:rsidR="2773985F" w:rsidRPr="2773985F">
        <w:rPr>
          <w:b/>
          <w:bCs/>
          <w:color w:val="auto"/>
        </w:rPr>
        <w:t>a significant part of the electricity bill and driver of electricity price rises</w:t>
      </w:r>
      <w:r w:rsidR="2773985F" w:rsidRPr="2773985F">
        <w:rPr>
          <w:color w:val="auto"/>
        </w:rPr>
        <w:t xml:space="preserve"> – network costs account for around 39% of residential retail costs. Residential network charges have increased by over 10% in many networks over the past two years, with costs forecast to continue to rise significantly over the coming years.</w:t>
      </w:r>
      <w:r w:rsidR="0057535C" w:rsidRPr="2773985F">
        <w:rPr>
          <w:rStyle w:val="EndnoteReference"/>
          <w:color w:val="auto"/>
        </w:rPr>
        <w:endnoteReference w:id="3"/>
      </w:r>
    </w:p>
    <w:p w14:paraId="172EA60E" w14:textId="31F5D452" w:rsidR="00385180" w:rsidRPr="008857CF" w:rsidRDefault="004400D4" w:rsidP="00C07B91">
      <w:pPr>
        <w:pStyle w:val="ListBullet"/>
        <w:tabs>
          <w:tab w:val="clear" w:pos="794"/>
          <w:tab w:val="num" w:pos="709"/>
        </w:tabs>
        <w:ind w:left="709"/>
        <w:rPr>
          <w:color w:val="auto"/>
        </w:rPr>
      </w:pPr>
      <w:r w:rsidRPr="008857CF">
        <w:rPr>
          <w:b/>
          <w:bCs/>
        </w:rPr>
        <w:t xml:space="preserve">Rising energy </w:t>
      </w:r>
      <w:r w:rsidR="002250F4" w:rsidRPr="008857CF">
        <w:rPr>
          <w:b/>
          <w:bCs/>
        </w:rPr>
        <w:t>costs are contributing to inflation and interest rate rises</w:t>
      </w:r>
      <w:r w:rsidR="00727E7C" w:rsidRPr="008857CF">
        <w:rPr>
          <w:b/>
          <w:bCs/>
        </w:rPr>
        <w:t xml:space="preserve"> </w:t>
      </w:r>
      <w:r w:rsidR="006C7578" w:rsidRPr="001A3760">
        <w:t>–</w:t>
      </w:r>
      <w:r w:rsidR="00727E7C" w:rsidRPr="001A3760">
        <w:t xml:space="preserve"> </w:t>
      </w:r>
      <w:r w:rsidR="006C7578" w:rsidRPr="001A3760">
        <w:t>inflation data</w:t>
      </w:r>
      <w:r w:rsidR="0057535C" w:rsidRPr="001A3760">
        <w:rPr>
          <w:rStyle w:val="EndnoteReference"/>
          <w:color w:val="auto"/>
        </w:rPr>
        <w:endnoteReference w:id="4"/>
      </w:r>
      <w:r w:rsidR="0057535C" w:rsidRPr="001A3760">
        <w:t xml:space="preserve"> </w:t>
      </w:r>
      <w:r w:rsidR="006C7578" w:rsidRPr="001A3760">
        <w:t>consistently s</w:t>
      </w:r>
      <w:r w:rsidR="006A3A51" w:rsidRPr="001A3760">
        <w:t xml:space="preserve">hows </w:t>
      </w:r>
      <w:r w:rsidR="001A3760">
        <w:t xml:space="preserve">rising </w:t>
      </w:r>
      <w:r w:rsidR="001A3760" w:rsidRPr="001A3760">
        <w:t>electr</w:t>
      </w:r>
      <w:r w:rsidR="001A3760">
        <w:t>icity</w:t>
      </w:r>
      <w:r w:rsidR="006A3A51" w:rsidRPr="001A3760">
        <w:t xml:space="preserve"> costs </w:t>
      </w:r>
      <w:r w:rsidR="001A3760">
        <w:t xml:space="preserve">are </w:t>
      </w:r>
      <w:r w:rsidR="006A3A51" w:rsidRPr="001A3760">
        <w:t xml:space="preserve">adding to </w:t>
      </w:r>
      <w:r w:rsidR="001A3760">
        <w:t>inflation</w:t>
      </w:r>
      <w:r w:rsidR="00165E0F">
        <w:t>ary pressure</w:t>
      </w:r>
      <w:r w:rsidR="001A3760">
        <w:t xml:space="preserve"> in Australia</w:t>
      </w:r>
      <w:r w:rsidR="2773985F" w:rsidRPr="2773985F">
        <w:t>, contributing to RBA interest rate rises with further impacts on the economy, cost of living pressures, and rising unemployment.</w:t>
      </w:r>
    </w:p>
    <w:p w14:paraId="3FF11894" w14:textId="22142761" w:rsidR="0057535C" w:rsidRDefault="002250F4" w:rsidP="00CD5476">
      <w:pPr>
        <w:pStyle w:val="ListBullet"/>
        <w:numPr>
          <w:ilvl w:val="0"/>
          <w:numId w:val="5"/>
        </w:numPr>
        <w:spacing w:before="0" w:after="160" w:line="259" w:lineRule="auto"/>
        <w:rPr>
          <w:color w:val="auto"/>
        </w:rPr>
      </w:pPr>
      <w:r w:rsidRPr="00385180">
        <w:rPr>
          <w:b/>
          <w:bCs/>
          <w:color w:val="auto"/>
        </w:rPr>
        <w:lastRenderedPageBreak/>
        <w:t xml:space="preserve">Rising energy costs are contributing to energy unaffordability and </w:t>
      </w:r>
      <w:r w:rsidR="009A3D63" w:rsidRPr="00385180">
        <w:rPr>
          <w:b/>
          <w:bCs/>
          <w:color w:val="auto"/>
        </w:rPr>
        <w:t xml:space="preserve">energy hardship - </w:t>
      </w:r>
      <w:r w:rsidR="00385180" w:rsidRPr="00385180">
        <w:rPr>
          <w:color w:val="auto"/>
        </w:rPr>
        <w:t>Research by Energy Consumers Australia finds that despite bill relief, around two thirds of households say they are having some difficulty affording their energy bills,</w:t>
      </w:r>
      <w:r w:rsidR="0057535C" w:rsidRPr="00D35B2A">
        <w:rPr>
          <w:rStyle w:val="EndnoteReference"/>
          <w:color w:val="auto"/>
        </w:rPr>
        <w:endnoteReference w:id="5"/>
      </w:r>
      <w:r w:rsidR="0057535C" w:rsidRPr="00385180">
        <w:rPr>
          <w:color w:val="auto"/>
        </w:rPr>
        <w:t xml:space="preserve"> with one in five households estimated to be facing energy hardship.</w:t>
      </w:r>
      <w:r w:rsidR="0057535C" w:rsidRPr="00D35B2A">
        <w:rPr>
          <w:rStyle w:val="EndnoteReference"/>
          <w:color w:val="auto"/>
        </w:rPr>
        <w:endnoteReference w:id="6"/>
      </w:r>
      <w:r w:rsidR="0057535C" w:rsidRPr="00385180">
        <w:rPr>
          <w:color w:val="auto"/>
        </w:rPr>
        <w:t xml:space="preserve"> </w:t>
      </w:r>
    </w:p>
    <w:p w14:paraId="24DA4337" w14:textId="59EC58B1" w:rsidR="0057535C" w:rsidRPr="00CD5476" w:rsidRDefault="0057535C" w:rsidP="00CD5476">
      <w:pPr>
        <w:pStyle w:val="ListBullet"/>
        <w:numPr>
          <w:ilvl w:val="0"/>
          <w:numId w:val="0"/>
        </w:numPr>
        <w:spacing w:before="0" w:after="160" w:line="259" w:lineRule="auto"/>
        <w:ind w:left="720"/>
        <w:rPr>
          <w:color w:val="auto"/>
        </w:rPr>
      </w:pPr>
      <w:r w:rsidRPr="00CD5476">
        <w:rPr>
          <w:color w:val="auto"/>
        </w:rPr>
        <w:t xml:space="preserve">Research by our organisations find that </w:t>
      </w:r>
      <w:r>
        <w:rPr>
          <w:color w:val="auto"/>
        </w:rPr>
        <w:t xml:space="preserve">because of high electricity bills </w:t>
      </w:r>
      <w:r w:rsidRPr="00CD5476">
        <w:rPr>
          <w:color w:val="auto"/>
        </w:rPr>
        <w:t xml:space="preserve">people are depriving themselves of energy, not heating homes in winter or cooling homes in summer, borrowing money to pay bills, and skipping meals and medicines to afford energy bills. These experiences are having </w:t>
      </w:r>
      <w:r w:rsidRPr="2773985F">
        <w:rPr>
          <w:color w:val="auto"/>
        </w:rPr>
        <w:t>a significant impact on people and communities’ health and wellbeing.</w:t>
      </w:r>
      <w:r w:rsidRPr="2773985F">
        <w:rPr>
          <w:rStyle w:val="EndnoteReference"/>
          <w:color w:val="auto"/>
        </w:rPr>
        <w:endnoteReference w:id="7"/>
      </w:r>
    </w:p>
    <w:p w14:paraId="5B0C9DA1" w14:textId="65BD9FCC" w:rsidR="002250F4" w:rsidRPr="00D35B2A" w:rsidRDefault="2773985F" w:rsidP="002A4047">
      <w:pPr>
        <w:pStyle w:val="ListBullet"/>
        <w:numPr>
          <w:ilvl w:val="0"/>
          <w:numId w:val="0"/>
        </w:numPr>
        <w:spacing w:before="0" w:after="160" w:line="259" w:lineRule="auto"/>
        <w:rPr>
          <w:color w:val="auto"/>
        </w:rPr>
      </w:pPr>
      <w:r w:rsidRPr="2773985F">
        <w:rPr>
          <w:b/>
          <w:bCs/>
          <w:color w:val="auto"/>
        </w:rPr>
        <w:t>Recommendation:</w:t>
      </w:r>
      <w:r w:rsidRPr="2773985F">
        <w:rPr>
          <w:color w:val="auto"/>
        </w:rPr>
        <w:t xml:space="preserve"> the AER’s decision making framework must consider the broader economic and household impacts of higher network costs.</w:t>
      </w:r>
    </w:p>
    <w:p w14:paraId="28B61EAB" w14:textId="187E367B" w:rsidR="00691207" w:rsidRPr="00BB1952" w:rsidRDefault="2773985F" w:rsidP="2773985F">
      <w:pPr>
        <w:spacing w:line="259" w:lineRule="auto"/>
        <w:rPr>
          <w:rFonts w:eastAsia="Times New Roman"/>
          <w:b/>
          <w:bCs/>
          <w:i/>
          <w:iCs/>
          <w:color w:val="0F4761" w:themeColor="accent1" w:themeShade="BF"/>
        </w:rPr>
      </w:pPr>
      <w:r w:rsidRPr="2773985F">
        <w:rPr>
          <w:rFonts w:eastAsia="Times New Roman"/>
          <w:b/>
          <w:bCs/>
          <w:i/>
          <w:iCs/>
          <w:color w:val="0F4761" w:themeColor="accent1" w:themeShade="BF"/>
        </w:rPr>
        <w:t>The AER has a responsibility to put the interest of consumers ahead of the interests of corporates and shareholders</w:t>
      </w:r>
    </w:p>
    <w:p w14:paraId="4E34A1B3" w14:textId="6A33C8CE" w:rsidR="004F5451" w:rsidRDefault="2773985F" w:rsidP="00C17E13">
      <w:pPr>
        <w:pStyle w:val="ListParagraph"/>
        <w:numPr>
          <w:ilvl w:val="0"/>
          <w:numId w:val="6"/>
        </w:numPr>
        <w:spacing w:line="259" w:lineRule="auto"/>
        <w:rPr>
          <w:sz w:val="22"/>
          <w:szCs w:val="22"/>
          <w:shd w:val="clear" w:color="auto" w:fill="FFFFFF"/>
        </w:rPr>
      </w:pPr>
      <w:r w:rsidRPr="2773985F">
        <w:rPr>
          <w:b/>
          <w:bCs/>
          <w:sz w:val="22"/>
          <w:szCs w:val="22"/>
        </w:rPr>
        <w:t>AER's decisions on the rate of return substantially affects energy costs for consumers</w:t>
      </w:r>
      <w:r w:rsidRPr="2773985F">
        <w:rPr>
          <w:sz w:val="22"/>
          <w:szCs w:val="22"/>
        </w:rPr>
        <w:t xml:space="preserve"> - The AER's decisions on the regulated rate of return accounted for around 48% of energy networks' total revenue allowances for 2025. Therefore, the AER's revenue decisions and the AER's decisions on the rate of return substantially affect energy costs, most acutely felt by consumers</w:t>
      </w:r>
      <w:r w:rsidR="00684892">
        <w:rPr>
          <w:sz w:val="22"/>
          <w:szCs w:val="22"/>
        </w:rPr>
        <w:t xml:space="preserve"> </w:t>
      </w:r>
      <w:r w:rsidRPr="2773985F">
        <w:rPr>
          <w:sz w:val="22"/>
          <w:szCs w:val="22"/>
        </w:rPr>
        <w:t>on low incomes.</w:t>
      </w:r>
    </w:p>
    <w:p w14:paraId="3BA86E55" w14:textId="77777777" w:rsidR="004F5451" w:rsidRPr="004F5451" w:rsidRDefault="004F5451" w:rsidP="004F5451">
      <w:pPr>
        <w:pStyle w:val="ListParagraph"/>
        <w:spacing w:line="259" w:lineRule="auto"/>
        <w:rPr>
          <w:sz w:val="22"/>
          <w:szCs w:val="22"/>
          <w:shd w:val="clear" w:color="auto" w:fill="FFFFFF"/>
        </w:rPr>
      </w:pPr>
    </w:p>
    <w:p w14:paraId="0ACD1611" w14:textId="3EB828DF" w:rsidR="00E55039" w:rsidRDefault="00A63565" w:rsidP="00C17E13">
      <w:pPr>
        <w:pStyle w:val="ListParagraph"/>
        <w:numPr>
          <w:ilvl w:val="0"/>
          <w:numId w:val="6"/>
        </w:numPr>
        <w:spacing w:line="259" w:lineRule="auto"/>
        <w:rPr>
          <w:sz w:val="22"/>
          <w:szCs w:val="22"/>
          <w:shd w:val="clear" w:color="auto" w:fill="FFFFFF"/>
        </w:rPr>
      </w:pPr>
      <w:r w:rsidRPr="004F5451">
        <w:rPr>
          <w:b/>
          <w:bCs/>
          <w:sz w:val="22"/>
          <w:szCs w:val="22"/>
        </w:rPr>
        <w:t>AER is required to</w:t>
      </w:r>
      <w:r w:rsidR="00ED10A2" w:rsidRPr="004F5451">
        <w:rPr>
          <w:b/>
          <w:bCs/>
          <w:sz w:val="22"/>
          <w:szCs w:val="22"/>
        </w:rPr>
        <w:t xml:space="preserve"> make decision</w:t>
      </w:r>
      <w:r w:rsidR="2773985F" w:rsidRPr="2773985F">
        <w:rPr>
          <w:b/>
          <w:bCs/>
          <w:sz w:val="22"/>
          <w:szCs w:val="22"/>
        </w:rPr>
        <w:t xml:space="preserve">s in the interest of consumers, not a “balanced outcome” between consumers and networks </w:t>
      </w:r>
      <w:r w:rsidR="2773985F" w:rsidRPr="2773985F">
        <w:rPr>
          <w:sz w:val="22"/>
          <w:szCs w:val="22"/>
        </w:rPr>
        <w:t xml:space="preserve">- The AER must execute its legislative duties under the National Electricity Objective (NEO) which states that while revenue and pricing principles explicitly dictate that </w:t>
      </w:r>
      <w:r w:rsidR="00684892">
        <w:rPr>
          <w:sz w:val="22"/>
          <w:szCs w:val="22"/>
        </w:rPr>
        <w:t>Network Service providers (</w:t>
      </w:r>
      <w:r w:rsidR="2773985F" w:rsidRPr="2773985F">
        <w:rPr>
          <w:sz w:val="22"/>
          <w:szCs w:val="22"/>
        </w:rPr>
        <w:t>NSPs</w:t>
      </w:r>
      <w:r w:rsidR="00684892">
        <w:rPr>
          <w:sz w:val="22"/>
          <w:szCs w:val="22"/>
        </w:rPr>
        <w:t>)</w:t>
      </w:r>
      <w:r w:rsidR="2773985F" w:rsidRPr="2773985F">
        <w:rPr>
          <w:sz w:val="22"/>
          <w:szCs w:val="22"/>
        </w:rPr>
        <w:t xml:space="preserve"> must have a reasonable opportunity to recover efficient costs, “pricing must ultimately promote the efficient use of, and investment in, infrastructure in the long-term interest of consumers”.</w:t>
      </w:r>
    </w:p>
    <w:p w14:paraId="499F23B3" w14:textId="77777777" w:rsidR="004F5451" w:rsidRPr="004F5451" w:rsidRDefault="004F5451" w:rsidP="004F5451">
      <w:pPr>
        <w:pStyle w:val="ListParagraph"/>
        <w:rPr>
          <w:sz w:val="22"/>
          <w:szCs w:val="22"/>
          <w:shd w:val="clear" w:color="auto" w:fill="FFFFFF"/>
        </w:rPr>
      </w:pPr>
    </w:p>
    <w:p w14:paraId="48141410" w14:textId="3401EE63" w:rsidR="00D242BA" w:rsidRDefault="00FE5381" w:rsidP="004F5451">
      <w:pPr>
        <w:pStyle w:val="ListParagraph"/>
        <w:spacing w:line="259" w:lineRule="auto"/>
        <w:rPr>
          <w:sz w:val="22"/>
          <w:szCs w:val="22"/>
          <w:shd w:val="clear" w:color="auto" w:fill="FFFFFF"/>
        </w:rPr>
      </w:pPr>
      <w:r>
        <w:rPr>
          <w:sz w:val="22"/>
          <w:szCs w:val="22"/>
          <w:shd w:val="clear" w:color="auto" w:fill="FFFFFF"/>
        </w:rPr>
        <w:t xml:space="preserve">We are deeply </w:t>
      </w:r>
      <w:r w:rsidR="00DA7DC0">
        <w:rPr>
          <w:sz w:val="22"/>
          <w:szCs w:val="22"/>
          <w:shd w:val="clear" w:color="auto" w:fill="FFFFFF"/>
        </w:rPr>
        <w:t>concerned</w:t>
      </w:r>
      <w:r>
        <w:rPr>
          <w:sz w:val="22"/>
          <w:szCs w:val="22"/>
          <w:shd w:val="clear" w:color="auto" w:fill="FFFFFF"/>
        </w:rPr>
        <w:t xml:space="preserve"> </w:t>
      </w:r>
      <w:r w:rsidR="2773985F" w:rsidRPr="2773985F">
        <w:rPr>
          <w:sz w:val="22"/>
          <w:szCs w:val="22"/>
        </w:rPr>
        <w:t>that the AER’s Explanatory Statement for its draft decision states that it had achieved a “balanced outcome” that “avoids outcomes that favour either service providers or consumers”. A “balanced outcome” between networks and consumers should not be the AER’s goal or a criterion within its decision-making framework. Its primary objective should be to act in the interests of consumers.</w:t>
      </w:r>
    </w:p>
    <w:p w14:paraId="554D9061" w14:textId="77777777" w:rsidR="00ED4D31" w:rsidRDefault="00ED4D31" w:rsidP="004F5451">
      <w:pPr>
        <w:pStyle w:val="ListParagraph"/>
        <w:spacing w:line="259" w:lineRule="auto"/>
        <w:rPr>
          <w:sz w:val="22"/>
          <w:szCs w:val="22"/>
          <w:shd w:val="clear" w:color="auto" w:fill="FFFFFF"/>
        </w:rPr>
      </w:pPr>
    </w:p>
    <w:p w14:paraId="3854BB54" w14:textId="63B629C8" w:rsidR="00A312D3" w:rsidRPr="00A312D3" w:rsidRDefault="00ED4D31">
      <w:pPr>
        <w:pStyle w:val="ListParagraph"/>
        <w:numPr>
          <w:ilvl w:val="0"/>
          <w:numId w:val="6"/>
        </w:numPr>
        <w:rPr>
          <w:sz w:val="22"/>
          <w:szCs w:val="22"/>
        </w:rPr>
      </w:pPr>
      <w:r w:rsidRPr="00A312D3">
        <w:rPr>
          <w:b/>
          <w:bCs/>
          <w:sz w:val="22"/>
          <w:szCs w:val="22"/>
          <w:shd w:val="clear" w:color="auto" w:fill="FFFFFF"/>
        </w:rPr>
        <w:t xml:space="preserve">Consumer groups are calling for substantial changes </w:t>
      </w:r>
      <w:r w:rsidR="00A312D3" w:rsidRPr="00A312D3">
        <w:rPr>
          <w:b/>
          <w:bCs/>
          <w:sz w:val="22"/>
          <w:szCs w:val="22"/>
          <w:shd w:val="clear" w:color="auto" w:fill="FFFFFF"/>
        </w:rPr>
        <w:t>to the framework</w:t>
      </w:r>
      <w:r w:rsidR="00A312D3" w:rsidRPr="00A312D3">
        <w:rPr>
          <w:sz w:val="22"/>
          <w:szCs w:val="22"/>
          <w:shd w:val="clear" w:color="auto" w:fill="FFFFFF"/>
        </w:rPr>
        <w:t xml:space="preserve"> – </w:t>
      </w:r>
      <w:r w:rsidR="00555072">
        <w:rPr>
          <w:sz w:val="22"/>
          <w:szCs w:val="22"/>
          <w:shd w:val="clear" w:color="auto" w:fill="FFFFFF"/>
        </w:rPr>
        <w:t>the AER</w:t>
      </w:r>
      <w:r w:rsidR="2773985F" w:rsidRPr="2773985F">
        <w:rPr>
          <w:sz w:val="22"/>
          <w:szCs w:val="22"/>
        </w:rPr>
        <w:t>’s Explanatory Statement for its draft decision also stated that there is “Broad stakeholder confidence - stakeholders have generally accepted the RORI outcomes, with limited calls for changes to the framework.”</w:t>
      </w:r>
      <w:r w:rsidR="00BF2682">
        <w:rPr>
          <w:sz w:val="22"/>
          <w:szCs w:val="22"/>
        </w:rPr>
        <w:t xml:space="preserve"> </w:t>
      </w:r>
      <w:r w:rsidR="2773985F" w:rsidRPr="00865D25">
        <w:rPr>
          <w:sz w:val="22"/>
          <w:szCs w:val="22"/>
        </w:rPr>
        <w:t>T</w:t>
      </w:r>
      <w:r w:rsidR="2773985F" w:rsidRPr="2773985F">
        <w:rPr>
          <w:sz w:val="22"/>
          <w:szCs w:val="22"/>
        </w:rPr>
        <w:t xml:space="preserve">his is a blatantly untrue assertion. In 2022, the AER’s Consumer Reference Group in response to the 2022 Draft decision argued that the RORI reflected upward bias toward network providers across many parameters rather than outcomes for </w:t>
      </w:r>
      <w:r w:rsidR="000E1EA7" w:rsidRPr="2773985F">
        <w:rPr>
          <w:sz w:val="22"/>
          <w:szCs w:val="22"/>
        </w:rPr>
        <w:t>consumers and</w:t>
      </w:r>
      <w:r w:rsidR="2773985F" w:rsidRPr="2773985F">
        <w:rPr>
          <w:sz w:val="22"/>
          <w:szCs w:val="22"/>
        </w:rPr>
        <w:t xml:space="preserve"> called for reforms. In both the Energy Consumer Australia (ECA) submission and the joint COSS submission to the 2026 RORI Review, we clearly articulated our concerns with </w:t>
      </w:r>
      <w:proofErr w:type="gramStart"/>
      <w:r w:rsidR="2773985F" w:rsidRPr="2773985F">
        <w:rPr>
          <w:sz w:val="22"/>
          <w:szCs w:val="22"/>
        </w:rPr>
        <w:t>a number of</w:t>
      </w:r>
      <w:proofErr w:type="gramEnd"/>
      <w:r w:rsidR="2773985F" w:rsidRPr="2773985F">
        <w:rPr>
          <w:sz w:val="22"/>
          <w:szCs w:val="22"/>
        </w:rPr>
        <w:t xml:space="preserve"> the parameters within the RORI framework and have called for substantial changes. </w:t>
      </w:r>
    </w:p>
    <w:p w14:paraId="3083881B" w14:textId="1664CCC8" w:rsidR="00ED4D31" w:rsidRPr="00E836DE" w:rsidRDefault="2773985F" w:rsidP="003F5D20">
      <w:pPr>
        <w:spacing w:line="259" w:lineRule="auto"/>
        <w:rPr>
          <w:sz w:val="22"/>
          <w:szCs w:val="22"/>
          <w:shd w:val="clear" w:color="auto" w:fill="FFFFFF"/>
        </w:rPr>
      </w:pPr>
      <w:r w:rsidRPr="2773985F">
        <w:rPr>
          <w:b/>
          <w:bCs/>
          <w:sz w:val="22"/>
          <w:szCs w:val="22"/>
        </w:rPr>
        <w:lastRenderedPageBreak/>
        <w:t>Recommendation:</w:t>
      </w:r>
      <w:r w:rsidRPr="2773985F">
        <w:rPr>
          <w:sz w:val="22"/>
          <w:szCs w:val="22"/>
        </w:rPr>
        <w:t xml:space="preserve"> the AER’s decision making framework must prioritise the interest of consumers and make substantial changes to the RORI to reduce network “allowed” and “actual” returns.</w:t>
      </w:r>
    </w:p>
    <w:p w14:paraId="580F246C" w14:textId="55DED6EB" w:rsidR="00C04502" w:rsidRPr="00C04502" w:rsidRDefault="2773985F" w:rsidP="2773985F">
      <w:pPr>
        <w:spacing w:line="259" w:lineRule="auto"/>
        <w:rPr>
          <w:b/>
          <w:bCs/>
          <w:i/>
          <w:iCs/>
          <w:color w:val="0F4761" w:themeColor="accent1" w:themeShade="BF"/>
          <w:sz w:val="22"/>
          <w:szCs w:val="22"/>
          <w:shd w:val="clear" w:color="auto" w:fill="FFFFFF"/>
        </w:rPr>
      </w:pPr>
      <w:r w:rsidRPr="2773985F">
        <w:rPr>
          <w:b/>
          <w:bCs/>
          <w:i/>
          <w:iCs/>
          <w:color w:val="0F4761" w:themeColor="accent1" w:themeShade="BF"/>
        </w:rPr>
        <w:t>AER’s annual allowed returns are too high</w:t>
      </w:r>
    </w:p>
    <w:p w14:paraId="7F2B0959" w14:textId="05AA49E5" w:rsidR="0057535C" w:rsidRDefault="004F290D" w:rsidP="004F290D">
      <w:pPr>
        <w:spacing w:line="259" w:lineRule="auto"/>
        <w:rPr>
          <w:sz w:val="22"/>
          <w:szCs w:val="22"/>
        </w:rPr>
      </w:pPr>
      <w:r w:rsidRPr="00D35B2A">
        <w:rPr>
          <w:sz w:val="22"/>
          <w:szCs w:val="22"/>
        </w:rPr>
        <w:t>In the lead up to the AER’s 2022 RORI decision, the AER’s Consumer Reference Group argued</w:t>
      </w:r>
      <w:r w:rsidR="0057535C" w:rsidRPr="00D35B2A">
        <w:rPr>
          <w:rStyle w:val="EndnoteReference"/>
          <w:sz w:val="22"/>
          <w:szCs w:val="22"/>
        </w:rPr>
        <w:endnoteReference w:id="8"/>
      </w:r>
      <w:r w:rsidR="0057535C" w:rsidRPr="00D35B2A">
        <w:rPr>
          <w:sz w:val="22"/>
          <w:szCs w:val="22"/>
        </w:rPr>
        <w:t xml:space="preserve"> that the RORI reflected upward bias toward network providers across many parameters rather than outcomes for consumers. According to an independent review conducted for ECA, this resulted in the network prices being 6.4% or $941 million</w:t>
      </w:r>
      <w:r w:rsidR="0057535C" w:rsidRPr="00D35B2A">
        <w:rPr>
          <w:rStyle w:val="EndnoteReference"/>
          <w:sz w:val="22"/>
          <w:szCs w:val="22"/>
        </w:rPr>
        <w:endnoteReference w:id="9"/>
      </w:r>
      <w:r w:rsidR="0057535C" w:rsidRPr="00D35B2A">
        <w:rPr>
          <w:sz w:val="22"/>
          <w:szCs w:val="22"/>
        </w:rPr>
        <w:t xml:space="preserve"> higher than necessary.</w:t>
      </w:r>
    </w:p>
    <w:p w14:paraId="70EEAB51" w14:textId="679594EB" w:rsidR="0057535C" w:rsidRDefault="0057535C" w:rsidP="004F290D">
      <w:pPr>
        <w:spacing w:line="259" w:lineRule="auto"/>
        <w:rPr>
          <w:sz w:val="22"/>
          <w:szCs w:val="22"/>
        </w:rPr>
      </w:pPr>
      <w:r>
        <w:rPr>
          <w:sz w:val="22"/>
          <w:szCs w:val="22"/>
        </w:rPr>
        <w:t>There are several reforms the AER can make to further reduce the annual allowed returns:</w:t>
      </w:r>
    </w:p>
    <w:p w14:paraId="51DF0A07" w14:textId="583F4389" w:rsidR="0057535C" w:rsidRPr="00A261D2" w:rsidRDefault="0057535C" w:rsidP="000D4790">
      <w:pPr>
        <w:pStyle w:val="ListParagraph"/>
        <w:numPr>
          <w:ilvl w:val="0"/>
          <w:numId w:val="6"/>
        </w:numPr>
        <w:spacing w:line="259" w:lineRule="auto"/>
        <w:rPr>
          <w:sz w:val="22"/>
          <w:szCs w:val="22"/>
          <w:shd w:val="clear" w:color="auto" w:fill="FFFFFF"/>
        </w:rPr>
      </w:pPr>
      <w:r w:rsidRPr="000D4790">
        <w:rPr>
          <w:b/>
          <w:bCs/>
          <w:sz w:val="22"/>
          <w:szCs w:val="22"/>
        </w:rPr>
        <w:t>Further reducing the equity beta estimate</w:t>
      </w:r>
      <w:r>
        <w:rPr>
          <w:rStyle w:val="EndnoteReference"/>
          <w:b/>
          <w:bCs/>
          <w:sz w:val="22"/>
          <w:szCs w:val="22"/>
        </w:rPr>
        <w:endnoteReference w:id="10"/>
      </w:r>
      <w:r w:rsidRPr="000D4790">
        <w:rPr>
          <w:sz w:val="22"/>
          <w:szCs w:val="22"/>
        </w:rPr>
        <w:t xml:space="preserve"> - </w:t>
      </w:r>
      <w:r w:rsidRPr="000D4790">
        <w:rPr>
          <w:sz w:val="22"/>
          <w:szCs w:val="22"/>
          <w:shd w:val="clear" w:color="auto" w:fill="FFFFFF"/>
        </w:rPr>
        <w:t>While we welcome the AER</w:t>
      </w:r>
      <w:r w:rsidRPr="2773985F">
        <w:rPr>
          <w:sz w:val="22"/>
          <w:szCs w:val="22"/>
        </w:rPr>
        <w:t>’s proposed change to reduce equity beta, as per consumer group submissions, we do not believe the reduction from 6.0 to 5.5 goes far enough. The AER estimates this change will reduce total network regulated revenue by around $940 million, with an estimate bill savings for residential customers of $8 per annum. As ECA note in their submission “The AER’s estimate is biased by the inclusion of non-representative firms and the international data which the AER itself expresses caution with. The domestic data shows clearly that the equity beta estimates of majority-regulated Australian firms are generally below 0.4.”</w:t>
      </w:r>
      <w:r w:rsidRPr="2773985F">
        <w:rPr>
          <w:rStyle w:val="EndnoteReference"/>
          <w:sz w:val="22"/>
          <w:szCs w:val="22"/>
        </w:rPr>
        <w:endnoteReference w:id="11"/>
      </w:r>
      <w:r w:rsidRPr="2773985F">
        <w:rPr>
          <w:sz w:val="22"/>
          <w:szCs w:val="22"/>
        </w:rPr>
        <w:t xml:space="preserve"> Based on the arguments noted in </w:t>
      </w:r>
      <w:proofErr w:type="gramStart"/>
      <w:r w:rsidRPr="2773985F">
        <w:rPr>
          <w:sz w:val="22"/>
          <w:szCs w:val="22"/>
        </w:rPr>
        <w:t>ECA‘</w:t>
      </w:r>
      <w:proofErr w:type="gramEnd"/>
      <w:r w:rsidRPr="2773985F">
        <w:rPr>
          <w:sz w:val="22"/>
          <w:szCs w:val="22"/>
        </w:rPr>
        <w:t xml:space="preserve">s submission and evidence provided by the independent consultants </w:t>
      </w:r>
      <w:r w:rsidRPr="2773985F">
        <w:rPr>
          <w:rFonts w:eastAsia="Times New Roman"/>
          <w:color w:val="000000" w:themeColor="text1"/>
        </w:rPr>
        <w:t>EMAS</w:t>
      </w:r>
      <w:r w:rsidRPr="2773985F">
        <w:rPr>
          <w:rFonts w:eastAsia="Times New Roman"/>
          <w:color w:val="000000" w:themeColor="text1"/>
          <w:sz w:val="22"/>
          <w:szCs w:val="22"/>
        </w:rPr>
        <w:t>, the equity beta estimate should be no higher than 0.5 (preferably below).</w:t>
      </w:r>
    </w:p>
    <w:p w14:paraId="00E76F22" w14:textId="0A6777B1" w:rsidR="0057535C" w:rsidRPr="00F66525" w:rsidRDefault="0057535C" w:rsidP="00AF55F0">
      <w:pPr>
        <w:spacing w:line="259" w:lineRule="auto"/>
        <w:rPr>
          <w:sz w:val="22"/>
          <w:szCs w:val="22"/>
        </w:rPr>
      </w:pPr>
      <w:r w:rsidRPr="00F66525">
        <w:rPr>
          <w:b/>
          <w:bCs/>
          <w:sz w:val="22"/>
          <w:szCs w:val="22"/>
        </w:rPr>
        <w:t xml:space="preserve">Recommendation: </w:t>
      </w:r>
      <w:r w:rsidRPr="00F66525">
        <w:rPr>
          <w:sz w:val="22"/>
          <w:szCs w:val="22"/>
        </w:rPr>
        <w:t>The AER should set the equity beta no higher than 0.5 and preferably below.</w:t>
      </w:r>
    </w:p>
    <w:p w14:paraId="5985AF95" w14:textId="40963308" w:rsidR="0057535C" w:rsidRDefault="0057535C" w:rsidP="009E5F9A">
      <w:pPr>
        <w:pStyle w:val="ListParagraph"/>
        <w:numPr>
          <w:ilvl w:val="0"/>
          <w:numId w:val="6"/>
        </w:numPr>
        <w:spacing w:line="259" w:lineRule="auto"/>
        <w:rPr>
          <w:sz w:val="22"/>
          <w:szCs w:val="22"/>
        </w:rPr>
      </w:pPr>
      <w:r w:rsidRPr="00F66525">
        <w:rPr>
          <w:b/>
          <w:bCs/>
          <w:sz w:val="22"/>
          <w:szCs w:val="22"/>
        </w:rPr>
        <w:t>Reduce the Market Risk Premium (MRP)</w:t>
      </w:r>
      <w:r w:rsidRPr="00F66525">
        <w:rPr>
          <w:rStyle w:val="EndnoteReference"/>
          <w:b/>
          <w:bCs/>
          <w:sz w:val="22"/>
          <w:szCs w:val="22"/>
        </w:rPr>
        <w:endnoteReference w:id="12"/>
      </w:r>
      <w:r w:rsidRPr="00F66525">
        <w:rPr>
          <w:sz w:val="22"/>
          <w:szCs w:val="22"/>
        </w:rPr>
        <w:t xml:space="preserve"> – </w:t>
      </w:r>
      <w:r>
        <w:rPr>
          <w:sz w:val="22"/>
          <w:szCs w:val="22"/>
        </w:rPr>
        <w:t xml:space="preserve">The AER proposes to reduce the MRP down from 6.2% to 6.1%, which we welcome, but again it does not go far enough.  The AER estimates that change will </w:t>
      </w:r>
      <w:r w:rsidRPr="004D6116">
        <w:rPr>
          <w:sz w:val="22"/>
          <w:szCs w:val="22"/>
        </w:rPr>
        <w:t xml:space="preserve">deliver an aggregate reduction in regulated revenues of around $190 million </w:t>
      </w:r>
      <w:r>
        <w:rPr>
          <w:sz w:val="22"/>
          <w:szCs w:val="22"/>
        </w:rPr>
        <w:t>and</w:t>
      </w:r>
      <w:r w:rsidRPr="004D6116">
        <w:rPr>
          <w:sz w:val="22"/>
          <w:szCs w:val="22"/>
        </w:rPr>
        <w:t xml:space="preserve"> reduce the average residential customer bill by about $1.50 per </w:t>
      </w:r>
      <w:r w:rsidRPr="009E5F9A">
        <w:rPr>
          <w:sz w:val="22"/>
          <w:szCs w:val="22"/>
        </w:rPr>
        <w:t>annum</w:t>
      </w:r>
      <w:r>
        <w:rPr>
          <w:sz w:val="22"/>
          <w:szCs w:val="22"/>
        </w:rPr>
        <w:t>.</w:t>
      </w:r>
    </w:p>
    <w:p w14:paraId="3CA87D94" w14:textId="77777777" w:rsidR="0057535C" w:rsidRDefault="0057535C" w:rsidP="009E5F9A">
      <w:pPr>
        <w:pStyle w:val="ListParagraph"/>
        <w:spacing w:line="259" w:lineRule="auto"/>
        <w:rPr>
          <w:sz w:val="22"/>
          <w:szCs w:val="22"/>
        </w:rPr>
      </w:pPr>
    </w:p>
    <w:p w14:paraId="70D02912" w14:textId="7826653A" w:rsidR="0057535C" w:rsidRPr="009E5F9A" w:rsidRDefault="0057535C" w:rsidP="009E5F9A">
      <w:pPr>
        <w:pStyle w:val="ListParagraph"/>
        <w:spacing w:line="259" w:lineRule="auto"/>
        <w:rPr>
          <w:sz w:val="22"/>
          <w:szCs w:val="22"/>
        </w:rPr>
      </w:pPr>
      <w:r w:rsidRPr="009E5F9A">
        <w:rPr>
          <w:sz w:val="22"/>
          <w:szCs w:val="22"/>
        </w:rPr>
        <w:t>We support ECA</w:t>
      </w:r>
      <w:r w:rsidRPr="2773985F">
        <w:rPr>
          <w:sz w:val="22"/>
          <w:szCs w:val="22"/>
        </w:rPr>
        <w:t>’s recommendation to adopt an MRP of no more than 6.0% and preferably less. The ECA in their submission notes “The AER’s draft decision of 6.1% is at the top of a reasonable range, with limited evidence to support this decision. This appears to contradict the AER’s approach of using a midpoint to estimate equity beta [for example]. By selecting 6.1%, the AER is heavily skewing its decision toward the upwardly biased arithmetic mean (6.3%), rather than anchoring near the true midpoint (5.65%) or the weighted average (6.0%).”</w:t>
      </w:r>
      <w:r w:rsidRPr="2773985F">
        <w:rPr>
          <w:rStyle w:val="EndnoteReference"/>
          <w:sz w:val="22"/>
          <w:szCs w:val="22"/>
        </w:rPr>
        <w:endnoteReference w:id="13"/>
      </w:r>
    </w:p>
    <w:p w14:paraId="70249315" w14:textId="6B9B045B" w:rsidR="000D4790" w:rsidRPr="00F66525" w:rsidRDefault="00B95774" w:rsidP="00AF55F0">
      <w:pPr>
        <w:spacing w:line="259" w:lineRule="auto"/>
        <w:rPr>
          <w:sz w:val="22"/>
          <w:szCs w:val="22"/>
        </w:rPr>
      </w:pPr>
      <w:r w:rsidRPr="00F66525">
        <w:rPr>
          <w:b/>
          <w:bCs/>
          <w:sz w:val="22"/>
          <w:szCs w:val="22"/>
        </w:rPr>
        <w:t>Recommendation:</w:t>
      </w:r>
      <w:r w:rsidRPr="00F66525">
        <w:rPr>
          <w:sz w:val="22"/>
          <w:szCs w:val="22"/>
        </w:rPr>
        <w:t xml:space="preserve"> The AER should set the Market Risk Premium</w:t>
      </w:r>
      <w:r w:rsidR="00A32263" w:rsidRPr="00F66525">
        <w:rPr>
          <w:sz w:val="22"/>
          <w:szCs w:val="22"/>
        </w:rPr>
        <w:t xml:space="preserve"> to</w:t>
      </w:r>
      <w:r w:rsidRPr="00F66525">
        <w:rPr>
          <w:sz w:val="22"/>
          <w:szCs w:val="22"/>
        </w:rPr>
        <w:t xml:space="preserve"> no higher than </w:t>
      </w:r>
      <w:r w:rsidR="00A32263" w:rsidRPr="00F66525">
        <w:rPr>
          <w:sz w:val="22"/>
          <w:szCs w:val="22"/>
        </w:rPr>
        <w:t>6.0%</w:t>
      </w:r>
      <w:r w:rsidRPr="00F66525">
        <w:rPr>
          <w:sz w:val="22"/>
          <w:szCs w:val="22"/>
        </w:rPr>
        <w:t xml:space="preserve"> and preferably </w:t>
      </w:r>
      <w:r w:rsidR="004A7F42">
        <w:rPr>
          <w:sz w:val="22"/>
          <w:szCs w:val="22"/>
        </w:rPr>
        <w:t>less</w:t>
      </w:r>
      <w:r w:rsidR="00A32263" w:rsidRPr="00F66525">
        <w:rPr>
          <w:sz w:val="22"/>
          <w:szCs w:val="22"/>
        </w:rPr>
        <w:t>.</w:t>
      </w:r>
    </w:p>
    <w:p w14:paraId="6D3B8D4D" w14:textId="1CB4C98D" w:rsidR="000918A3" w:rsidRPr="00F66525" w:rsidRDefault="000918A3" w:rsidP="00AF55F0">
      <w:pPr>
        <w:spacing w:line="259" w:lineRule="auto"/>
        <w:rPr>
          <w:b/>
          <w:bCs/>
          <w:i/>
          <w:iCs/>
          <w:color w:val="0F4761" w:themeColor="accent1" w:themeShade="BF"/>
          <w:shd w:val="clear" w:color="auto" w:fill="FFFFFF"/>
        </w:rPr>
      </w:pPr>
      <w:r w:rsidRPr="00F66525">
        <w:rPr>
          <w:b/>
          <w:bCs/>
          <w:i/>
          <w:iCs/>
          <w:color w:val="0F4761" w:themeColor="accent1" w:themeShade="BF"/>
          <w:shd w:val="clear" w:color="auto" w:fill="FFFFFF"/>
        </w:rPr>
        <w:t>Actual returns are too high</w:t>
      </w:r>
    </w:p>
    <w:p w14:paraId="77EC9AEB" w14:textId="144806B9" w:rsidR="0057535C" w:rsidRPr="00AF55F0" w:rsidRDefault="003B2DCF" w:rsidP="00AF55F0">
      <w:pPr>
        <w:spacing w:line="259" w:lineRule="auto"/>
        <w:rPr>
          <w:sz w:val="22"/>
          <w:szCs w:val="22"/>
          <w:shd w:val="clear" w:color="auto" w:fill="FFFFFF"/>
        </w:rPr>
      </w:pPr>
      <w:r w:rsidRPr="00D35B2A">
        <w:rPr>
          <w:sz w:val="22"/>
          <w:szCs w:val="22"/>
        </w:rPr>
        <w:t xml:space="preserve">AER analyses repeatedly show that networks materially outperform </w:t>
      </w:r>
      <w:r w:rsidR="002D38ED">
        <w:rPr>
          <w:sz w:val="22"/>
          <w:szCs w:val="22"/>
        </w:rPr>
        <w:t xml:space="preserve">the annual allowed </w:t>
      </w:r>
      <w:r w:rsidRPr="00D35B2A">
        <w:rPr>
          <w:sz w:val="22"/>
          <w:szCs w:val="22"/>
        </w:rPr>
        <w:t>regulated returns</w:t>
      </w:r>
      <w:r w:rsidR="002863F5">
        <w:rPr>
          <w:sz w:val="22"/>
          <w:szCs w:val="22"/>
        </w:rPr>
        <w:t xml:space="preserve"> (</w:t>
      </w:r>
      <w:r w:rsidR="00E0005A">
        <w:rPr>
          <w:sz w:val="22"/>
          <w:szCs w:val="22"/>
        </w:rPr>
        <w:t xml:space="preserve">see </w:t>
      </w:r>
      <w:r w:rsidR="002863F5">
        <w:rPr>
          <w:sz w:val="22"/>
          <w:szCs w:val="22"/>
        </w:rPr>
        <w:t>figure</w:t>
      </w:r>
      <w:r w:rsidR="00E0005A">
        <w:rPr>
          <w:sz w:val="22"/>
          <w:szCs w:val="22"/>
        </w:rPr>
        <w:t>’s</w:t>
      </w:r>
      <w:r w:rsidR="002863F5">
        <w:rPr>
          <w:sz w:val="22"/>
          <w:szCs w:val="22"/>
        </w:rPr>
        <w:t xml:space="preserve"> 1</w:t>
      </w:r>
      <w:r w:rsidR="001653C2">
        <w:rPr>
          <w:sz w:val="22"/>
          <w:szCs w:val="22"/>
        </w:rPr>
        <w:t xml:space="preserve"> and 2</w:t>
      </w:r>
      <w:r w:rsidR="002863F5">
        <w:rPr>
          <w:sz w:val="22"/>
          <w:szCs w:val="22"/>
        </w:rPr>
        <w:t>)</w:t>
      </w:r>
      <w:r w:rsidRPr="00D35B2A">
        <w:rPr>
          <w:sz w:val="22"/>
          <w:szCs w:val="22"/>
        </w:rPr>
        <w:t>.</w:t>
      </w:r>
      <w:r w:rsidR="0057535C" w:rsidRPr="00D35B2A">
        <w:rPr>
          <w:rStyle w:val="EndnoteReference"/>
          <w:sz w:val="22"/>
          <w:szCs w:val="22"/>
        </w:rPr>
        <w:endnoteReference w:id="14"/>
      </w:r>
    </w:p>
    <w:p w14:paraId="143655CD" w14:textId="11D8BAC3" w:rsidR="0057535C" w:rsidRDefault="006160D3" w:rsidP="006160D3">
      <w:pPr>
        <w:spacing w:line="259" w:lineRule="auto"/>
        <w:rPr>
          <w:sz w:val="22"/>
          <w:szCs w:val="22"/>
          <w:shd w:val="clear" w:color="auto" w:fill="FFFFFF"/>
        </w:rPr>
      </w:pPr>
      <w:r w:rsidRPr="004F1CBC">
        <w:rPr>
          <w:sz w:val="22"/>
          <w:szCs w:val="22"/>
        </w:rPr>
        <w:t>The independent analysis by EMAS argues that a material proportion of this outperformance is due to how inflation is treated in the rate of return instrument.</w:t>
      </w:r>
      <w:r w:rsidR="0057535C">
        <w:rPr>
          <w:rStyle w:val="EndnoteReference"/>
          <w:sz w:val="22"/>
          <w:szCs w:val="22"/>
        </w:rPr>
        <w:endnoteReference w:id="15"/>
      </w:r>
      <w:r w:rsidR="0057535C">
        <w:rPr>
          <w:sz w:val="22"/>
          <w:szCs w:val="22"/>
          <w:shd w:val="clear" w:color="auto" w:fill="FFFFFF"/>
        </w:rPr>
        <w:t xml:space="preserve"> </w:t>
      </w:r>
    </w:p>
    <w:p w14:paraId="44A64411" w14:textId="6620E98A" w:rsidR="0057535C" w:rsidRPr="002F7669" w:rsidRDefault="0057535C" w:rsidP="002863F5">
      <w:pPr>
        <w:rPr>
          <w:rFonts w:eastAsia="Times New Roman"/>
          <w:sz w:val="20"/>
          <w:szCs w:val="20"/>
        </w:rPr>
      </w:pPr>
      <w:r w:rsidRPr="002F7669">
        <w:rPr>
          <w:rFonts w:eastAsia="Times New Roman"/>
          <w:i/>
          <w:iCs/>
          <w:sz w:val="20"/>
          <w:szCs w:val="20"/>
        </w:rPr>
        <w:lastRenderedPageBreak/>
        <w:t>Figure 1 Aggregate Actual real return on equity compared to allowed real return on equity – electricity networks</w:t>
      </w:r>
    </w:p>
    <w:p w14:paraId="1BBF8622" w14:textId="5E7A67E7" w:rsidR="0057535C" w:rsidRDefault="0057535C" w:rsidP="002863F5">
      <w:pPr>
        <w:rPr>
          <w:rFonts w:eastAsia="Times New Roman"/>
          <w:color w:val="000000"/>
        </w:rPr>
      </w:pPr>
      <w:r>
        <w:rPr>
          <w:rFonts w:eastAsia="Times New Roman"/>
          <w:noProof/>
          <w:color w:val="000000"/>
        </w:rPr>
        <w:drawing>
          <wp:inline distT="0" distB="0" distL="0" distR="0" wp14:anchorId="00793300" wp14:editId="0B99D1C6">
            <wp:extent cx="4810125" cy="2428875"/>
            <wp:effectExtent l="0" t="0" r="9525" b="9525"/>
            <wp:docPr id="1008460666" name="Picture 1" descr="The diagram depicts a line chart showing the actual and allowed Risk of Exceedance (RoRE) percentages from 2014 to 2025.&#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60666" name="Picture 1" descr="The diagram depicts a line chart showing the actual and allowed Risk of Exceedance (RoRE) percentages from 2014 to 2025.&#10;&#10;AI-generated content may be incorrect."/>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4810125" cy="2428875"/>
                    </a:xfrm>
                    <a:prstGeom prst="rect">
                      <a:avLst/>
                    </a:prstGeom>
                    <a:noFill/>
                    <a:ln>
                      <a:noFill/>
                    </a:ln>
                  </pic:spPr>
                </pic:pic>
              </a:graphicData>
            </a:graphic>
          </wp:inline>
        </w:drawing>
      </w:r>
    </w:p>
    <w:p w14:paraId="132019BE" w14:textId="66F935ED" w:rsidR="003041BC" w:rsidRPr="002F7669" w:rsidRDefault="0029044D" w:rsidP="00D35B2A">
      <w:pPr>
        <w:spacing w:line="259" w:lineRule="auto"/>
        <w:rPr>
          <w:i/>
          <w:iCs/>
          <w:sz w:val="20"/>
          <w:szCs w:val="20"/>
          <w:shd w:val="clear" w:color="auto" w:fill="FFFFFF"/>
        </w:rPr>
      </w:pPr>
      <w:r w:rsidRPr="002F7669">
        <w:rPr>
          <w:i/>
          <w:iCs/>
          <w:sz w:val="20"/>
          <w:szCs w:val="20"/>
          <w:shd w:val="clear" w:color="auto" w:fill="FFFFFF"/>
        </w:rPr>
        <w:t xml:space="preserve">Figure 2 </w:t>
      </w:r>
      <w:r w:rsidR="0059434E" w:rsidRPr="002F7669">
        <w:rPr>
          <w:i/>
          <w:iCs/>
          <w:sz w:val="20"/>
          <w:szCs w:val="20"/>
          <w:shd w:val="clear" w:color="auto" w:fill="FFFFFF"/>
        </w:rPr>
        <w:t xml:space="preserve">Individual Network level </w:t>
      </w:r>
      <w:r w:rsidR="00EE2987" w:rsidRPr="002F7669">
        <w:rPr>
          <w:i/>
          <w:iCs/>
          <w:sz w:val="20"/>
          <w:szCs w:val="20"/>
          <w:shd w:val="clear" w:color="auto" w:fill="FFFFFF"/>
        </w:rPr>
        <w:t>a</w:t>
      </w:r>
      <w:r w:rsidRPr="002F7669">
        <w:rPr>
          <w:i/>
          <w:iCs/>
          <w:sz w:val="20"/>
          <w:szCs w:val="20"/>
          <w:shd w:val="clear" w:color="auto" w:fill="FFFFFF"/>
        </w:rPr>
        <w:t>verage annual allowed and actual rate of return on equity 2022-2025</w:t>
      </w:r>
    </w:p>
    <w:p w14:paraId="4608ABDB" w14:textId="77777777" w:rsidR="0057256D" w:rsidRDefault="0057256D" w:rsidP="0029044D">
      <w:pPr>
        <w:spacing w:line="259" w:lineRule="auto"/>
        <w:jc w:val="center"/>
        <w:rPr>
          <w:sz w:val="22"/>
          <w:szCs w:val="22"/>
          <w:shd w:val="clear" w:color="auto" w:fill="FFFFFF"/>
        </w:rPr>
      </w:pPr>
    </w:p>
    <w:p w14:paraId="655B4F21" w14:textId="52208E87" w:rsidR="0009256C" w:rsidRDefault="00A16729" w:rsidP="0029044D">
      <w:pPr>
        <w:spacing w:line="259" w:lineRule="auto"/>
        <w:jc w:val="center"/>
        <w:rPr>
          <w:sz w:val="22"/>
          <w:szCs w:val="22"/>
          <w:shd w:val="clear" w:color="auto" w:fill="FFFFFF"/>
        </w:rPr>
      </w:pPr>
      <w:r w:rsidRPr="00A16729">
        <w:rPr>
          <w:noProof/>
          <w:sz w:val="22"/>
          <w:szCs w:val="22"/>
          <w:shd w:val="clear" w:color="auto" w:fill="FFFFFF"/>
        </w:rPr>
        <w:drawing>
          <wp:inline distT="0" distB="0" distL="0" distR="0" wp14:anchorId="66D9BCA3" wp14:editId="3C6B749C">
            <wp:extent cx="5731510" cy="3231515"/>
            <wp:effectExtent l="0" t="0" r="2540" b="6985"/>
            <wp:docPr id="272814184" name="Picture 1" descr="The diagram shows a pie chart with various energy companies and their respective shares of allowed real return on equ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14184" name="Picture 1" descr="The diagram shows a pie chart with various energy companies and their respective shares of allowed real return on equity.&#10;&#10;AI-generated content may be incorrect."/>
                    <pic:cNvPicPr/>
                  </pic:nvPicPr>
                  <pic:blipFill>
                    <a:blip r:embed="rId21"/>
                    <a:stretch>
                      <a:fillRect/>
                    </a:stretch>
                  </pic:blipFill>
                  <pic:spPr>
                    <a:xfrm>
                      <a:off x="0" y="0"/>
                      <a:ext cx="5731510" cy="3231515"/>
                    </a:xfrm>
                    <a:prstGeom prst="rect">
                      <a:avLst/>
                    </a:prstGeom>
                  </pic:spPr>
                </pic:pic>
              </a:graphicData>
            </a:graphic>
          </wp:inline>
        </w:drawing>
      </w:r>
    </w:p>
    <w:p w14:paraId="060842D3" w14:textId="06F3613B" w:rsidR="0057535C" w:rsidRPr="0057256D" w:rsidRDefault="0057256D" w:rsidP="0057256D">
      <w:pPr>
        <w:spacing w:line="259" w:lineRule="auto"/>
        <w:rPr>
          <w:sz w:val="20"/>
          <w:szCs w:val="20"/>
          <w:shd w:val="clear" w:color="auto" w:fill="FFFFFF"/>
        </w:rPr>
      </w:pPr>
      <w:r w:rsidRPr="0057256D">
        <w:rPr>
          <w:sz w:val="20"/>
          <w:szCs w:val="20"/>
          <w:shd w:val="clear" w:color="auto" w:fill="FFFFFF"/>
        </w:rPr>
        <w:t>Source: ECA Analysis of AER Operational Performance Data</w:t>
      </w:r>
      <w:r w:rsidR="0057535C">
        <w:rPr>
          <w:rStyle w:val="EndnoteReference"/>
          <w:sz w:val="20"/>
          <w:szCs w:val="20"/>
          <w:shd w:val="clear" w:color="auto" w:fill="FFFFFF"/>
        </w:rPr>
        <w:endnoteReference w:id="16"/>
      </w:r>
      <w:r w:rsidR="0057535C" w:rsidRPr="0057256D">
        <w:rPr>
          <w:sz w:val="20"/>
          <w:szCs w:val="20"/>
          <w:shd w:val="clear" w:color="auto" w:fill="FFFFFF"/>
        </w:rPr>
        <w:t xml:space="preserve"> </w:t>
      </w:r>
    </w:p>
    <w:p w14:paraId="59DF5CA6" w14:textId="77777777" w:rsidR="00C97E9F" w:rsidRDefault="00C97E9F" w:rsidP="00C97E9F">
      <w:pPr>
        <w:spacing w:line="259" w:lineRule="auto"/>
        <w:rPr>
          <w:sz w:val="22"/>
          <w:szCs w:val="22"/>
          <w:shd w:val="clear" w:color="auto" w:fill="FFFFFF"/>
        </w:rPr>
      </w:pPr>
      <w:r>
        <w:rPr>
          <w:sz w:val="22"/>
          <w:szCs w:val="22"/>
          <w:shd w:val="clear" w:color="auto" w:fill="FFFFFF"/>
        </w:rPr>
        <w:t xml:space="preserve">When inflation is higher than forecast, it </w:t>
      </w:r>
      <w:r w:rsidRPr="00306150">
        <w:rPr>
          <w:sz w:val="22"/>
          <w:szCs w:val="22"/>
          <w:shd w:val="clear" w:color="auto" w:fill="FFFFFF"/>
        </w:rPr>
        <w:t>increases a network's allowed return on capital</w:t>
      </w:r>
      <w:r>
        <w:rPr>
          <w:sz w:val="22"/>
          <w:szCs w:val="22"/>
          <w:shd w:val="clear" w:color="auto" w:fill="FFFFFF"/>
        </w:rPr>
        <w:t>, leading to windfall gains:</w:t>
      </w:r>
      <w:r w:rsidRPr="00306150">
        <w:rPr>
          <w:sz w:val="22"/>
          <w:szCs w:val="22"/>
          <w:shd w:val="clear" w:color="auto" w:fill="FFFFFF"/>
        </w:rPr>
        <w:t xml:space="preserve"> </w:t>
      </w:r>
    </w:p>
    <w:p w14:paraId="68F23CB2" w14:textId="77777777" w:rsidR="00C97E9F" w:rsidRPr="002E5805" w:rsidRDefault="00C97E9F" w:rsidP="00C97E9F">
      <w:pPr>
        <w:pStyle w:val="ListParagraph"/>
        <w:numPr>
          <w:ilvl w:val="0"/>
          <w:numId w:val="6"/>
        </w:numPr>
        <w:spacing w:line="259" w:lineRule="auto"/>
        <w:rPr>
          <w:sz w:val="22"/>
          <w:szCs w:val="22"/>
          <w:shd w:val="clear" w:color="auto" w:fill="FFFFFF"/>
        </w:rPr>
      </w:pPr>
      <w:r w:rsidRPr="002E5805">
        <w:rPr>
          <w:sz w:val="22"/>
          <w:szCs w:val="22"/>
          <w:shd w:val="clear" w:color="auto" w:fill="FFFFFF"/>
        </w:rPr>
        <w:t>By directly increasing the total value of their asset base, which boosts the return on capital calculated as a percentage of that base</w:t>
      </w:r>
      <w:r w:rsidRPr="2773985F">
        <w:rPr>
          <w:sz w:val="22"/>
          <w:szCs w:val="22"/>
        </w:rPr>
        <w:t>; and</w:t>
      </w:r>
    </w:p>
    <w:p w14:paraId="300F6430" w14:textId="77777777" w:rsidR="00C97E9F" w:rsidRDefault="00C97E9F" w:rsidP="00C97E9F">
      <w:pPr>
        <w:pStyle w:val="ListParagraph"/>
        <w:numPr>
          <w:ilvl w:val="0"/>
          <w:numId w:val="6"/>
        </w:numPr>
        <w:spacing w:line="259" w:lineRule="auto"/>
        <w:rPr>
          <w:sz w:val="22"/>
          <w:szCs w:val="22"/>
          <w:shd w:val="clear" w:color="auto" w:fill="FFFFFF"/>
        </w:rPr>
      </w:pPr>
      <w:r>
        <w:rPr>
          <w:sz w:val="22"/>
          <w:szCs w:val="22"/>
          <w:shd w:val="clear" w:color="auto" w:fill="FFFFFF"/>
        </w:rPr>
        <w:t>Through d</w:t>
      </w:r>
      <w:r w:rsidRPr="007649ED">
        <w:rPr>
          <w:sz w:val="22"/>
          <w:szCs w:val="22"/>
          <w:shd w:val="clear" w:color="auto" w:fill="FFFFFF"/>
        </w:rPr>
        <w:t xml:space="preserve">elayed </w:t>
      </w:r>
      <w:r>
        <w:rPr>
          <w:sz w:val="22"/>
          <w:szCs w:val="22"/>
          <w:shd w:val="clear" w:color="auto" w:fill="FFFFFF"/>
        </w:rPr>
        <w:t>r</w:t>
      </w:r>
      <w:r w:rsidRPr="007649ED">
        <w:rPr>
          <w:sz w:val="22"/>
          <w:szCs w:val="22"/>
          <w:shd w:val="clear" w:color="auto" w:fill="FFFFFF"/>
        </w:rPr>
        <w:t xml:space="preserve">evenue </w:t>
      </w:r>
      <w:r>
        <w:rPr>
          <w:sz w:val="22"/>
          <w:szCs w:val="22"/>
          <w:shd w:val="clear" w:color="auto" w:fill="FFFFFF"/>
        </w:rPr>
        <w:t>a</w:t>
      </w:r>
      <w:r w:rsidRPr="007649ED">
        <w:rPr>
          <w:sz w:val="22"/>
          <w:szCs w:val="22"/>
          <w:shd w:val="clear" w:color="auto" w:fill="FFFFFF"/>
        </w:rPr>
        <w:t>djustment</w:t>
      </w:r>
      <w:r>
        <w:rPr>
          <w:sz w:val="22"/>
          <w:szCs w:val="22"/>
          <w:shd w:val="clear" w:color="auto" w:fill="FFFFFF"/>
        </w:rPr>
        <w:t>.</w:t>
      </w:r>
      <w:r>
        <w:rPr>
          <w:rStyle w:val="EndnoteReference"/>
          <w:sz w:val="22"/>
          <w:szCs w:val="22"/>
          <w:shd w:val="clear" w:color="auto" w:fill="FFFFFF"/>
        </w:rPr>
        <w:endnoteReference w:id="17"/>
      </w:r>
      <w:r w:rsidRPr="007649ED">
        <w:rPr>
          <w:sz w:val="22"/>
          <w:szCs w:val="22"/>
          <w:shd w:val="clear" w:color="auto" w:fill="FFFFFF"/>
        </w:rPr>
        <w:t xml:space="preserve"> If actual inflation outpaces this forecast, the network receives higher actual cash flow compensation and higher indexed RAB growth, resulting in actual returns on equity that exceed the initial allowed rates.</w:t>
      </w:r>
    </w:p>
    <w:p w14:paraId="519C0811" w14:textId="5616B731" w:rsidR="0057535C" w:rsidRDefault="0057535C" w:rsidP="00422621">
      <w:pPr>
        <w:rPr>
          <w:rFonts w:eastAsia="Times New Roman"/>
          <w:i/>
          <w:iCs/>
          <w:sz w:val="20"/>
          <w:szCs w:val="20"/>
        </w:rPr>
      </w:pPr>
      <w:r w:rsidRPr="001D0882">
        <w:rPr>
          <w:sz w:val="22"/>
          <w:szCs w:val="22"/>
          <w:shd w:val="clear" w:color="auto" w:fill="FFFFFF"/>
        </w:rPr>
        <w:lastRenderedPageBreak/>
        <w:t xml:space="preserve">The AER has acknowledged the impact of inflation forecasts, which we welcome, but has said it is beyond the scope of the 2026 </w:t>
      </w:r>
      <w:proofErr w:type="spellStart"/>
      <w:r w:rsidRPr="001D0882">
        <w:rPr>
          <w:sz w:val="22"/>
          <w:szCs w:val="22"/>
          <w:shd w:val="clear" w:color="auto" w:fill="FFFFFF"/>
        </w:rPr>
        <w:t>RoRI</w:t>
      </w:r>
      <w:proofErr w:type="spellEnd"/>
      <w:r w:rsidRPr="001D0882">
        <w:rPr>
          <w:sz w:val="22"/>
          <w:szCs w:val="22"/>
          <w:shd w:val="clear" w:color="auto" w:fill="FFFFFF"/>
        </w:rPr>
        <w:t xml:space="preserve"> review and any change to the regulatory treatment of inflation must await a discretionary AER review.</w:t>
      </w:r>
    </w:p>
    <w:p w14:paraId="69EE550E" w14:textId="77777777" w:rsidR="0057535C" w:rsidRDefault="0057535C" w:rsidP="00422621">
      <w:pPr>
        <w:spacing w:line="259" w:lineRule="auto"/>
        <w:rPr>
          <w:sz w:val="22"/>
          <w:szCs w:val="22"/>
          <w:shd w:val="clear" w:color="auto" w:fill="FFFFFF"/>
        </w:rPr>
      </w:pPr>
      <w:r>
        <w:rPr>
          <w:sz w:val="22"/>
          <w:szCs w:val="22"/>
          <w:shd w:val="clear" w:color="auto" w:fill="FFFFFF"/>
        </w:rPr>
        <w:t xml:space="preserve">However, independent consultants </w:t>
      </w:r>
      <w:r w:rsidRPr="003738A0">
        <w:rPr>
          <w:sz w:val="22"/>
          <w:szCs w:val="22"/>
          <w:shd w:val="clear" w:color="auto" w:fill="FFFFFF"/>
        </w:rPr>
        <w:t xml:space="preserve">EMAS </w:t>
      </w:r>
      <w:r>
        <w:rPr>
          <w:sz w:val="22"/>
          <w:szCs w:val="22"/>
          <w:shd w:val="clear" w:color="auto" w:fill="FFFFFF"/>
        </w:rPr>
        <w:t xml:space="preserve">argues </w:t>
      </w:r>
      <w:r w:rsidRPr="003738A0">
        <w:rPr>
          <w:sz w:val="22"/>
          <w:szCs w:val="22"/>
          <w:shd w:val="clear" w:color="auto" w:fill="FFFFFF"/>
        </w:rPr>
        <w:t>the AER can</w:t>
      </w:r>
      <w:r>
        <w:rPr>
          <w:sz w:val="22"/>
          <w:szCs w:val="22"/>
          <w:shd w:val="clear" w:color="auto" w:fill="FFFFFF"/>
        </w:rPr>
        <w:t xml:space="preserve"> do two things within the scope of the RORI, to reduce how inflation is considered and avoid windfall gains:</w:t>
      </w:r>
    </w:p>
    <w:p w14:paraId="7741F4F7" w14:textId="77777777" w:rsidR="0057535C" w:rsidRPr="00F252FC" w:rsidRDefault="0057535C" w:rsidP="00422621">
      <w:pPr>
        <w:pStyle w:val="ListParagraph"/>
        <w:numPr>
          <w:ilvl w:val="0"/>
          <w:numId w:val="7"/>
        </w:numPr>
        <w:spacing w:line="259" w:lineRule="auto"/>
        <w:rPr>
          <w:sz w:val="22"/>
          <w:szCs w:val="22"/>
          <w:shd w:val="clear" w:color="auto" w:fill="FFFFFF"/>
        </w:rPr>
      </w:pPr>
      <w:r w:rsidRPr="00ED5EE7">
        <w:rPr>
          <w:b/>
          <w:bCs/>
          <w:sz w:val="22"/>
          <w:szCs w:val="22"/>
          <w:shd w:val="clear" w:color="auto" w:fill="FFFFFF"/>
        </w:rPr>
        <w:t>Amend clause 9 of the 2026 RORI to limit the impact of inflation forecasting differences of returns on equity</w:t>
      </w:r>
      <w:r w:rsidRPr="00A0382E">
        <w:rPr>
          <w:sz w:val="22"/>
          <w:szCs w:val="22"/>
          <w:shd w:val="clear" w:color="auto" w:fill="FFFFFF"/>
        </w:rPr>
        <w:t xml:space="preserve"> </w:t>
      </w:r>
      <w:r>
        <w:rPr>
          <w:sz w:val="22"/>
          <w:szCs w:val="22"/>
          <w:shd w:val="clear" w:color="auto" w:fill="FFFFFF"/>
        </w:rPr>
        <w:t>–</w:t>
      </w:r>
      <w:r w:rsidRPr="00A0382E">
        <w:rPr>
          <w:sz w:val="22"/>
          <w:szCs w:val="22"/>
          <w:shd w:val="clear" w:color="auto" w:fill="FFFFFF"/>
        </w:rPr>
        <w:t xml:space="preserve"> </w:t>
      </w:r>
      <w:r>
        <w:rPr>
          <w:sz w:val="22"/>
          <w:szCs w:val="22"/>
          <w:shd w:val="clear" w:color="auto" w:fill="FFFFFF"/>
        </w:rPr>
        <w:t>According the EMAS report,</w:t>
      </w:r>
      <w:r>
        <w:rPr>
          <w:rStyle w:val="EndnoteReference"/>
          <w:sz w:val="22"/>
          <w:szCs w:val="22"/>
          <w:shd w:val="clear" w:color="auto" w:fill="FFFFFF"/>
        </w:rPr>
        <w:endnoteReference w:id="18"/>
      </w:r>
      <w:r>
        <w:rPr>
          <w:sz w:val="22"/>
          <w:szCs w:val="22"/>
          <w:shd w:val="clear" w:color="auto" w:fill="FFFFFF"/>
        </w:rPr>
        <w:t xml:space="preserve"> i</w:t>
      </w:r>
      <w:r w:rsidRPr="00903FA0">
        <w:rPr>
          <w:sz w:val="22"/>
          <w:szCs w:val="22"/>
          <w:shd w:val="clear" w:color="auto" w:fill="FFFFFF"/>
        </w:rPr>
        <w:t xml:space="preserve">n clause 9 of the 2022 </w:t>
      </w:r>
      <w:proofErr w:type="spellStart"/>
      <w:r w:rsidRPr="00903FA0">
        <w:rPr>
          <w:sz w:val="22"/>
          <w:szCs w:val="22"/>
          <w:shd w:val="clear" w:color="auto" w:fill="FFFFFF"/>
        </w:rPr>
        <w:t>RoRI</w:t>
      </w:r>
      <w:proofErr w:type="spellEnd"/>
      <w:r w:rsidRPr="00903FA0">
        <w:rPr>
          <w:sz w:val="22"/>
          <w:szCs w:val="22"/>
          <w:shd w:val="clear" w:color="auto" w:fill="FFFFFF"/>
        </w:rPr>
        <w:t>, the AER defines a 10-year Trailing Average Portfolio Return on Debt</w:t>
      </w:r>
      <w:r>
        <w:rPr>
          <w:sz w:val="22"/>
          <w:szCs w:val="22"/>
          <w:shd w:val="clear" w:color="auto" w:fill="FFFFFF"/>
        </w:rPr>
        <w:t xml:space="preserve"> (TAPRD), which is then meant to be </w:t>
      </w:r>
      <w:r w:rsidRPr="00903FA0">
        <w:rPr>
          <w:sz w:val="22"/>
          <w:szCs w:val="22"/>
          <w:shd w:val="clear" w:color="auto" w:fill="FFFFFF"/>
        </w:rPr>
        <w:t>applied in the Post Tax Revenue Model (PTRM) to set forward revenue and price paths over a regulatory control period.</w:t>
      </w:r>
      <w:r>
        <w:rPr>
          <w:sz w:val="22"/>
          <w:szCs w:val="22"/>
          <w:shd w:val="clear" w:color="auto" w:fill="FFFFFF"/>
        </w:rPr>
        <w:t xml:space="preserve"> However, i</w:t>
      </w:r>
      <w:r w:rsidRPr="00A32C8A">
        <w:rPr>
          <w:sz w:val="22"/>
          <w:szCs w:val="22"/>
          <w:shd w:val="clear" w:color="auto" w:fill="FFFFFF"/>
        </w:rPr>
        <w:t xml:space="preserve">n setting the allowed return on debt in annual pricing resets, the AER does not apply the </w:t>
      </w:r>
      <w:proofErr w:type="spellStart"/>
      <w:r w:rsidRPr="00A32C8A">
        <w:rPr>
          <w:sz w:val="22"/>
          <w:szCs w:val="22"/>
          <w:shd w:val="clear" w:color="auto" w:fill="FFFFFF"/>
        </w:rPr>
        <w:t>RoRI</w:t>
      </w:r>
      <w:proofErr w:type="spellEnd"/>
      <w:r>
        <w:rPr>
          <w:sz w:val="22"/>
          <w:szCs w:val="22"/>
          <w:shd w:val="clear" w:color="auto" w:fill="FFFFFF"/>
        </w:rPr>
        <w:t xml:space="preserve"> </w:t>
      </w:r>
      <w:r w:rsidRPr="00A32C8A">
        <w:rPr>
          <w:sz w:val="22"/>
          <w:szCs w:val="22"/>
          <w:shd w:val="clear" w:color="auto" w:fill="FFFFFF"/>
        </w:rPr>
        <w:t xml:space="preserve">TAPRD. Instead, it applies what it calls the </w:t>
      </w:r>
      <w:r w:rsidRPr="00F252FC">
        <w:rPr>
          <w:sz w:val="22"/>
          <w:szCs w:val="22"/>
          <w:shd w:val="clear" w:color="auto" w:fill="FFFFFF"/>
        </w:rPr>
        <w:t xml:space="preserve">‘Inflation rate variation’ (IRV) </w:t>
      </w:r>
      <w:r w:rsidRPr="00A32C8A">
        <w:rPr>
          <w:sz w:val="22"/>
          <w:szCs w:val="22"/>
          <w:shd w:val="clear" w:color="auto" w:fill="FFFFFF"/>
        </w:rPr>
        <w:t>to the return on debt, which it says reflects</w:t>
      </w:r>
      <w:r>
        <w:rPr>
          <w:sz w:val="22"/>
          <w:szCs w:val="22"/>
          <w:shd w:val="clear" w:color="auto" w:fill="FFFFFF"/>
        </w:rPr>
        <w:t xml:space="preserve"> </w:t>
      </w:r>
      <w:r w:rsidRPr="00F252FC">
        <w:rPr>
          <w:sz w:val="22"/>
          <w:szCs w:val="22"/>
          <w:shd w:val="clear" w:color="auto" w:fill="FFFFFF"/>
        </w:rPr>
        <w:t xml:space="preserve">‘prevailing economic conditions.’ </w:t>
      </w:r>
      <w:r>
        <w:rPr>
          <w:sz w:val="22"/>
          <w:szCs w:val="22"/>
          <w:shd w:val="clear" w:color="auto" w:fill="FFFFFF"/>
        </w:rPr>
        <w:t xml:space="preserve">This </w:t>
      </w:r>
      <w:r w:rsidRPr="00F252FC">
        <w:rPr>
          <w:sz w:val="22"/>
          <w:szCs w:val="22"/>
          <w:shd w:val="clear" w:color="auto" w:fill="FFFFFF"/>
        </w:rPr>
        <w:t>modif</w:t>
      </w:r>
      <w:r>
        <w:rPr>
          <w:sz w:val="22"/>
          <w:szCs w:val="22"/>
          <w:shd w:val="clear" w:color="auto" w:fill="FFFFFF"/>
        </w:rPr>
        <w:t>ies</w:t>
      </w:r>
      <w:r w:rsidRPr="00F252FC">
        <w:rPr>
          <w:sz w:val="22"/>
          <w:szCs w:val="22"/>
          <w:shd w:val="clear" w:color="auto" w:fill="FFFFFF"/>
        </w:rPr>
        <w:t xml:space="preserve"> the allowed return on debt relative to the outcome that would arise under the TAPRD framework alone. </w:t>
      </w:r>
    </w:p>
    <w:p w14:paraId="385FA3BD" w14:textId="77777777" w:rsidR="0057535C" w:rsidRDefault="0057535C" w:rsidP="00422621">
      <w:pPr>
        <w:pStyle w:val="ListParagraph"/>
        <w:spacing w:line="259" w:lineRule="auto"/>
        <w:rPr>
          <w:sz w:val="22"/>
          <w:szCs w:val="22"/>
          <w:shd w:val="clear" w:color="auto" w:fill="FFFFFF"/>
        </w:rPr>
      </w:pPr>
    </w:p>
    <w:p w14:paraId="481954D0" w14:textId="77777777" w:rsidR="0057535C" w:rsidRDefault="0057535C" w:rsidP="00422621">
      <w:pPr>
        <w:pStyle w:val="ListParagraph"/>
        <w:spacing w:line="259" w:lineRule="auto"/>
        <w:rPr>
          <w:sz w:val="22"/>
          <w:szCs w:val="22"/>
          <w:shd w:val="clear" w:color="auto" w:fill="FFFFFF"/>
        </w:rPr>
      </w:pPr>
      <w:r w:rsidRPr="00ED5EE7">
        <w:rPr>
          <w:sz w:val="22"/>
          <w:szCs w:val="22"/>
          <w:shd w:val="clear" w:color="auto" w:fill="FFFFFF"/>
        </w:rPr>
        <w:t>EMAS recommends an amendment to clause 9 to “create an obligation and head of power</w:t>
      </w:r>
      <w:r>
        <w:rPr>
          <w:sz w:val="22"/>
          <w:szCs w:val="22"/>
          <w:shd w:val="clear" w:color="auto" w:fill="FFFFFF"/>
        </w:rPr>
        <w:t xml:space="preserve"> [authority]</w:t>
      </w:r>
      <w:r w:rsidRPr="00ED5EE7">
        <w:rPr>
          <w:sz w:val="22"/>
          <w:szCs w:val="22"/>
          <w:shd w:val="clear" w:color="auto" w:fill="FFFFFF"/>
        </w:rPr>
        <w:t xml:space="preserve"> for the AER to remove material gains or losses of the IRV to the TAPRD, to the extent required to ensure consistency, ensuring returns are commensurate with the regulatory and commercial risks, and a reasonable opportunity to recover at least the efficient costs the operator incurs.”</w:t>
      </w:r>
      <w:r>
        <w:rPr>
          <w:rStyle w:val="EndnoteReference"/>
          <w:sz w:val="22"/>
          <w:szCs w:val="22"/>
          <w:shd w:val="clear" w:color="auto" w:fill="FFFFFF"/>
        </w:rPr>
        <w:endnoteReference w:id="19"/>
      </w:r>
    </w:p>
    <w:p w14:paraId="0ED79086" w14:textId="77777777" w:rsidR="0057535C" w:rsidRDefault="0057535C" w:rsidP="00422621">
      <w:pPr>
        <w:pStyle w:val="ListParagraph"/>
        <w:spacing w:line="259" w:lineRule="auto"/>
        <w:rPr>
          <w:sz w:val="22"/>
          <w:szCs w:val="22"/>
          <w:shd w:val="clear" w:color="auto" w:fill="FFFFFF"/>
        </w:rPr>
      </w:pPr>
    </w:p>
    <w:p w14:paraId="7ED019CD" w14:textId="77777777" w:rsidR="0057535C" w:rsidRDefault="0057535C" w:rsidP="00422621">
      <w:pPr>
        <w:pStyle w:val="ListParagraph"/>
        <w:spacing w:line="259" w:lineRule="auto"/>
        <w:rPr>
          <w:sz w:val="22"/>
          <w:szCs w:val="22"/>
          <w:shd w:val="clear" w:color="auto" w:fill="FFFFFF"/>
        </w:rPr>
      </w:pPr>
      <w:r>
        <w:rPr>
          <w:sz w:val="22"/>
          <w:szCs w:val="22"/>
          <w:shd w:val="clear" w:color="auto" w:fill="FFFFFF"/>
        </w:rPr>
        <w:t>Addressing how inflation is treated in the current RORI process, rather than wait</w:t>
      </w:r>
      <w:r w:rsidRPr="2773985F">
        <w:rPr>
          <w:sz w:val="22"/>
          <w:szCs w:val="22"/>
        </w:rPr>
        <w:t xml:space="preserve">ing for a separate review, is critical given predictions of rising inflation in Australia, further interest rate rises, increasing cost of living and rising energy hardship. </w:t>
      </w:r>
    </w:p>
    <w:p w14:paraId="66D9315A" w14:textId="10AD5C61" w:rsidR="0057535C" w:rsidRPr="0005445B" w:rsidRDefault="0057535C" w:rsidP="0005445B">
      <w:pPr>
        <w:spacing w:line="259" w:lineRule="auto"/>
        <w:rPr>
          <w:sz w:val="22"/>
          <w:szCs w:val="22"/>
          <w:shd w:val="clear" w:color="auto" w:fill="FFFFFF"/>
        </w:rPr>
      </w:pPr>
      <w:r w:rsidRPr="2773985F">
        <w:rPr>
          <w:b/>
          <w:bCs/>
          <w:sz w:val="22"/>
          <w:szCs w:val="22"/>
        </w:rPr>
        <w:t>Recommendation:</w:t>
      </w:r>
      <w:r w:rsidRPr="2773985F">
        <w:rPr>
          <w:sz w:val="22"/>
          <w:szCs w:val="22"/>
        </w:rPr>
        <w:t xml:space="preserve"> The AER should amend clause 9 of the RORI to create an obligation and authority for the AER to remove material gains or losses of the IRV to the TAPRD, to the extent required. This would increase consistency, ensure returns are commensurate with the regulatory and commercial risks, and provide a reasonable opportunity to recover at least the efficient costs the operator incurs.</w:t>
      </w:r>
    </w:p>
    <w:p w14:paraId="4A0E819A" w14:textId="3F8F73DB" w:rsidR="0057535C" w:rsidRPr="00A0382E" w:rsidRDefault="0057535C" w:rsidP="00573CCF">
      <w:pPr>
        <w:pStyle w:val="ListParagraph"/>
        <w:numPr>
          <w:ilvl w:val="0"/>
          <w:numId w:val="7"/>
        </w:numPr>
        <w:spacing w:line="259" w:lineRule="auto"/>
        <w:rPr>
          <w:sz w:val="22"/>
          <w:szCs w:val="22"/>
          <w:shd w:val="clear" w:color="auto" w:fill="FFFFFF"/>
        </w:rPr>
      </w:pPr>
      <w:r w:rsidRPr="00ED5EE7">
        <w:rPr>
          <w:b/>
          <w:bCs/>
          <w:sz w:val="22"/>
          <w:szCs w:val="22"/>
          <w:shd w:val="clear" w:color="auto" w:fill="FFFFFF"/>
        </w:rPr>
        <w:t>Retain “uniform” T</w:t>
      </w:r>
      <w:r w:rsidRPr="00ED5EE7">
        <w:rPr>
          <w:b/>
          <w:bCs/>
          <w:sz w:val="22"/>
          <w:szCs w:val="22"/>
        </w:rPr>
        <w:t>railing Average Portfolio Return on Debt (TAPRD)</w:t>
      </w:r>
      <w:r w:rsidRPr="00A0382E">
        <w:rPr>
          <w:sz w:val="22"/>
          <w:szCs w:val="22"/>
        </w:rPr>
        <w:t xml:space="preserve"> </w:t>
      </w:r>
      <w:r>
        <w:rPr>
          <w:sz w:val="22"/>
          <w:szCs w:val="22"/>
        </w:rPr>
        <w:t>–</w:t>
      </w:r>
      <w:r w:rsidRPr="00A0382E">
        <w:rPr>
          <w:sz w:val="22"/>
          <w:szCs w:val="22"/>
        </w:rPr>
        <w:t xml:space="preserve"> </w:t>
      </w:r>
      <w:r>
        <w:rPr>
          <w:sz w:val="22"/>
          <w:szCs w:val="22"/>
        </w:rPr>
        <w:t>The AER</w:t>
      </w:r>
      <w:r w:rsidRPr="2773985F">
        <w:rPr>
          <w:sz w:val="22"/>
          <w:szCs w:val="22"/>
        </w:rPr>
        <w:t>’s draft decision suggests it will retain a uniform TAPRD</w:t>
      </w:r>
      <w:r w:rsidRPr="2773985F">
        <w:rPr>
          <w:rStyle w:val="EndnoteReference"/>
          <w:sz w:val="22"/>
          <w:szCs w:val="22"/>
        </w:rPr>
        <w:endnoteReference w:id="20"/>
      </w:r>
      <w:r w:rsidRPr="2773985F">
        <w:rPr>
          <w:sz w:val="22"/>
          <w:szCs w:val="22"/>
        </w:rPr>
        <w:t xml:space="preserve"> </w:t>
      </w:r>
      <w:r w:rsidR="2773985F" w:rsidRPr="2773985F">
        <w:rPr>
          <w:sz w:val="22"/>
          <w:szCs w:val="22"/>
        </w:rPr>
        <w:t>rather than shift to a weighted TARPD,</w:t>
      </w:r>
      <w:r w:rsidRPr="2773985F">
        <w:rPr>
          <w:rStyle w:val="EndnoteReference"/>
          <w:sz w:val="22"/>
          <w:szCs w:val="22"/>
        </w:rPr>
        <w:endnoteReference w:id="21"/>
      </w:r>
      <w:r w:rsidRPr="2773985F">
        <w:rPr>
          <w:sz w:val="22"/>
          <w:szCs w:val="22"/>
        </w:rPr>
        <w:t xml:space="preserve"> which we support. Independent consultants EMAS note that a shift to a weighted TARPD would lead to an increase in prices for consumers.</w:t>
      </w:r>
      <w:r w:rsidRPr="2773985F">
        <w:rPr>
          <w:rStyle w:val="EndnoteReference"/>
          <w:sz w:val="22"/>
          <w:szCs w:val="22"/>
        </w:rPr>
        <w:endnoteReference w:id="22"/>
      </w:r>
    </w:p>
    <w:p w14:paraId="29C5D04D" w14:textId="302877B1" w:rsidR="002D28F7" w:rsidRDefault="0005445B" w:rsidP="00D35B2A">
      <w:pPr>
        <w:spacing w:line="259" w:lineRule="auto"/>
        <w:rPr>
          <w:sz w:val="22"/>
          <w:szCs w:val="22"/>
        </w:rPr>
      </w:pPr>
      <w:r w:rsidRPr="00F66525">
        <w:rPr>
          <w:b/>
          <w:bCs/>
          <w:sz w:val="22"/>
          <w:szCs w:val="22"/>
        </w:rPr>
        <w:t>Recommendation:</w:t>
      </w:r>
      <w:r w:rsidRPr="00F66525">
        <w:rPr>
          <w:sz w:val="22"/>
          <w:szCs w:val="22"/>
        </w:rPr>
        <w:t xml:space="preserve"> The AER should </w:t>
      </w:r>
      <w:r>
        <w:rPr>
          <w:sz w:val="22"/>
          <w:szCs w:val="22"/>
        </w:rPr>
        <w:t>retain uniform</w:t>
      </w:r>
      <w:r w:rsidR="006F42CE">
        <w:rPr>
          <w:sz w:val="22"/>
          <w:szCs w:val="22"/>
        </w:rPr>
        <w:t xml:space="preserve"> </w:t>
      </w:r>
      <w:r w:rsidR="006F42CE" w:rsidRPr="006F42CE">
        <w:rPr>
          <w:sz w:val="22"/>
          <w:szCs w:val="22"/>
          <w:shd w:val="clear" w:color="auto" w:fill="FFFFFF"/>
        </w:rPr>
        <w:t>T</w:t>
      </w:r>
      <w:r w:rsidR="006F42CE" w:rsidRPr="006F42CE">
        <w:rPr>
          <w:sz w:val="22"/>
          <w:szCs w:val="22"/>
        </w:rPr>
        <w:t>railing Average Portfolio Return on Debt (TAPRD)</w:t>
      </w:r>
      <w:r w:rsidR="006F42CE">
        <w:rPr>
          <w:sz w:val="22"/>
          <w:szCs w:val="22"/>
        </w:rPr>
        <w:t>.</w:t>
      </w:r>
    </w:p>
    <w:p w14:paraId="390E5CA5" w14:textId="779A948E" w:rsidR="00322722" w:rsidRPr="006F42CE" w:rsidRDefault="00322722" w:rsidP="00D35B2A">
      <w:pPr>
        <w:spacing w:line="259" w:lineRule="auto"/>
        <w:rPr>
          <w:sz w:val="22"/>
          <w:szCs w:val="22"/>
        </w:rPr>
      </w:pPr>
      <w:r>
        <w:rPr>
          <w:sz w:val="22"/>
          <w:szCs w:val="22"/>
        </w:rPr>
        <w:t>We urge the AER to make further changes to their final determination for RORI 2026</w:t>
      </w:r>
      <w:r w:rsidR="007D03D7">
        <w:rPr>
          <w:sz w:val="22"/>
          <w:szCs w:val="22"/>
        </w:rPr>
        <w:t xml:space="preserve"> to maximise savings to consumers and reduce </w:t>
      </w:r>
      <w:r w:rsidR="00606CE8">
        <w:rPr>
          <w:sz w:val="22"/>
          <w:szCs w:val="22"/>
        </w:rPr>
        <w:t>broader econom</w:t>
      </w:r>
      <w:r w:rsidR="005D527B">
        <w:rPr>
          <w:sz w:val="22"/>
          <w:szCs w:val="22"/>
        </w:rPr>
        <w:t>ic and social</w:t>
      </w:r>
      <w:r w:rsidR="00606CE8">
        <w:rPr>
          <w:sz w:val="22"/>
          <w:szCs w:val="22"/>
        </w:rPr>
        <w:t xml:space="preserve"> impacts of increasing </w:t>
      </w:r>
      <w:r w:rsidR="009F6E49">
        <w:rPr>
          <w:sz w:val="22"/>
          <w:szCs w:val="22"/>
        </w:rPr>
        <w:t>network</w:t>
      </w:r>
      <w:r w:rsidR="00606CE8">
        <w:rPr>
          <w:sz w:val="22"/>
          <w:szCs w:val="22"/>
        </w:rPr>
        <w:t xml:space="preserve"> prices. </w:t>
      </w:r>
    </w:p>
    <w:p w14:paraId="0E0AC2B9" w14:textId="795D2E28" w:rsidR="00921687" w:rsidRPr="00D35B2A" w:rsidRDefault="00921687" w:rsidP="00D35B2A">
      <w:pPr>
        <w:spacing w:line="259" w:lineRule="auto"/>
        <w:rPr>
          <w:sz w:val="22"/>
          <w:szCs w:val="22"/>
        </w:rPr>
      </w:pPr>
      <w:r w:rsidRPr="00D35B2A">
        <w:rPr>
          <w:sz w:val="22"/>
          <w:szCs w:val="22"/>
        </w:rPr>
        <w:t xml:space="preserve">If you have any questions please contact, Kellie Caught, Program Director Climate and Energy, ACOSS at </w:t>
      </w:r>
      <w:hyperlink r:id="rId22" w:history="1">
        <w:r w:rsidRPr="00D35B2A">
          <w:rPr>
            <w:rStyle w:val="Hyperlink"/>
            <w:sz w:val="22"/>
            <w:szCs w:val="22"/>
          </w:rPr>
          <w:t>kellie@acoss.org.au</w:t>
        </w:r>
      </w:hyperlink>
    </w:p>
    <w:p w14:paraId="4B7AE667" w14:textId="77777777" w:rsidR="006B74C0" w:rsidRDefault="006B74C0" w:rsidP="00D35B2A">
      <w:pPr>
        <w:spacing w:line="259" w:lineRule="auto"/>
        <w:rPr>
          <w:sz w:val="22"/>
          <w:szCs w:val="22"/>
        </w:rPr>
      </w:pPr>
    </w:p>
    <w:p w14:paraId="41B362D0" w14:textId="77777777" w:rsidR="006B74C0" w:rsidRDefault="006B74C0" w:rsidP="00D35B2A">
      <w:pPr>
        <w:spacing w:line="259" w:lineRule="auto"/>
        <w:rPr>
          <w:sz w:val="22"/>
          <w:szCs w:val="22"/>
        </w:rPr>
      </w:pPr>
    </w:p>
    <w:p w14:paraId="68F85670" w14:textId="44E5DF46" w:rsidR="00BC4255" w:rsidRDefault="004811B2" w:rsidP="00D35B2A">
      <w:pPr>
        <w:spacing w:line="259" w:lineRule="auto"/>
        <w:rPr>
          <w:sz w:val="22"/>
          <w:szCs w:val="22"/>
        </w:rPr>
      </w:pPr>
      <w:r w:rsidRPr="00D35B2A">
        <w:rPr>
          <w:noProof/>
          <w:sz w:val="22"/>
          <w:szCs w:val="22"/>
        </w:rPr>
        <w:lastRenderedPageBreak/>
        <w:drawing>
          <wp:anchor distT="0" distB="0" distL="114300" distR="114300" simplePos="0" relativeHeight="251665408" behindDoc="1" locked="0" layoutInCell="1" allowOverlap="1" wp14:anchorId="614D17D8" wp14:editId="5B8FBF2E">
            <wp:simplePos x="0" y="0"/>
            <wp:positionH relativeFrom="margin">
              <wp:posOffset>-228600</wp:posOffset>
            </wp:positionH>
            <wp:positionV relativeFrom="paragraph">
              <wp:posOffset>44450</wp:posOffset>
            </wp:positionV>
            <wp:extent cx="2043768" cy="942975"/>
            <wp:effectExtent l="0" t="0" r="0" b="0"/>
            <wp:wrapNone/>
            <wp:docPr id="16286436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643695" name="Picture 162864369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52307" cy="946915"/>
                    </a:xfrm>
                    <a:prstGeom prst="rect">
                      <a:avLst/>
                    </a:prstGeom>
                  </pic:spPr>
                </pic:pic>
              </a:graphicData>
            </a:graphic>
            <wp14:sizeRelH relativeFrom="margin">
              <wp14:pctWidth>0</wp14:pctWidth>
            </wp14:sizeRelH>
            <wp14:sizeRelV relativeFrom="margin">
              <wp14:pctHeight>0</wp14:pctHeight>
            </wp14:sizeRelV>
          </wp:anchor>
        </w:drawing>
      </w:r>
      <w:r w:rsidR="00BC4255" w:rsidRPr="00D35B2A">
        <w:rPr>
          <w:sz w:val="22"/>
          <w:szCs w:val="22"/>
        </w:rPr>
        <w:t>Yours sincerely</w:t>
      </w:r>
    </w:p>
    <w:p w14:paraId="35A1DE07" w14:textId="3C807772" w:rsidR="00923A55" w:rsidRDefault="00923A55" w:rsidP="00923A55">
      <w:pPr>
        <w:spacing w:after="0"/>
        <w:rPr>
          <w:sz w:val="22"/>
          <w:szCs w:val="22"/>
        </w:rPr>
      </w:pPr>
    </w:p>
    <w:p w14:paraId="777A5FBC" w14:textId="77777777" w:rsidR="004811B2" w:rsidRDefault="004811B2" w:rsidP="00923A55">
      <w:pPr>
        <w:spacing w:after="0"/>
        <w:rPr>
          <w:sz w:val="22"/>
          <w:szCs w:val="22"/>
        </w:rPr>
      </w:pPr>
    </w:p>
    <w:p w14:paraId="1A1A3E30" w14:textId="77777777" w:rsidR="004811B2" w:rsidRDefault="004811B2" w:rsidP="00923A55">
      <w:pPr>
        <w:spacing w:after="0"/>
        <w:rPr>
          <w:sz w:val="22"/>
          <w:szCs w:val="22"/>
        </w:rPr>
      </w:pPr>
    </w:p>
    <w:p w14:paraId="35252A97" w14:textId="77777777" w:rsidR="00432FDC" w:rsidRDefault="00432FDC" w:rsidP="00923A55">
      <w:pPr>
        <w:spacing w:after="0"/>
        <w:rPr>
          <w:sz w:val="22"/>
          <w:szCs w:val="22"/>
        </w:rPr>
      </w:pPr>
    </w:p>
    <w:p w14:paraId="2FCE76BC" w14:textId="39ACCC44" w:rsidR="00923A55" w:rsidRDefault="00923A55" w:rsidP="00923A55">
      <w:pPr>
        <w:spacing w:after="0"/>
        <w:rPr>
          <w:sz w:val="22"/>
          <w:szCs w:val="22"/>
        </w:rPr>
      </w:pPr>
      <w:r>
        <w:rPr>
          <w:sz w:val="22"/>
          <w:szCs w:val="22"/>
        </w:rPr>
        <w:t>Kellie Caught</w:t>
      </w:r>
    </w:p>
    <w:p w14:paraId="4A6010B1" w14:textId="77777777" w:rsidR="00923A55" w:rsidRDefault="00923A55" w:rsidP="00923A55">
      <w:pPr>
        <w:spacing w:after="0"/>
        <w:rPr>
          <w:sz w:val="22"/>
          <w:szCs w:val="22"/>
        </w:rPr>
      </w:pPr>
      <w:r>
        <w:rPr>
          <w:sz w:val="22"/>
          <w:szCs w:val="22"/>
        </w:rPr>
        <w:t>Program Director, Climate and Energy</w:t>
      </w:r>
    </w:p>
    <w:p w14:paraId="335E02AE" w14:textId="626D2B6B" w:rsidR="00923A55" w:rsidRDefault="00923A55" w:rsidP="00923A55">
      <w:pPr>
        <w:spacing w:after="0"/>
        <w:rPr>
          <w:sz w:val="22"/>
          <w:szCs w:val="22"/>
        </w:rPr>
      </w:pPr>
      <w:r>
        <w:rPr>
          <w:sz w:val="22"/>
          <w:szCs w:val="22"/>
        </w:rPr>
        <w:t>ACOSS</w:t>
      </w:r>
      <w:r>
        <w:rPr>
          <w:sz w:val="22"/>
          <w:szCs w:val="22"/>
        </w:rPr>
        <w:br/>
      </w:r>
    </w:p>
    <w:p w14:paraId="44056302" w14:textId="50671528" w:rsidR="00BE2CDA" w:rsidRPr="00843EAE" w:rsidRDefault="00923A55" w:rsidP="004811B2">
      <w:pPr>
        <w:spacing w:after="0"/>
        <w:rPr>
          <w:sz w:val="22"/>
          <w:szCs w:val="22"/>
        </w:rPr>
      </w:pPr>
      <w:r>
        <w:rPr>
          <w:sz w:val="22"/>
          <w:szCs w:val="22"/>
        </w:rPr>
        <w:t xml:space="preserve">on behalf of </w:t>
      </w:r>
      <w:r w:rsidR="00BC4255">
        <w:rPr>
          <w:sz w:val="22"/>
          <w:szCs w:val="22"/>
        </w:rPr>
        <w:t>ACOSS</w:t>
      </w:r>
      <w:r w:rsidR="00D867EA">
        <w:rPr>
          <w:sz w:val="22"/>
          <w:szCs w:val="22"/>
        </w:rPr>
        <w:t xml:space="preserve">, </w:t>
      </w:r>
      <w:r w:rsidR="000D0289">
        <w:rPr>
          <w:sz w:val="22"/>
          <w:szCs w:val="22"/>
        </w:rPr>
        <w:t xml:space="preserve">ACTCOSS, </w:t>
      </w:r>
      <w:r w:rsidR="00B738D2">
        <w:rPr>
          <w:sz w:val="22"/>
          <w:szCs w:val="22"/>
        </w:rPr>
        <w:t xml:space="preserve">NCOSS, QCOSS, TASCOSS, </w:t>
      </w:r>
      <w:r w:rsidR="00BC4255">
        <w:rPr>
          <w:sz w:val="22"/>
          <w:szCs w:val="22"/>
        </w:rPr>
        <w:t>SACOSS</w:t>
      </w:r>
      <w:r w:rsidR="00D867EA">
        <w:rPr>
          <w:sz w:val="22"/>
          <w:szCs w:val="22"/>
        </w:rPr>
        <w:t xml:space="preserve">, </w:t>
      </w:r>
      <w:r w:rsidR="00BC4255">
        <w:rPr>
          <w:sz w:val="22"/>
          <w:szCs w:val="22"/>
        </w:rPr>
        <w:t>VCOSS</w:t>
      </w:r>
      <w:r w:rsidR="00BE2CDA" w:rsidRPr="00843EAE">
        <w:rPr>
          <w:sz w:val="22"/>
          <w:szCs w:val="22"/>
        </w:rPr>
        <w:br/>
      </w:r>
    </w:p>
    <w:sectPr w:rsidR="00BE2CDA" w:rsidRPr="00843EAE" w:rsidSect="00B07008">
      <w:footerReference w:type="default" r:id="rId24"/>
      <w:pgSz w:w="11906" w:h="16838" w:code="9"/>
      <w:pgMar w:top="1440" w:right="1440" w:bottom="1440"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AE1E4" w14:textId="77777777" w:rsidR="00FB1A5C" w:rsidRDefault="00FB1A5C" w:rsidP="002D6C8E">
      <w:pPr>
        <w:spacing w:after="0" w:line="240" w:lineRule="auto"/>
      </w:pPr>
      <w:r>
        <w:separator/>
      </w:r>
    </w:p>
  </w:endnote>
  <w:endnote w:type="continuationSeparator" w:id="0">
    <w:p w14:paraId="7C29BB77" w14:textId="77777777" w:rsidR="00FB1A5C" w:rsidRDefault="00FB1A5C" w:rsidP="002D6C8E">
      <w:pPr>
        <w:spacing w:after="0" w:line="240" w:lineRule="auto"/>
      </w:pPr>
      <w:r>
        <w:continuationSeparator/>
      </w:r>
    </w:p>
  </w:endnote>
  <w:endnote w:id="1">
    <w:p w14:paraId="67A15CBE" w14:textId="5766718C" w:rsidR="0057535C" w:rsidRDefault="0057535C">
      <w:pPr>
        <w:pStyle w:val="EndnoteText"/>
      </w:pPr>
      <w:r>
        <w:rPr>
          <w:rStyle w:val="EndnoteReference"/>
        </w:rPr>
        <w:endnoteRef/>
      </w:r>
      <w:r>
        <w:t xml:space="preserve"> </w:t>
      </w:r>
      <w:r w:rsidRPr="00E94376">
        <w:t xml:space="preserve">ECA (2026) 2026 Draft Rate of </w:t>
      </w:r>
      <w:r>
        <w:t>R</w:t>
      </w:r>
      <w:r w:rsidRPr="00E94376">
        <w:t xml:space="preserve">eturn Instrument, Submission to Australian Energy Regulator </w:t>
      </w:r>
      <w:hyperlink r:id="rId1" w:history="1">
        <w:r w:rsidRPr="003D5DB1">
          <w:rPr>
            <w:rStyle w:val="Hyperlink"/>
          </w:rPr>
          <w:t>https://energyconsumersaustralia.com.au/sites/default/files/2026-07/submission-doc-aer-rori-draft-26.pdf</w:t>
        </w:r>
      </w:hyperlink>
      <w:r>
        <w:t xml:space="preserve"> </w:t>
      </w:r>
    </w:p>
  </w:endnote>
  <w:endnote w:id="2">
    <w:p w14:paraId="7DE745E3" w14:textId="76DB2585" w:rsidR="0057535C" w:rsidRDefault="0057535C">
      <w:pPr>
        <w:pStyle w:val="EndnoteText"/>
      </w:pPr>
      <w:r>
        <w:rPr>
          <w:rStyle w:val="EndnoteReference"/>
        </w:rPr>
        <w:endnoteRef/>
      </w:r>
      <w:r>
        <w:t xml:space="preserve"> EMAS (2026) Report for Energy Consumers Australia’s Submission to the AER’s Draft decision on the 2026 Rate of return Instrument Review</w:t>
      </w:r>
      <w:r w:rsidRPr="00CB254E">
        <w:t xml:space="preserve"> </w:t>
      </w:r>
      <w:hyperlink r:id="rId2" w:history="1">
        <w:r w:rsidRPr="003D5DB1">
          <w:rPr>
            <w:rStyle w:val="Hyperlink"/>
          </w:rPr>
          <w:t>https://energyconsumersaustralia.com.au/sites/default/files/2026-07/web-doc-emas-response-aer-2026-rori-draft-decision.pdf</w:t>
        </w:r>
      </w:hyperlink>
      <w:r>
        <w:t xml:space="preserve"> </w:t>
      </w:r>
    </w:p>
  </w:endnote>
  <w:endnote w:id="3">
    <w:p w14:paraId="5FA5DB0D" w14:textId="102C5559" w:rsidR="0057535C" w:rsidRDefault="0057535C">
      <w:pPr>
        <w:pStyle w:val="EndnoteText"/>
      </w:pPr>
      <w:r>
        <w:rPr>
          <w:rStyle w:val="EndnoteReference"/>
        </w:rPr>
        <w:endnoteRef/>
      </w:r>
      <w:r>
        <w:t xml:space="preserve"> </w:t>
      </w:r>
      <w:hyperlink r:id="rId3" w:history="1">
        <w:r w:rsidRPr="005953A8">
          <w:rPr>
            <w:rStyle w:val="Hyperlink"/>
          </w:rPr>
          <w:t>https://energyconsumersaustralia.com.au/news/one-highest-impact-decisions-home-energy-bills-about-made-heres-why-matters</w:t>
        </w:r>
      </w:hyperlink>
      <w:r>
        <w:t xml:space="preserve"> </w:t>
      </w:r>
    </w:p>
  </w:endnote>
  <w:endnote w:id="4">
    <w:p w14:paraId="60066D5E" w14:textId="2B21A91E" w:rsidR="0057535C" w:rsidRPr="00270F03" w:rsidRDefault="0057535C">
      <w:pPr>
        <w:pStyle w:val="EndnoteText"/>
        <w:rPr>
          <w:szCs w:val="16"/>
        </w:rPr>
      </w:pPr>
      <w:r w:rsidRPr="00270F03">
        <w:rPr>
          <w:rStyle w:val="EndnoteReference"/>
          <w:szCs w:val="16"/>
        </w:rPr>
        <w:endnoteRef/>
      </w:r>
      <w:r w:rsidRPr="00270F03">
        <w:rPr>
          <w:szCs w:val="16"/>
        </w:rPr>
        <w:t xml:space="preserve"> </w:t>
      </w:r>
      <w:hyperlink r:id="rId4" w:history="1">
        <w:r w:rsidRPr="00270F03">
          <w:rPr>
            <w:color w:val="0000FF"/>
            <w:szCs w:val="16"/>
            <w:u w:val="single"/>
          </w:rPr>
          <w:t>Consumer Price Index, Australia | Australian Bureau of Statistics</w:t>
        </w:r>
      </w:hyperlink>
    </w:p>
  </w:endnote>
  <w:endnote w:id="5">
    <w:p w14:paraId="1EC8517F" w14:textId="77777777" w:rsidR="0057535C" w:rsidRDefault="0057535C" w:rsidP="00385180">
      <w:pPr>
        <w:pStyle w:val="EndnoteText"/>
      </w:pPr>
      <w:r>
        <w:rPr>
          <w:rStyle w:val="EndnoteReference"/>
        </w:rPr>
        <w:endnoteRef/>
      </w:r>
      <w:r>
        <w:t xml:space="preserve"> Energy Consumers Australia, Consumer Energy Report Card survey, December 2025.</w:t>
      </w:r>
    </w:p>
  </w:endnote>
  <w:endnote w:id="6">
    <w:p w14:paraId="05EB2DA3" w14:textId="77777777" w:rsidR="0057535C" w:rsidRDefault="0057535C" w:rsidP="00385180">
      <w:pPr>
        <w:pStyle w:val="EndnoteText"/>
      </w:pPr>
      <w:r>
        <w:rPr>
          <w:rStyle w:val="EndnoteReference"/>
        </w:rPr>
        <w:endnoteRef/>
      </w:r>
      <w:r>
        <w:t xml:space="preserve"> Energy Consumers Australia, Understanding and measuring energy hardship in Australia, July 2025.</w:t>
      </w:r>
    </w:p>
  </w:endnote>
  <w:endnote w:id="7">
    <w:p w14:paraId="549C28A7" w14:textId="08974E98" w:rsidR="0057535C" w:rsidRDefault="0057535C">
      <w:pPr>
        <w:pStyle w:val="EndnoteText"/>
      </w:pPr>
      <w:r>
        <w:rPr>
          <w:rStyle w:val="EndnoteReference"/>
        </w:rPr>
        <w:endnoteRef/>
      </w:r>
      <w:r>
        <w:t xml:space="preserve"> See for example ACOSS (2026) Heat in Homes Survey 2026 </w:t>
      </w:r>
      <w:hyperlink r:id="rId5" w:history="1">
        <w:r w:rsidRPr="005953A8">
          <w:rPr>
            <w:rStyle w:val="Hyperlink"/>
          </w:rPr>
          <w:t>https://www.acoss.org.au/wp-content/uploads/2026/03/Heat-in-Homes-Digital-1.0.pdf</w:t>
        </w:r>
      </w:hyperlink>
      <w:r>
        <w:t xml:space="preserve"> </w:t>
      </w:r>
    </w:p>
  </w:endnote>
  <w:endnote w:id="8">
    <w:p w14:paraId="31128AE7" w14:textId="4CBC3CBF" w:rsidR="0057535C" w:rsidRDefault="0057535C" w:rsidP="004F290D">
      <w:pPr>
        <w:pStyle w:val="EndnoteText"/>
      </w:pPr>
      <w:r>
        <w:rPr>
          <w:rStyle w:val="EndnoteReference"/>
        </w:rPr>
        <w:endnoteRef/>
      </w:r>
      <w:r>
        <w:t xml:space="preserve"> AER Consumer Reference Group, </w:t>
      </w:r>
      <w:hyperlink r:id="rId6" w:history="1">
        <w:r w:rsidRPr="00153300">
          <w:rPr>
            <w:rStyle w:val="Hyperlink"/>
          </w:rPr>
          <w:t>Response to the AER’s Draft Rate of Return Instrument, September 2022</w:t>
        </w:r>
      </w:hyperlink>
    </w:p>
  </w:endnote>
  <w:endnote w:id="9">
    <w:p w14:paraId="2F67853A" w14:textId="2F1B7325" w:rsidR="0057535C" w:rsidRDefault="0057535C" w:rsidP="004F290D">
      <w:pPr>
        <w:pStyle w:val="EndnoteText"/>
      </w:pPr>
      <w:r>
        <w:rPr>
          <w:rStyle w:val="EndnoteReference"/>
        </w:rPr>
        <w:endnoteRef/>
      </w:r>
      <w:r>
        <w:t xml:space="preserve"> </w:t>
      </w:r>
      <w:r w:rsidRPr="00A73B73">
        <w:t xml:space="preserve">ECA (2026) 2026 Draft Rate of Return Instrument, Submission to Australian Energy Regulator </w:t>
      </w:r>
      <w:hyperlink r:id="rId7" w:history="1">
        <w:r w:rsidRPr="003D5DB1">
          <w:rPr>
            <w:rStyle w:val="Hyperlink"/>
          </w:rPr>
          <w:t>https://energyconsumersaustralia.com.au/sites/default/files/2026-07/submission-doc-aer-rori-draft-26.pdf</w:t>
        </w:r>
      </w:hyperlink>
      <w:r>
        <w:t xml:space="preserve"> </w:t>
      </w:r>
    </w:p>
  </w:endnote>
  <w:endnote w:id="10">
    <w:p w14:paraId="13CA5819" w14:textId="20AD81F2" w:rsidR="0057535C" w:rsidRDefault="0057535C">
      <w:pPr>
        <w:pStyle w:val="EndnoteText"/>
      </w:pPr>
      <w:r>
        <w:rPr>
          <w:rStyle w:val="EndnoteReference"/>
        </w:rPr>
        <w:endnoteRef/>
      </w:r>
      <w:r>
        <w:t xml:space="preserve"> </w:t>
      </w:r>
      <w:r w:rsidRPr="00E76D48">
        <w:t xml:space="preserve">The equity beta is a measure </w:t>
      </w:r>
      <w:r>
        <w:t xml:space="preserve">of </w:t>
      </w:r>
      <w:r w:rsidRPr="00E76D48">
        <w:t xml:space="preserve">systemic risk relative to the market and contributes </w:t>
      </w:r>
      <w:r>
        <w:t xml:space="preserve">to the </w:t>
      </w:r>
      <w:r w:rsidRPr="00E76D48">
        <w:t xml:space="preserve">overall assessment of risk to equity. </w:t>
      </w:r>
      <w:r w:rsidRPr="00E76D48">
        <w:rPr>
          <w:rFonts w:cs="Arial"/>
          <w:color w:val="0A0A0A"/>
          <w:shd w:val="clear" w:color="auto" w:fill="FFFFFF"/>
        </w:rPr>
        <w:t>A higher equity beta implies higher systematic risk, which in turn requires a higher expected rate of return for investors to compensate them for that increased risk</w:t>
      </w:r>
    </w:p>
  </w:endnote>
  <w:endnote w:id="11">
    <w:p w14:paraId="5207D2BF" w14:textId="3DFE5A51" w:rsidR="0057535C" w:rsidRDefault="0057535C">
      <w:pPr>
        <w:pStyle w:val="EndnoteText"/>
      </w:pPr>
      <w:r>
        <w:rPr>
          <w:rStyle w:val="EndnoteReference"/>
        </w:rPr>
        <w:endnoteRef/>
      </w:r>
      <w:r>
        <w:t xml:space="preserve"> </w:t>
      </w:r>
      <w:r w:rsidRPr="00E94376">
        <w:t xml:space="preserve">ECA (2026) 2026 Draft Rate of </w:t>
      </w:r>
      <w:r>
        <w:t>R</w:t>
      </w:r>
      <w:r w:rsidRPr="00E94376">
        <w:t xml:space="preserve">eturn Instrument, Submission to Australian Energy Regulator </w:t>
      </w:r>
      <w:hyperlink r:id="rId8" w:history="1">
        <w:r w:rsidRPr="003D5DB1">
          <w:rPr>
            <w:rStyle w:val="Hyperlink"/>
          </w:rPr>
          <w:t>https://energyconsumersaustralia.com.au/sites/default/files/2026-07/submission-doc-aer-rori-draft-26.pdf</w:t>
        </w:r>
      </w:hyperlink>
      <w:r>
        <w:t xml:space="preserve"> </w:t>
      </w:r>
    </w:p>
  </w:endnote>
  <w:endnote w:id="12">
    <w:p w14:paraId="271FD3B5" w14:textId="499F9E6C" w:rsidR="0057535C" w:rsidRDefault="0057535C">
      <w:pPr>
        <w:pStyle w:val="EndnoteText"/>
      </w:pPr>
      <w:r>
        <w:rPr>
          <w:rStyle w:val="EndnoteReference"/>
        </w:rPr>
        <w:endnoteRef/>
      </w:r>
      <w:r>
        <w:t xml:space="preserve"> </w:t>
      </w:r>
      <w:r w:rsidRPr="00F85031">
        <w:t xml:space="preserve">The Market Risk Premium (MRP) is the extra return investors expect from a risky market portfolio compared to a safe, risk-free asset. </w:t>
      </w:r>
    </w:p>
  </w:endnote>
  <w:endnote w:id="13">
    <w:p w14:paraId="299F5EF8" w14:textId="600DAED0" w:rsidR="0057535C" w:rsidRDefault="0057535C">
      <w:pPr>
        <w:pStyle w:val="EndnoteText"/>
      </w:pPr>
      <w:r>
        <w:rPr>
          <w:rStyle w:val="EndnoteReference"/>
        </w:rPr>
        <w:endnoteRef/>
      </w:r>
      <w:r>
        <w:t xml:space="preserve"> </w:t>
      </w:r>
      <w:r w:rsidRPr="00DC5423">
        <w:t xml:space="preserve">ECA (2026) 2026 Draft Rate of return Instrument, Submission to Australian Energy Regulator  </w:t>
      </w:r>
      <w:hyperlink r:id="rId9" w:history="1">
        <w:r w:rsidRPr="003D5DB1">
          <w:rPr>
            <w:rStyle w:val="Hyperlink"/>
          </w:rPr>
          <w:t>https://energyconsumersaustralia.com.au/sites/default/files/2026-07/submission-doc-aer-rori-draft-26.pdf</w:t>
        </w:r>
      </w:hyperlink>
      <w:r>
        <w:t xml:space="preserve"> </w:t>
      </w:r>
    </w:p>
  </w:endnote>
  <w:endnote w:id="14">
    <w:p w14:paraId="3844E22D" w14:textId="77777777" w:rsidR="0057535C" w:rsidRDefault="0057535C" w:rsidP="003B2DCF">
      <w:pPr>
        <w:pStyle w:val="EndnoteText"/>
      </w:pPr>
      <w:r>
        <w:rPr>
          <w:rStyle w:val="EndnoteReference"/>
        </w:rPr>
        <w:endnoteRef/>
      </w:r>
      <w:r>
        <w:t xml:space="preserve"> AER, 2024 Electricity and Gas Network Performance Report, September 2024.</w:t>
      </w:r>
    </w:p>
  </w:endnote>
  <w:endnote w:id="15">
    <w:p w14:paraId="038657D1" w14:textId="77777777" w:rsidR="0057535C" w:rsidRDefault="0057535C" w:rsidP="006160D3">
      <w:pPr>
        <w:pStyle w:val="EndnoteText"/>
      </w:pPr>
      <w:r>
        <w:rPr>
          <w:rStyle w:val="EndnoteReference"/>
        </w:rPr>
        <w:endnoteRef/>
      </w:r>
      <w:r>
        <w:t xml:space="preserve"> EMAS (2026) Report for Energy Consumers Australia’s Submission to the AER’s Draft decision on the 2026 Rate of return Instrument Review </w:t>
      </w:r>
      <w:hyperlink r:id="rId10" w:history="1">
        <w:r w:rsidRPr="003D5DB1">
          <w:rPr>
            <w:rStyle w:val="Hyperlink"/>
          </w:rPr>
          <w:t>https://energyconsumersaustralia.com.au/sites/default/files/2026-07/web-doc-emas-response-aer-2026-rori-draft-decision.pdf</w:t>
        </w:r>
      </w:hyperlink>
      <w:r>
        <w:t xml:space="preserve"> </w:t>
      </w:r>
    </w:p>
  </w:endnote>
  <w:endnote w:id="16">
    <w:p w14:paraId="13F63AAB" w14:textId="605542DD" w:rsidR="0057535C" w:rsidRDefault="0057535C">
      <w:pPr>
        <w:pStyle w:val="EndnoteText"/>
      </w:pPr>
      <w:r>
        <w:rPr>
          <w:rStyle w:val="EndnoteReference"/>
        </w:rPr>
        <w:endnoteRef/>
      </w:r>
      <w:r>
        <w:t xml:space="preserve"> ECA (2026) 2026 Draft Rate of return Instrument, Submission to Australian Energy Regulator </w:t>
      </w:r>
      <w:hyperlink r:id="rId11" w:history="1">
        <w:r w:rsidRPr="003D5DB1">
          <w:rPr>
            <w:rStyle w:val="Hyperlink"/>
          </w:rPr>
          <w:t>https://energyconsumersaustralia.com.au/sites/default/files/2026-07/submission-doc-aer-rori-draft-26.pdf</w:t>
        </w:r>
      </w:hyperlink>
      <w:r>
        <w:t xml:space="preserve"> </w:t>
      </w:r>
    </w:p>
  </w:endnote>
  <w:endnote w:id="17">
    <w:p w14:paraId="59835203" w14:textId="77777777" w:rsidR="00C97E9F" w:rsidRDefault="00C97E9F" w:rsidP="00C97E9F">
      <w:pPr>
        <w:pStyle w:val="EndnoteText"/>
      </w:pPr>
      <w:r>
        <w:rPr>
          <w:rStyle w:val="EndnoteReference"/>
        </w:rPr>
        <w:endnoteRef/>
      </w:r>
      <w:r>
        <w:t xml:space="preserve"> </w:t>
      </w:r>
      <w:r w:rsidRPr="00216131">
        <w:t>Network revenue models use nominal rates of return combined with an AER inflation forecast.</w:t>
      </w:r>
    </w:p>
  </w:endnote>
  <w:endnote w:id="18">
    <w:p w14:paraId="107AC55C" w14:textId="77777777" w:rsidR="0057535C" w:rsidRDefault="0057535C" w:rsidP="00422621">
      <w:pPr>
        <w:pStyle w:val="EndnoteText"/>
      </w:pPr>
      <w:r>
        <w:rPr>
          <w:rStyle w:val="EndnoteReference"/>
        </w:rPr>
        <w:endnoteRef/>
      </w:r>
      <w:r>
        <w:t xml:space="preserve"> </w:t>
      </w:r>
      <w:r w:rsidRPr="00C318CE">
        <w:t>EMAS (2026) Report for Energy Consumers Australia’s Submission to the AER’s Draft decision on the 2026 Rate of return Instrument Review</w:t>
      </w:r>
      <w:r>
        <w:t xml:space="preserve"> </w:t>
      </w:r>
      <w:hyperlink r:id="rId12" w:history="1">
        <w:r w:rsidRPr="003D5DB1">
          <w:rPr>
            <w:rStyle w:val="Hyperlink"/>
          </w:rPr>
          <w:t>https://energyconsumersaustralia.com.au/sites/default/files/2026-07/web-doc-emas-response-aer-2026-rori-draft-decision.pdf</w:t>
        </w:r>
      </w:hyperlink>
      <w:r>
        <w:t xml:space="preserve"> </w:t>
      </w:r>
    </w:p>
  </w:endnote>
  <w:endnote w:id="19">
    <w:p w14:paraId="50F225E0" w14:textId="77777777" w:rsidR="0057535C" w:rsidRDefault="0057535C" w:rsidP="00422621">
      <w:pPr>
        <w:pStyle w:val="EndnoteText"/>
      </w:pPr>
      <w:r>
        <w:rPr>
          <w:rStyle w:val="EndnoteReference"/>
        </w:rPr>
        <w:endnoteRef/>
      </w:r>
      <w:r>
        <w:t xml:space="preserve"> EMAS (2026) Report for Energy Consumers Australia’s Submission to the AER’s Draft decision on the 2026 Rate of return Instrument Review </w:t>
      </w:r>
      <w:hyperlink r:id="rId13" w:history="1">
        <w:r w:rsidRPr="003D5DB1">
          <w:rPr>
            <w:rStyle w:val="Hyperlink"/>
          </w:rPr>
          <w:t>https://energyconsumersaustralia.com.au/sites/default/files/2026-07/web-doc-emas-response-aer-2026-rori-draft-decision.pdf</w:t>
        </w:r>
      </w:hyperlink>
      <w:r>
        <w:t xml:space="preserve"> </w:t>
      </w:r>
    </w:p>
  </w:endnote>
  <w:endnote w:id="20">
    <w:p w14:paraId="23EFD434" w14:textId="5C00ADE6" w:rsidR="0057535C" w:rsidRDefault="0057535C">
      <w:pPr>
        <w:pStyle w:val="EndnoteText"/>
      </w:pPr>
      <w:r>
        <w:rPr>
          <w:rStyle w:val="EndnoteReference"/>
        </w:rPr>
        <w:endnoteRef/>
      </w:r>
      <w:r>
        <w:t xml:space="preserve"> Applies a fixed, equal fraction to each of the past 10 years</w:t>
      </w:r>
    </w:p>
  </w:endnote>
  <w:endnote w:id="21">
    <w:p w14:paraId="48343C32" w14:textId="0BBE5AA7" w:rsidR="0057535C" w:rsidRDefault="0057535C">
      <w:pPr>
        <w:pStyle w:val="EndnoteText"/>
      </w:pPr>
      <w:r>
        <w:rPr>
          <w:rStyle w:val="EndnoteReference"/>
        </w:rPr>
        <w:endnoteRef/>
      </w:r>
      <w:r>
        <w:t xml:space="preserve"> </w:t>
      </w:r>
      <w:r w:rsidRPr="00B71F7A">
        <w:t>Adjusts annual historical weights to reflect changes or expansions in the underlying debt portfolio (such as growth in a regulated asset base</w:t>
      </w:r>
      <w:r>
        <w:t>.</w:t>
      </w:r>
    </w:p>
  </w:endnote>
  <w:endnote w:id="22">
    <w:p w14:paraId="4AB7BBE3" w14:textId="0801A024" w:rsidR="0057535C" w:rsidRDefault="0057535C">
      <w:pPr>
        <w:pStyle w:val="EndnoteText"/>
      </w:pPr>
      <w:r>
        <w:rPr>
          <w:rStyle w:val="EndnoteReference"/>
        </w:rPr>
        <w:endnoteRef/>
      </w:r>
      <w:r>
        <w:t xml:space="preserve"> According to the AER, a</w:t>
      </w:r>
      <w:r w:rsidRPr="00603830">
        <w:t xml:space="preserve"> weighted Trailing Average Portfolio Return on Debt can increase costs to consumers by </w:t>
      </w:r>
      <w:proofErr w:type="gramStart"/>
      <w:r w:rsidRPr="00603830">
        <w:t>lagging behind</w:t>
      </w:r>
      <w:proofErr w:type="gramEnd"/>
      <w:r w:rsidRPr="00603830">
        <w:t xml:space="preserve"> falling market rates, overcompensating utilities during capital expansions, and shifting heavier financing allowances onto current </w:t>
      </w:r>
      <w:proofErr w:type="gramStart"/>
      <w:r w:rsidRPr="00603830">
        <w:t>rate-payers</w:t>
      </w:r>
      <w:proofErr w:type="gramEnd"/>
      <w:r w:rsidRPr="00603830">
        <w:t xml:space="preserve"> when large infrastructure investments occur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867232"/>
      <w:docPartObj>
        <w:docPartGallery w:val="Page Numbers (Bottom of Page)"/>
        <w:docPartUnique/>
      </w:docPartObj>
    </w:sdtPr>
    <w:sdtEndPr>
      <w:rPr>
        <w:noProof/>
        <w:sz w:val="20"/>
        <w:szCs w:val="20"/>
      </w:rPr>
    </w:sdtEndPr>
    <w:sdtContent>
      <w:p w14:paraId="3CDEA383" w14:textId="4576AECD" w:rsidR="007F7D44" w:rsidRPr="00B07008" w:rsidRDefault="00B07008" w:rsidP="00B07008">
        <w:pPr>
          <w:pStyle w:val="Footer"/>
          <w:jc w:val="right"/>
          <w:rPr>
            <w:sz w:val="20"/>
            <w:szCs w:val="20"/>
          </w:rPr>
        </w:pPr>
        <w:r w:rsidRPr="00B07008">
          <w:rPr>
            <w:sz w:val="20"/>
            <w:szCs w:val="20"/>
          </w:rPr>
          <w:fldChar w:fldCharType="begin"/>
        </w:r>
        <w:r w:rsidRPr="00B07008">
          <w:rPr>
            <w:sz w:val="20"/>
            <w:szCs w:val="20"/>
          </w:rPr>
          <w:instrText xml:space="preserve"> PAGE   \* MERGEFORMAT </w:instrText>
        </w:r>
        <w:r w:rsidRPr="00B07008">
          <w:rPr>
            <w:sz w:val="20"/>
            <w:szCs w:val="20"/>
          </w:rPr>
          <w:fldChar w:fldCharType="separate"/>
        </w:r>
        <w:r w:rsidRPr="00B07008">
          <w:rPr>
            <w:noProof/>
            <w:sz w:val="20"/>
            <w:szCs w:val="20"/>
          </w:rPr>
          <w:t>2</w:t>
        </w:r>
        <w:r w:rsidRPr="00B07008">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9E9AB" w14:textId="77777777" w:rsidR="00FB1A5C" w:rsidRDefault="00FB1A5C" w:rsidP="002D6C8E">
      <w:pPr>
        <w:spacing w:after="0" w:line="240" w:lineRule="auto"/>
      </w:pPr>
      <w:r>
        <w:separator/>
      </w:r>
    </w:p>
  </w:footnote>
  <w:footnote w:type="continuationSeparator" w:id="0">
    <w:p w14:paraId="5C1168C2" w14:textId="77777777" w:rsidR="00FB1A5C" w:rsidRDefault="00FB1A5C" w:rsidP="002D6C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50084"/>
    <w:multiLevelType w:val="hybridMultilevel"/>
    <w:tmpl w:val="C234C15A"/>
    <w:lvl w:ilvl="0" w:tplc="45CE5A04">
      <w:start w:val="31"/>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7D0899"/>
    <w:multiLevelType w:val="hybridMultilevel"/>
    <w:tmpl w:val="F1F29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FA24B85"/>
    <w:multiLevelType w:val="hybridMultilevel"/>
    <w:tmpl w:val="BF0CA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4A573BD"/>
    <w:multiLevelType w:val="hybridMultilevel"/>
    <w:tmpl w:val="AE048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BD705BC"/>
    <w:multiLevelType w:val="hybridMultilevel"/>
    <w:tmpl w:val="3C3AE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095D723"/>
    <w:multiLevelType w:val="hybridMultilevel"/>
    <w:tmpl w:val="C122C130"/>
    <w:lvl w:ilvl="0" w:tplc="F63843DA">
      <w:start w:val="1"/>
      <w:numFmt w:val="bullet"/>
      <w:lvlText w:val=""/>
      <w:lvlJc w:val="left"/>
      <w:pPr>
        <w:ind w:left="720" w:hanging="360"/>
      </w:pPr>
      <w:rPr>
        <w:rFonts w:ascii="Symbol" w:hAnsi="Symbol" w:hint="default"/>
      </w:rPr>
    </w:lvl>
    <w:lvl w:ilvl="1" w:tplc="6512EA1E">
      <w:start w:val="1"/>
      <w:numFmt w:val="bullet"/>
      <w:lvlText w:val="o"/>
      <w:lvlJc w:val="left"/>
      <w:pPr>
        <w:ind w:left="1440" w:hanging="360"/>
      </w:pPr>
      <w:rPr>
        <w:rFonts w:ascii="Courier New" w:hAnsi="Courier New" w:hint="default"/>
      </w:rPr>
    </w:lvl>
    <w:lvl w:ilvl="2" w:tplc="205A83E6">
      <w:start w:val="1"/>
      <w:numFmt w:val="bullet"/>
      <w:lvlText w:val=""/>
      <w:lvlJc w:val="left"/>
      <w:pPr>
        <w:ind w:left="2160" w:hanging="360"/>
      </w:pPr>
      <w:rPr>
        <w:rFonts w:ascii="Wingdings" w:hAnsi="Wingdings" w:hint="default"/>
      </w:rPr>
    </w:lvl>
    <w:lvl w:ilvl="3" w:tplc="B4CA15F0">
      <w:start w:val="1"/>
      <w:numFmt w:val="bullet"/>
      <w:lvlText w:val=""/>
      <w:lvlJc w:val="left"/>
      <w:pPr>
        <w:ind w:left="2880" w:hanging="360"/>
      </w:pPr>
      <w:rPr>
        <w:rFonts w:ascii="Symbol" w:hAnsi="Symbol" w:hint="default"/>
      </w:rPr>
    </w:lvl>
    <w:lvl w:ilvl="4" w:tplc="E5766E82">
      <w:start w:val="1"/>
      <w:numFmt w:val="bullet"/>
      <w:lvlText w:val="o"/>
      <w:lvlJc w:val="left"/>
      <w:pPr>
        <w:ind w:left="3600" w:hanging="360"/>
      </w:pPr>
      <w:rPr>
        <w:rFonts w:ascii="Courier New" w:hAnsi="Courier New" w:hint="default"/>
      </w:rPr>
    </w:lvl>
    <w:lvl w:ilvl="5" w:tplc="02EC8EDE">
      <w:start w:val="1"/>
      <w:numFmt w:val="bullet"/>
      <w:lvlText w:val=""/>
      <w:lvlJc w:val="left"/>
      <w:pPr>
        <w:ind w:left="4320" w:hanging="360"/>
      </w:pPr>
      <w:rPr>
        <w:rFonts w:ascii="Wingdings" w:hAnsi="Wingdings" w:hint="default"/>
      </w:rPr>
    </w:lvl>
    <w:lvl w:ilvl="6" w:tplc="63AADB9A">
      <w:start w:val="1"/>
      <w:numFmt w:val="bullet"/>
      <w:lvlText w:val=""/>
      <w:lvlJc w:val="left"/>
      <w:pPr>
        <w:ind w:left="5040" w:hanging="360"/>
      </w:pPr>
      <w:rPr>
        <w:rFonts w:ascii="Symbol" w:hAnsi="Symbol" w:hint="default"/>
      </w:rPr>
    </w:lvl>
    <w:lvl w:ilvl="7" w:tplc="5DFAD04C">
      <w:start w:val="1"/>
      <w:numFmt w:val="bullet"/>
      <w:lvlText w:val="o"/>
      <w:lvlJc w:val="left"/>
      <w:pPr>
        <w:ind w:left="5760" w:hanging="360"/>
      </w:pPr>
      <w:rPr>
        <w:rFonts w:ascii="Courier New" w:hAnsi="Courier New" w:hint="default"/>
      </w:rPr>
    </w:lvl>
    <w:lvl w:ilvl="8" w:tplc="8182CD88">
      <w:start w:val="1"/>
      <w:numFmt w:val="bullet"/>
      <w:lvlText w:val=""/>
      <w:lvlJc w:val="left"/>
      <w:pPr>
        <w:ind w:left="6480" w:hanging="360"/>
      </w:pPr>
      <w:rPr>
        <w:rFonts w:ascii="Wingdings" w:hAnsi="Wingdings" w:hint="default"/>
      </w:rPr>
    </w:lvl>
  </w:abstractNum>
  <w:abstractNum w:abstractNumId="6" w15:restartNumberingAfterBreak="0">
    <w:nsid w:val="7910234E"/>
    <w:multiLevelType w:val="multilevel"/>
    <w:tmpl w:val="40185F92"/>
    <w:lvl w:ilvl="0">
      <w:start w:val="1"/>
      <w:numFmt w:val="bullet"/>
      <w:pStyle w:val="ListBullet"/>
      <w:lvlText w:val=""/>
      <w:lvlJc w:val="left"/>
      <w:pPr>
        <w:tabs>
          <w:tab w:val="num" w:pos="794"/>
        </w:tabs>
        <w:ind w:left="794" w:hanging="397"/>
      </w:pPr>
      <w:rPr>
        <w:rFonts w:ascii="Symbol" w:hAnsi="Symbol" w:hint="default"/>
        <w:color w:val="000000" w:themeColor="text1"/>
        <w:position w:val="0"/>
        <w:sz w:val="20"/>
      </w:rPr>
    </w:lvl>
    <w:lvl w:ilvl="1">
      <w:start w:val="1"/>
      <w:numFmt w:val="bullet"/>
      <w:pStyle w:val="ListBullet2"/>
      <w:lvlText w:val="‒"/>
      <w:lvlJc w:val="left"/>
      <w:pPr>
        <w:tabs>
          <w:tab w:val="num" w:pos="1191"/>
        </w:tabs>
        <w:ind w:left="1191" w:hanging="397"/>
      </w:pPr>
      <w:rPr>
        <w:rFonts w:ascii="Arial" w:hAnsi="Arial" w:hint="default"/>
        <w:color w:val="000000" w:themeColor="text1"/>
      </w:rPr>
    </w:lvl>
    <w:lvl w:ilvl="2">
      <w:start w:val="1"/>
      <w:numFmt w:val="bullet"/>
      <w:pStyle w:val="ListBullet3"/>
      <w:lvlText w:val="◦"/>
      <w:lvlJc w:val="left"/>
      <w:pPr>
        <w:tabs>
          <w:tab w:val="num" w:pos="1588"/>
        </w:tabs>
        <w:ind w:left="1588" w:hanging="397"/>
      </w:pPr>
      <w:rPr>
        <w:rFonts w:ascii="Arial" w:hAnsi="Arial" w:hint="default"/>
        <w:color w:val="000000" w:themeColor="text1"/>
      </w:rPr>
    </w:lvl>
    <w:lvl w:ilvl="3">
      <w:start w:val="1"/>
      <w:numFmt w:val="decimal"/>
      <w:lvlText w:val="(%4)"/>
      <w:lvlJc w:val="left"/>
      <w:pPr>
        <w:ind w:left="1837" w:hanging="360"/>
      </w:pPr>
      <w:rPr>
        <w:rFonts w:hint="default"/>
      </w:rPr>
    </w:lvl>
    <w:lvl w:ilvl="4">
      <w:start w:val="1"/>
      <w:numFmt w:val="lowerLetter"/>
      <w:lvlText w:val="(%5)"/>
      <w:lvlJc w:val="left"/>
      <w:pPr>
        <w:ind w:left="2197" w:hanging="360"/>
      </w:pPr>
      <w:rPr>
        <w:rFonts w:hint="default"/>
      </w:rPr>
    </w:lvl>
    <w:lvl w:ilvl="5">
      <w:start w:val="1"/>
      <w:numFmt w:val="lowerRoman"/>
      <w:lvlText w:val="(%6)"/>
      <w:lvlJc w:val="left"/>
      <w:pPr>
        <w:ind w:left="2557" w:hanging="360"/>
      </w:pPr>
      <w:rPr>
        <w:rFonts w:hint="default"/>
      </w:rPr>
    </w:lvl>
    <w:lvl w:ilvl="6">
      <w:start w:val="1"/>
      <w:numFmt w:val="decimal"/>
      <w:lvlText w:val="%7."/>
      <w:lvlJc w:val="left"/>
      <w:pPr>
        <w:ind w:left="2917" w:hanging="360"/>
      </w:pPr>
      <w:rPr>
        <w:rFonts w:hint="default"/>
      </w:rPr>
    </w:lvl>
    <w:lvl w:ilvl="7">
      <w:start w:val="1"/>
      <w:numFmt w:val="lowerLetter"/>
      <w:lvlText w:val="%8."/>
      <w:lvlJc w:val="left"/>
      <w:pPr>
        <w:ind w:left="3277" w:hanging="360"/>
      </w:pPr>
      <w:rPr>
        <w:rFonts w:hint="default"/>
      </w:rPr>
    </w:lvl>
    <w:lvl w:ilvl="8">
      <w:start w:val="1"/>
      <w:numFmt w:val="lowerRoman"/>
      <w:lvlText w:val="%9."/>
      <w:lvlJc w:val="left"/>
      <w:pPr>
        <w:ind w:left="3637" w:hanging="360"/>
      </w:pPr>
      <w:rPr>
        <w:rFonts w:hint="default"/>
      </w:rPr>
    </w:lvl>
  </w:abstractNum>
  <w:num w:numId="1" w16cid:durableId="96994462">
    <w:abstractNumId w:val="6"/>
  </w:num>
  <w:num w:numId="2" w16cid:durableId="1427847714">
    <w:abstractNumId w:val="5"/>
  </w:num>
  <w:num w:numId="3" w16cid:durableId="521554749">
    <w:abstractNumId w:val="1"/>
  </w:num>
  <w:num w:numId="4" w16cid:durableId="1379815966">
    <w:abstractNumId w:val="0"/>
  </w:num>
  <w:num w:numId="5" w16cid:durableId="2047371963">
    <w:abstractNumId w:val="4"/>
  </w:num>
  <w:num w:numId="6" w16cid:durableId="1340236675">
    <w:abstractNumId w:val="3"/>
  </w:num>
  <w:num w:numId="7" w16cid:durableId="48303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DA"/>
    <w:rsid w:val="000279D1"/>
    <w:rsid w:val="00043403"/>
    <w:rsid w:val="00047D0B"/>
    <w:rsid w:val="00051130"/>
    <w:rsid w:val="000511E7"/>
    <w:rsid w:val="0005445B"/>
    <w:rsid w:val="00063EE0"/>
    <w:rsid w:val="00072190"/>
    <w:rsid w:val="00073076"/>
    <w:rsid w:val="00076573"/>
    <w:rsid w:val="00077958"/>
    <w:rsid w:val="00083A15"/>
    <w:rsid w:val="000918A3"/>
    <w:rsid w:val="000923BC"/>
    <w:rsid w:val="0009256C"/>
    <w:rsid w:val="00092898"/>
    <w:rsid w:val="00094D60"/>
    <w:rsid w:val="000B241F"/>
    <w:rsid w:val="000B6361"/>
    <w:rsid w:val="000B673F"/>
    <w:rsid w:val="000B772A"/>
    <w:rsid w:val="000C6C8A"/>
    <w:rsid w:val="000D0289"/>
    <w:rsid w:val="000D10F1"/>
    <w:rsid w:val="000D3117"/>
    <w:rsid w:val="000D4790"/>
    <w:rsid w:val="000D65E2"/>
    <w:rsid w:val="000D6F5A"/>
    <w:rsid w:val="000E1EA7"/>
    <w:rsid w:val="000E6B9B"/>
    <w:rsid w:val="000E7D53"/>
    <w:rsid w:val="000F2685"/>
    <w:rsid w:val="000F4EF9"/>
    <w:rsid w:val="00105D50"/>
    <w:rsid w:val="00127BCC"/>
    <w:rsid w:val="00133B62"/>
    <w:rsid w:val="00137A04"/>
    <w:rsid w:val="00145993"/>
    <w:rsid w:val="00150D09"/>
    <w:rsid w:val="00153300"/>
    <w:rsid w:val="001616FE"/>
    <w:rsid w:val="001618ED"/>
    <w:rsid w:val="001653C2"/>
    <w:rsid w:val="00165E0F"/>
    <w:rsid w:val="001700CE"/>
    <w:rsid w:val="001714C1"/>
    <w:rsid w:val="001733C2"/>
    <w:rsid w:val="00175804"/>
    <w:rsid w:val="00177BE5"/>
    <w:rsid w:val="00182CDD"/>
    <w:rsid w:val="00187442"/>
    <w:rsid w:val="00191B77"/>
    <w:rsid w:val="00194D8C"/>
    <w:rsid w:val="0019763B"/>
    <w:rsid w:val="001A07CF"/>
    <w:rsid w:val="001A3760"/>
    <w:rsid w:val="001B3F8B"/>
    <w:rsid w:val="001B57AC"/>
    <w:rsid w:val="001B7491"/>
    <w:rsid w:val="001D0191"/>
    <w:rsid w:val="001D0882"/>
    <w:rsid w:val="001D6AA6"/>
    <w:rsid w:val="001E2CE3"/>
    <w:rsid w:val="001E3D96"/>
    <w:rsid w:val="001E770C"/>
    <w:rsid w:val="001F3C5B"/>
    <w:rsid w:val="001F3E8F"/>
    <w:rsid w:val="001F602B"/>
    <w:rsid w:val="00202426"/>
    <w:rsid w:val="00204F39"/>
    <w:rsid w:val="002066BB"/>
    <w:rsid w:val="00207F4D"/>
    <w:rsid w:val="00216131"/>
    <w:rsid w:val="00222A39"/>
    <w:rsid w:val="00223C11"/>
    <w:rsid w:val="00224C9E"/>
    <w:rsid w:val="002250F4"/>
    <w:rsid w:val="00225615"/>
    <w:rsid w:val="002308AA"/>
    <w:rsid w:val="00241A84"/>
    <w:rsid w:val="002512B4"/>
    <w:rsid w:val="00251890"/>
    <w:rsid w:val="00254643"/>
    <w:rsid w:val="00256E98"/>
    <w:rsid w:val="0025710D"/>
    <w:rsid w:val="002659A7"/>
    <w:rsid w:val="00266064"/>
    <w:rsid w:val="00270F03"/>
    <w:rsid w:val="00271FD5"/>
    <w:rsid w:val="00277998"/>
    <w:rsid w:val="00281169"/>
    <w:rsid w:val="00283E2D"/>
    <w:rsid w:val="002863F5"/>
    <w:rsid w:val="00287D68"/>
    <w:rsid w:val="0029044D"/>
    <w:rsid w:val="002A0DB0"/>
    <w:rsid w:val="002A4047"/>
    <w:rsid w:val="002C504F"/>
    <w:rsid w:val="002C604D"/>
    <w:rsid w:val="002C7FBF"/>
    <w:rsid w:val="002D28F7"/>
    <w:rsid w:val="002D374C"/>
    <w:rsid w:val="002D38ED"/>
    <w:rsid w:val="002D6570"/>
    <w:rsid w:val="002D67A7"/>
    <w:rsid w:val="002D6C8E"/>
    <w:rsid w:val="002E13BD"/>
    <w:rsid w:val="002E408F"/>
    <w:rsid w:val="002E5805"/>
    <w:rsid w:val="002F1597"/>
    <w:rsid w:val="002F2154"/>
    <w:rsid w:val="002F21B8"/>
    <w:rsid w:val="002F7669"/>
    <w:rsid w:val="002F7B59"/>
    <w:rsid w:val="003012AF"/>
    <w:rsid w:val="003041BC"/>
    <w:rsid w:val="00306150"/>
    <w:rsid w:val="00307542"/>
    <w:rsid w:val="00322722"/>
    <w:rsid w:val="003271F8"/>
    <w:rsid w:val="00332E16"/>
    <w:rsid w:val="00336B93"/>
    <w:rsid w:val="0034129E"/>
    <w:rsid w:val="003433D3"/>
    <w:rsid w:val="00343CDC"/>
    <w:rsid w:val="003516FA"/>
    <w:rsid w:val="003568DB"/>
    <w:rsid w:val="003738A0"/>
    <w:rsid w:val="00375B58"/>
    <w:rsid w:val="00375D7B"/>
    <w:rsid w:val="00375E89"/>
    <w:rsid w:val="003810D0"/>
    <w:rsid w:val="00381872"/>
    <w:rsid w:val="00382660"/>
    <w:rsid w:val="0038369B"/>
    <w:rsid w:val="00385180"/>
    <w:rsid w:val="00392DF4"/>
    <w:rsid w:val="00397946"/>
    <w:rsid w:val="003B2DCF"/>
    <w:rsid w:val="003B3A16"/>
    <w:rsid w:val="003B6289"/>
    <w:rsid w:val="003D3639"/>
    <w:rsid w:val="003D75C6"/>
    <w:rsid w:val="003E2F96"/>
    <w:rsid w:val="003E4660"/>
    <w:rsid w:val="003E5B9F"/>
    <w:rsid w:val="003F461C"/>
    <w:rsid w:val="003F5D20"/>
    <w:rsid w:val="00405AC9"/>
    <w:rsid w:val="004079C8"/>
    <w:rsid w:val="00411A4A"/>
    <w:rsid w:val="00414EF1"/>
    <w:rsid w:val="00415A8E"/>
    <w:rsid w:val="00422621"/>
    <w:rsid w:val="00432FDC"/>
    <w:rsid w:val="004400D4"/>
    <w:rsid w:val="004409ED"/>
    <w:rsid w:val="0044205F"/>
    <w:rsid w:val="00462402"/>
    <w:rsid w:val="0046777C"/>
    <w:rsid w:val="00473026"/>
    <w:rsid w:val="004811B2"/>
    <w:rsid w:val="00484C01"/>
    <w:rsid w:val="004854C1"/>
    <w:rsid w:val="00497451"/>
    <w:rsid w:val="00497930"/>
    <w:rsid w:val="004A45DB"/>
    <w:rsid w:val="004A6B2C"/>
    <w:rsid w:val="004A7F42"/>
    <w:rsid w:val="004B2D8B"/>
    <w:rsid w:val="004B39FB"/>
    <w:rsid w:val="004B4051"/>
    <w:rsid w:val="004B54D9"/>
    <w:rsid w:val="004B6245"/>
    <w:rsid w:val="004C4F26"/>
    <w:rsid w:val="004D576C"/>
    <w:rsid w:val="004D59F4"/>
    <w:rsid w:val="004D6116"/>
    <w:rsid w:val="004E3719"/>
    <w:rsid w:val="004E7DB0"/>
    <w:rsid w:val="004E7F0B"/>
    <w:rsid w:val="004F1CBC"/>
    <w:rsid w:val="004F290D"/>
    <w:rsid w:val="004F5451"/>
    <w:rsid w:val="00510B6B"/>
    <w:rsid w:val="00512BC9"/>
    <w:rsid w:val="0052416A"/>
    <w:rsid w:val="00527D9A"/>
    <w:rsid w:val="00532C7E"/>
    <w:rsid w:val="005424E5"/>
    <w:rsid w:val="0054301E"/>
    <w:rsid w:val="00544C48"/>
    <w:rsid w:val="005469F0"/>
    <w:rsid w:val="00546E6E"/>
    <w:rsid w:val="00547289"/>
    <w:rsid w:val="00554541"/>
    <w:rsid w:val="00555072"/>
    <w:rsid w:val="00556C78"/>
    <w:rsid w:val="0055706F"/>
    <w:rsid w:val="0056208B"/>
    <w:rsid w:val="005676E0"/>
    <w:rsid w:val="005676F9"/>
    <w:rsid w:val="0057256D"/>
    <w:rsid w:val="00573CCF"/>
    <w:rsid w:val="0057535C"/>
    <w:rsid w:val="00576BB3"/>
    <w:rsid w:val="005858A6"/>
    <w:rsid w:val="00591CFF"/>
    <w:rsid w:val="0059434E"/>
    <w:rsid w:val="005949AA"/>
    <w:rsid w:val="005B1AF6"/>
    <w:rsid w:val="005B2636"/>
    <w:rsid w:val="005B378C"/>
    <w:rsid w:val="005B57DC"/>
    <w:rsid w:val="005C01AC"/>
    <w:rsid w:val="005C1D2A"/>
    <w:rsid w:val="005D527B"/>
    <w:rsid w:val="005E39FE"/>
    <w:rsid w:val="005E729B"/>
    <w:rsid w:val="005E7365"/>
    <w:rsid w:val="005F5656"/>
    <w:rsid w:val="005F56C6"/>
    <w:rsid w:val="00603830"/>
    <w:rsid w:val="00606CE8"/>
    <w:rsid w:val="00610FD8"/>
    <w:rsid w:val="006160D3"/>
    <w:rsid w:val="0061714C"/>
    <w:rsid w:val="00624DB1"/>
    <w:rsid w:val="00627335"/>
    <w:rsid w:val="00630985"/>
    <w:rsid w:val="00630C3E"/>
    <w:rsid w:val="00636C32"/>
    <w:rsid w:val="00637429"/>
    <w:rsid w:val="00646875"/>
    <w:rsid w:val="00646CC1"/>
    <w:rsid w:val="006510B7"/>
    <w:rsid w:val="00651D61"/>
    <w:rsid w:val="00653EF6"/>
    <w:rsid w:val="006560D6"/>
    <w:rsid w:val="006747CE"/>
    <w:rsid w:val="0067641C"/>
    <w:rsid w:val="00682625"/>
    <w:rsid w:val="00684892"/>
    <w:rsid w:val="00691207"/>
    <w:rsid w:val="006921B1"/>
    <w:rsid w:val="006A29AE"/>
    <w:rsid w:val="006A3A51"/>
    <w:rsid w:val="006A5D71"/>
    <w:rsid w:val="006A63A7"/>
    <w:rsid w:val="006A6F36"/>
    <w:rsid w:val="006B2167"/>
    <w:rsid w:val="006B6852"/>
    <w:rsid w:val="006B6AF6"/>
    <w:rsid w:val="006B74C0"/>
    <w:rsid w:val="006C7578"/>
    <w:rsid w:val="006D3774"/>
    <w:rsid w:val="006D423F"/>
    <w:rsid w:val="006E634F"/>
    <w:rsid w:val="006E7604"/>
    <w:rsid w:val="006F044C"/>
    <w:rsid w:val="006F280F"/>
    <w:rsid w:val="006F42CE"/>
    <w:rsid w:val="006F7018"/>
    <w:rsid w:val="007065F4"/>
    <w:rsid w:val="00723B72"/>
    <w:rsid w:val="00727E7C"/>
    <w:rsid w:val="00731CA2"/>
    <w:rsid w:val="00732FD7"/>
    <w:rsid w:val="007343FB"/>
    <w:rsid w:val="00734919"/>
    <w:rsid w:val="007541C3"/>
    <w:rsid w:val="00762319"/>
    <w:rsid w:val="007649ED"/>
    <w:rsid w:val="00766369"/>
    <w:rsid w:val="007724CC"/>
    <w:rsid w:val="007823D4"/>
    <w:rsid w:val="007A2C9D"/>
    <w:rsid w:val="007A5228"/>
    <w:rsid w:val="007B57E6"/>
    <w:rsid w:val="007C0BFD"/>
    <w:rsid w:val="007C1A24"/>
    <w:rsid w:val="007D03D7"/>
    <w:rsid w:val="007D1042"/>
    <w:rsid w:val="007D2516"/>
    <w:rsid w:val="007D3428"/>
    <w:rsid w:val="007D66F2"/>
    <w:rsid w:val="007D6855"/>
    <w:rsid w:val="007F2DC5"/>
    <w:rsid w:val="007F5047"/>
    <w:rsid w:val="007F7D44"/>
    <w:rsid w:val="008000F3"/>
    <w:rsid w:val="00806CDB"/>
    <w:rsid w:val="0081335A"/>
    <w:rsid w:val="008156FA"/>
    <w:rsid w:val="008206BC"/>
    <w:rsid w:val="008254F3"/>
    <w:rsid w:val="0083793C"/>
    <w:rsid w:val="00843EAE"/>
    <w:rsid w:val="008519FC"/>
    <w:rsid w:val="00852DBC"/>
    <w:rsid w:val="00857FF8"/>
    <w:rsid w:val="00860DC0"/>
    <w:rsid w:val="008652DD"/>
    <w:rsid w:val="00865D25"/>
    <w:rsid w:val="00871F8F"/>
    <w:rsid w:val="008852E3"/>
    <w:rsid w:val="008857CF"/>
    <w:rsid w:val="00887B3D"/>
    <w:rsid w:val="00892DE9"/>
    <w:rsid w:val="00894728"/>
    <w:rsid w:val="008978A6"/>
    <w:rsid w:val="008A26B9"/>
    <w:rsid w:val="008A2A26"/>
    <w:rsid w:val="008A3B8F"/>
    <w:rsid w:val="008B12A7"/>
    <w:rsid w:val="008B214B"/>
    <w:rsid w:val="008B3633"/>
    <w:rsid w:val="008B4C5A"/>
    <w:rsid w:val="008C16B2"/>
    <w:rsid w:val="008C1759"/>
    <w:rsid w:val="008C2784"/>
    <w:rsid w:val="008E09C7"/>
    <w:rsid w:val="008E694C"/>
    <w:rsid w:val="008F09D1"/>
    <w:rsid w:val="008F1CB5"/>
    <w:rsid w:val="008F1CDD"/>
    <w:rsid w:val="008F6D6B"/>
    <w:rsid w:val="008F793B"/>
    <w:rsid w:val="00902D6F"/>
    <w:rsid w:val="00903FA0"/>
    <w:rsid w:val="009061B2"/>
    <w:rsid w:val="0090710D"/>
    <w:rsid w:val="0091018B"/>
    <w:rsid w:val="00921687"/>
    <w:rsid w:val="00923A55"/>
    <w:rsid w:val="0093332C"/>
    <w:rsid w:val="00934603"/>
    <w:rsid w:val="00936C68"/>
    <w:rsid w:val="009404E0"/>
    <w:rsid w:val="00951B17"/>
    <w:rsid w:val="0096343B"/>
    <w:rsid w:val="00972C64"/>
    <w:rsid w:val="00973248"/>
    <w:rsid w:val="009755F6"/>
    <w:rsid w:val="009869D0"/>
    <w:rsid w:val="009926C8"/>
    <w:rsid w:val="009936CC"/>
    <w:rsid w:val="009A3D63"/>
    <w:rsid w:val="009B139A"/>
    <w:rsid w:val="009B73EE"/>
    <w:rsid w:val="009C1231"/>
    <w:rsid w:val="009C5663"/>
    <w:rsid w:val="009C6EE1"/>
    <w:rsid w:val="009D1718"/>
    <w:rsid w:val="009E4B80"/>
    <w:rsid w:val="009E5F9A"/>
    <w:rsid w:val="009E65FE"/>
    <w:rsid w:val="009F6E49"/>
    <w:rsid w:val="009F7962"/>
    <w:rsid w:val="00A0382E"/>
    <w:rsid w:val="00A11A61"/>
    <w:rsid w:val="00A1652B"/>
    <w:rsid w:val="00A16729"/>
    <w:rsid w:val="00A16AE4"/>
    <w:rsid w:val="00A23F6F"/>
    <w:rsid w:val="00A261D2"/>
    <w:rsid w:val="00A267D3"/>
    <w:rsid w:val="00A27290"/>
    <w:rsid w:val="00A27A7A"/>
    <w:rsid w:val="00A312D3"/>
    <w:rsid w:val="00A31990"/>
    <w:rsid w:val="00A32263"/>
    <w:rsid w:val="00A32C8A"/>
    <w:rsid w:val="00A3711E"/>
    <w:rsid w:val="00A37322"/>
    <w:rsid w:val="00A37B95"/>
    <w:rsid w:val="00A45D01"/>
    <w:rsid w:val="00A5152A"/>
    <w:rsid w:val="00A54D9A"/>
    <w:rsid w:val="00A57A61"/>
    <w:rsid w:val="00A63565"/>
    <w:rsid w:val="00A73B73"/>
    <w:rsid w:val="00A83041"/>
    <w:rsid w:val="00A83EFF"/>
    <w:rsid w:val="00A960F2"/>
    <w:rsid w:val="00AA6340"/>
    <w:rsid w:val="00AB1320"/>
    <w:rsid w:val="00AB63B8"/>
    <w:rsid w:val="00AB64C7"/>
    <w:rsid w:val="00AB7099"/>
    <w:rsid w:val="00AD5AAA"/>
    <w:rsid w:val="00AE2A1D"/>
    <w:rsid w:val="00AF55F0"/>
    <w:rsid w:val="00AF70BB"/>
    <w:rsid w:val="00B00D2F"/>
    <w:rsid w:val="00B06DB2"/>
    <w:rsid w:val="00B07008"/>
    <w:rsid w:val="00B13C95"/>
    <w:rsid w:val="00B14964"/>
    <w:rsid w:val="00B2075B"/>
    <w:rsid w:val="00B220BD"/>
    <w:rsid w:val="00B2545C"/>
    <w:rsid w:val="00B27915"/>
    <w:rsid w:val="00B343CA"/>
    <w:rsid w:val="00B34B0E"/>
    <w:rsid w:val="00B41A5E"/>
    <w:rsid w:val="00B44BD0"/>
    <w:rsid w:val="00B509F0"/>
    <w:rsid w:val="00B54FB7"/>
    <w:rsid w:val="00B60078"/>
    <w:rsid w:val="00B71364"/>
    <w:rsid w:val="00B71F7A"/>
    <w:rsid w:val="00B738D2"/>
    <w:rsid w:val="00B75ED1"/>
    <w:rsid w:val="00B86EC6"/>
    <w:rsid w:val="00B90A11"/>
    <w:rsid w:val="00B95774"/>
    <w:rsid w:val="00B96A67"/>
    <w:rsid w:val="00BA0F44"/>
    <w:rsid w:val="00BA2B23"/>
    <w:rsid w:val="00BB1952"/>
    <w:rsid w:val="00BB1D03"/>
    <w:rsid w:val="00BB2A29"/>
    <w:rsid w:val="00BC3B77"/>
    <w:rsid w:val="00BC41D0"/>
    <w:rsid w:val="00BC41FC"/>
    <w:rsid w:val="00BC4255"/>
    <w:rsid w:val="00BD43ED"/>
    <w:rsid w:val="00BD445B"/>
    <w:rsid w:val="00BE2CDA"/>
    <w:rsid w:val="00BE50FF"/>
    <w:rsid w:val="00BF0157"/>
    <w:rsid w:val="00BF2682"/>
    <w:rsid w:val="00BF4F5A"/>
    <w:rsid w:val="00C01807"/>
    <w:rsid w:val="00C04502"/>
    <w:rsid w:val="00C04D60"/>
    <w:rsid w:val="00C07B91"/>
    <w:rsid w:val="00C11A38"/>
    <w:rsid w:val="00C17E13"/>
    <w:rsid w:val="00C318CE"/>
    <w:rsid w:val="00C44F7E"/>
    <w:rsid w:val="00C52D7C"/>
    <w:rsid w:val="00C674ED"/>
    <w:rsid w:val="00C7759D"/>
    <w:rsid w:val="00C8318D"/>
    <w:rsid w:val="00C963F2"/>
    <w:rsid w:val="00C97E9F"/>
    <w:rsid w:val="00CA4B84"/>
    <w:rsid w:val="00CB254E"/>
    <w:rsid w:val="00CD0A8B"/>
    <w:rsid w:val="00CD2CA1"/>
    <w:rsid w:val="00CD5476"/>
    <w:rsid w:val="00CD7A2A"/>
    <w:rsid w:val="00CE28B7"/>
    <w:rsid w:val="00CF3C5D"/>
    <w:rsid w:val="00CF581E"/>
    <w:rsid w:val="00D041DA"/>
    <w:rsid w:val="00D05C74"/>
    <w:rsid w:val="00D068FA"/>
    <w:rsid w:val="00D14022"/>
    <w:rsid w:val="00D21A7F"/>
    <w:rsid w:val="00D242BA"/>
    <w:rsid w:val="00D25455"/>
    <w:rsid w:val="00D27961"/>
    <w:rsid w:val="00D35B2A"/>
    <w:rsid w:val="00D41814"/>
    <w:rsid w:val="00D62553"/>
    <w:rsid w:val="00D706AF"/>
    <w:rsid w:val="00D71B6F"/>
    <w:rsid w:val="00D72C69"/>
    <w:rsid w:val="00D85303"/>
    <w:rsid w:val="00D867EA"/>
    <w:rsid w:val="00DA7DC0"/>
    <w:rsid w:val="00DB38F9"/>
    <w:rsid w:val="00DC47BE"/>
    <w:rsid w:val="00DC5423"/>
    <w:rsid w:val="00DC5CBE"/>
    <w:rsid w:val="00DD0368"/>
    <w:rsid w:val="00DD12FE"/>
    <w:rsid w:val="00DE2126"/>
    <w:rsid w:val="00DE5B90"/>
    <w:rsid w:val="00DF29C8"/>
    <w:rsid w:val="00E0005A"/>
    <w:rsid w:val="00E00B87"/>
    <w:rsid w:val="00E06121"/>
    <w:rsid w:val="00E07CEB"/>
    <w:rsid w:val="00E249EB"/>
    <w:rsid w:val="00E24B11"/>
    <w:rsid w:val="00E35564"/>
    <w:rsid w:val="00E3709F"/>
    <w:rsid w:val="00E55039"/>
    <w:rsid w:val="00E601E9"/>
    <w:rsid w:val="00E71252"/>
    <w:rsid w:val="00E73463"/>
    <w:rsid w:val="00E75884"/>
    <w:rsid w:val="00E765B3"/>
    <w:rsid w:val="00E76D48"/>
    <w:rsid w:val="00E836DE"/>
    <w:rsid w:val="00E936A8"/>
    <w:rsid w:val="00E94376"/>
    <w:rsid w:val="00E9555B"/>
    <w:rsid w:val="00EA051F"/>
    <w:rsid w:val="00EA086D"/>
    <w:rsid w:val="00EB4D1A"/>
    <w:rsid w:val="00EB6F74"/>
    <w:rsid w:val="00EB7C57"/>
    <w:rsid w:val="00EC5194"/>
    <w:rsid w:val="00EC778B"/>
    <w:rsid w:val="00ED10A2"/>
    <w:rsid w:val="00ED4D31"/>
    <w:rsid w:val="00ED5EE7"/>
    <w:rsid w:val="00EE2987"/>
    <w:rsid w:val="00EE429F"/>
    <w:rsid w:val="00EE75D7"/>
    <w:rsid w:val="00EF72E4"/>
    <w:rsid w:val="00EF7FF7"/>
    <w:rsid w:val="00F00520"/>
    <w:rsid w:val="00F03BAF"/>
    <w:rsid w:val="00F115A9"/>
    <w:rsid w:val="00F17F1F"/>
    <w:rsid w:val="00F22749"/>
    <w:rsid w:val="00F24A00"/>
    <w:rsid w:val="00F252FC"/>
    <w:rsid w:val="00F30CC4"/>
    <w:rsid w:val="00F370C1"/>
    <w:rsid w:val="00F3721A"/>
    <w:rsid w:val="00F4426F"/>
    <w:rsid w:val="00F64205"/>
    <w:rsid w:val="00F66525"/>
    <w:rsid w:val="00F7107C"/>
    <w:rsid w:val="00F718CC"/>
    <w:rsid w:val="00F77409"/>
    <w:rsid w:val="00F85031"/>
    <w:rsid w:val="00F95DF4"/>
    <w:rsid w:val="00F96A94"/>
    <w:rsid w:val="00FA2523"/>
    <w:rsid w:val="00FA2A6D"/>
    <w:rsid w:val="00FB1A5C"/>
    <w:rsid w:val="00FC5633"/>
    <w:rsid w:val="00FC76EA"/>
    <w:rsid w:val="00FE5381"/>
    <w:rsid w:val="00FE69D7"/>
    <w:rsid w:val="00FF5EE7"/>
    <w:rsid w:val="277398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1B8E2"/>
  <w15:chartTrackingRefBased/>
  <w15:docId w15:val="{40C8AEB6-6440-4789-B939-710F5194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C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2C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2C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2C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2C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C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C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C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C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C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2C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2C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2C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2C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C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C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C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CDA"/>
    <w:rPr>
      <w:rFonts w:eastAsiaTheme="majorEastAsia" w:cstheme="majorBidi"/>
      <w:color w:val="272727" w:themeColor="text1" w:themeTint="D8"/>
    </w:rPr>
  </w:style>
  <w:style w:type="paragraph" w:styleId="Title">
    <w:name w:val="Title"/>
    <w:basedOn w:val="Normal"/>
    <w:next w:val="Normal"/>
    <w:link w:val="TitleChar"/>
    <w:uiPriority w:val="10"/>
    <w:qFormat/>
    <w:rsid w:val="00BE2C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C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C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C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CDA"/>
    <w:pPr>
      <w:spacing w:before="160"/>
      <w:jc w:val="center"/>
    </w:pPr>
    <w:rPr>
      <w:i/>
      <w:iCs/>
      <w:color w:val="404040" w:themeColor="text1" w:themeTint="BF"/>
    </w:rPr>
  </w:style>
  <w:style w:type="character" w:customStyle="1" w:styleId="QuoteChar">
    <w:name w:val="Quote Char"/>
    <w:basedOn w:val="DefaultParagraphFont"/>
    <w:link w:val="Quote"/>
    <w:uiPriority w:val="29"/>
    <w:rsid w:val="00BE2CDA"/>
    <w:rPr>
      <w:i/>
      <w:iCs/>
      <w:color w:val="404040" w:themeColor="text1" w:themeTint="BF"/>
    </w:rPr>
  </w:style>
  <w:style w:type="paragraph" w:styleId="ListParagraph">
    <w:name w:val="List Paragraph"/>
    <w:basedOn w:val="Normal"/>
    <w:uiPriority w:val="34"/>
    <w:qFormat/>
    <w:rsid w:val="00BE2CDA"/>
    <w:pPr>
      <w:ind w:left="720"/>
      <w:contextualSpacing/>
    </w:pPr>
  </w:style>
  <w:style w:type="character" w:styleId="IntenseEmphasis">
    <w:name w:val="Intense Emphasis"/>
    <w:basedOn w:val="DefaultParagraphFont"/>
    <w:uiPriority w:val="21"/>
    <w:qFormat/>
    <w:rsid w:val="00BE2CDA"/>
    <w:rPr>
      <w:i/>
      <w:iCs/>
      <w:color w:val="0F4761" w:themeColor="accent1" w:themeShade="BF"/>
    </w:rPr>
  </w:style>
  <w:style w:type="paragraph" w:styleId="IntenseQuote">
    <w:name w:val="Intense Quote"/>
    <w:basedOn w:val="Normal"/>
    <w:next w:val="Normal"/>
    <w:link w:val="IntenseQuoteChar"/>
    <w:uiPriority w:val="30"/>
    <w:qFormat/>
    <w:rsid w:val="00BE2C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CDA"/>
    <w:rPr>
      <w:i/>
      <w:iCs/>
      <w:color w:val="0F4761" w:themeColor="accent1" w:themeShade="BF"/>
    </w:rPr>
  </w:style>
  <w:style w:type="character" w:styleId="IntenseReference">
    <w:name w:val="Intense Reference"/>
    <w:basedOn w:val="DefaultParagraphFont"/>
    <w:uiPriority w:val="32"/>
    <w:qFormat/>
    <w:rsid w:val="00BE2CDA"/>
    <w:rPr>
      <w:b/>
      <w:bCs/>
      <w:smallCaps/>
      <w:color w:val="0F4761" w:themeColor="accent1" w:themeShade="BF"/>
      <w:spacing w:val="5"/>
    </w:rPr>
  </w:style>
  <w:style w:type="character" w:styleId="Hyperlink">
    <w:name w:val="Hyperlink"/>
    <w:basedOn w:val="DefaultParagraphFont"/>
    <w:uiPriority w:val="99"/>
    <w:unhideWhenUsed/>
    <w:rsid w:val="00BE2CDA"/>
    <w:rPr>
      <w:color w:val="467886" w:themeColor="hyperlink"/>
      <w:u w:val="single"/>
    </w:rPr>
  </w:style>
  <w:style w:type="character" w:styleId="UnresolvedMention">
    <w:name w:val="Unresolved Mention"/>
    <w:basedOn w:val="DefaultParagraphFont"/>
    <w:uiPriority w:val="99"/>
    <w:semiHidden/>
    <w:unhideWhenUsed/>
    <w:rsid w:val="00BE2CDA"/>
    <w:rPr>
      <w:color w:val="605E5C"/>
      <w:shd w:val="clear" w:color="auto" w:fill="E1DFDD"/>
    </w:rPr>
  </w:style>
  <w:style w:type="paragraph" w:styleId="ListBullet">
    <w:name w:val="List Bullet"/>
    <w:basedOn w:val="Normal"/>
    <w:uiPriority w:val="99"/>
    <w:unhideWhenUsed/>
    <w:qFormat/>
    <w:rsid w:val="002D6C8E"/>
    <w:pPr>
      <w:numPr>
        <w:numId w:val="1"/>
      </w:numPr>
      <w:spacing w:before="80" w:after="180" w:line="252" w:lineRule="auto"/>
    </w:pPr>
    <w:rPr>
      <w:color w:val="2E3248"/>
      <w:sz w:val="22"/>
      <w:szCs w:val="22"/>
    </w:rPr>
  </w:style>
  <w:style w:type="paragraph" w:styleId="ListBullet2">
    <w:name w:val="List Bullet 2"/>
    <w:basedOn w:val="Normal"/>
    <w:uiPriority w:val="99"/>
    <w:unhideWhenUsed/>
    <w:qFormat/>
    <w:rsid w:val="002D6C8E"/>
    <w:pPr>
      <w:numPr>
        <w:ilvl w:val="1"/>
        <w:numId w:val="1"/>
      </w:numPr>
      <w:spacing w:before="80" w:after="180" w:line="252" w:lineRule="auto"/>
    </w:pPr>
    <w:rPr>
      <w:color w:val="2E3248"/>
      <w:sz w:val="22"/>
      <w:szCs w:val="22"/>
    </w:rPr>
  </w:style>
  <w:style w:type="paragraph" w:styleId="ListBullet3">
    <w:name w:val="List Bullet 3"/>
    <w:basedOn w:val="Normal"/>
    <w:uiPriority w:val="99"/>
    <w:unhideWhenUsed/>
    <w:qFormat/>
    <w:rsid w:val="002D6C8E"/>
    <w:pPr>
      <w:numPr>
        <w:ilvl w:val="2"/>
        <w:numId w:val="1"/>
      </w:numPr>
      <w:spacing w:before="80" w:after="180" w:line="252" w:lineRule="auto"/>
    </w:pPr>
    <w:rPr>
      <w:color w:val="2E3248"/>
      <w:sz w:val="22"/>
      <w:szCs w:val="22"/>
    </w:rPr>
  </w:style>
  <w:style w:type="paragraph" w:styleId="FootnoteText">
    <w:name w:val="footnote text"/>
    <w:basedOn w:val="Normal"/>
    <w:link w:val="FootnoteTextChar"/>
    <w:uiPriority w:val="99"/>
    <w:semiHidden/>
    <w:unhideWhenUsed/>
    <w:rsid w:val="002D6C8E"/>
    <w:pPr>
      <w:spacing w:after="20" w:line="240" w:lineRule="auto"/>
    </w:pPr>
    <w:rPr>
      <w:color w:val="2E3248"/>
      <w:sz w:val="16"/>
      <w:szCs w:val="22"/>
    </w:rPr>
  </w:style>
  <w:style w:type="character" w:customStyle="1" w:styleId="FootnoteTextChar">
    <w:name w:val="Footnote Text Char"/>
    <w:basedOn w:val="DefaultParagraphFont"/>
    <w:link w:val="FootnoteText"/>
    <w:uiPriority w:val="99"/>
    <w:semiHidden/>
    <w:rsid w:val="002D6C8E"/>
    <w:rPr>
      <w:color w:val="2E3248"/>
      <w:sz w:val="16"/>
      <w:szCs w:val="22"/>
    </w:rPr>
  </w:style>
  <w:style w:type="character" w:styleId="FootnoteReference">
    <w:name w:val="footnote reference"/>
    <w:basedOn w:val="DefaultParagraphFont"/>
    <w:uiPriority w:val="99"/>
    <w:semiHidden/>
    <w:unhideWhenUsed/>
    <w:rsid w:val="002D6C8E"/>
    <w:rPr>
      <w:vertAlign w:val="superscript"/>
    </w:rPr>
  </w:style>
  <w:style w:type="paragraph" w:styleId="Header">
    <w:name w:val="header"/>
    <w:basedOn w:val="Normal"/>
    <w:link w:val="HeaderChar"/>
    <w:uiPriority w:val="99"/>
    <w:unhideWhenUsed/>
    <w:rsid w:val="00A45D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D01"/>
  </w:style>
  <w:style w:type="paragraph" w:styleId="Footer">
    <w:name w:val="footer"/>
    <w:basedOn w:val="Normal"/>
    <w:link w:val="FooterChar"/>
    <w:uiPriority w:val="99"/>
    <w:unhideWhenUsed/>
    <w:rsid w:val="00A45D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D01"/>
  </w:style>
  <w:style w:type="paragraph" w:styleId="Revision">
    <w:name w:val="Revision"/>
    <w:hidden/>
    <w:uiPriority w:val="99"/>
    <w:semiHidden/>
    <w:rsid w:val="005676E0"/>
    <w:pPr>
      <w:spacing w:after="0" w:line="240" w:lineRule="auto"/>
    </w:pPr>
  </w:style>
  <w:style w:type="character" w:styleId="FollowedHyperlink">
    <w:name w:val="FollowedHyperlink"/>
    <w:basedOn w:val="DefaultParagraphFont"/>
    <w:uiPriority w:val="99"/>
    <w:semiHidden/>
    <w:unhideWhenUsed/>
    <w:rsid w:val="003012AF"/>
    <w:rPr>
      <w:color w:val="96607D"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EndnoteText">
    <w:name w:val="endnote text"/>
    <w:basedOn w:val="Normal"/>
    <w:link w:val="EndnoteTextChar"/>
    <w:uiPriority w:val="99"/>
    <w:semiHidden/>
    <w:unhideWhenUsed/>
    <w:rsid w:val="0057535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7535C"/>
    <w:rPr>
      <w:sz w:val="20"/>
      <w:szCs w:val="20"/>
    </w:rPr>
  </w:style>
  <w:style w:type="character" w:styleId="EndnoteReference">
    <w:name w:val="endnote reference"/>
    <w:basedOn w:val="DefaultParagraphFont"/>
    <w:uiPriority w:val="99"/>
    <w:semiHidden/>
    <w:unhideWhenUsed/>
    <w:rsid w:val="005753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aus01.safelinks.protection.outlook.com/?url=https%3A%2F%2Fwww.acoss.org.au%2Fwp-content%2Fuploads%2F2026%2F07%2FCOSS-submission-to-AER-review-network-RORI-2026.pdf&amp;data=05%7C02%7Ckellie%40acoss.org.au%7C05af833f0dbe42093b5108dee13feea6%7C024e32c4ad4b4be2866eebf5b9989332%7C0%7C0%7C639195861905109769%7CUnknown%7CTWFpbGZsb3d8eyJFbXB0eU1hcGkiOnRydWUsIlYiOiIwLjAuMDAwMCIsIlAiOiJXaW4zMiIsIkFOIjoiTWFpbCIsIldUIjoyfQ%3D%3D%7C0%7C%7C%7C&amp;sdata=sdpN3ROv34%2BIlN96eva5OSSPQSUZH%2BJKy7spJEFBZAI%3D&amp;reserved=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aer.gov.au/industry/registers/resources/guidelines/rate-return-instrument-2026/draft-2026-rate-return-instrumen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RateOfReturn@aer.gov.au" TargetMode="External"/><Relationship Id="rId20" Type="http://schemas.openxmlformats.org/officeDocument/2006/relationships/image" Target="cid:aef7ebc5-08cb-4532-9cc6-0f8f72c77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Clare.Savage@aer.gov.au" TargetMode="External"/><Relationship Id="rId23" Type="http://schemas.openxmlformats.org/officeDocument/2006/relationships/image" Target="media/image10.JPG"/><Relationship Id="rId10" Type="http://schemas.openxmlformats.org/officeDocument/2006/relationships/image" Target="media/image3.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kellie@acoss.org.au"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energyconsumersaustralia.com.au/sites/default/files/2026-07/submission-doc-aer-rori-draft-26.pdf" TargetMode="External"/><Relationship Id="rId13" Type="http://schemas.openxmlformats.org/officeDocument/2006/relationships/hyperlink" Target="https://energyconsumersaustralia.com.au/sites/default/files/2026-07/web-doc-emas-response-aer-2026-rori-draft-decision.pdf" TargetMode="External"/><Relationship Id="rId3" Type="http://schemas.openxmlformats.org/officeDocument/2006/relationships/hyperlink" Target="https://energyconsumersaustralia.com.au/news/one-highest-impact-decisions-home-energy-bills-about-made-heres-why-matters" TargetMode="External"/><Relationship Id="rId7" Type="http://schemas.openxmlformats.org/officeDocument/2006/relationships/hyperlink" Target="https://energyconsumersaustralia.com.au/sites/default/files/2026-07/submission-doc-aer-rori-draft-26.pdf" TargetMode="External"/><Relationship Id="rId12" Type="http://schemas.openxmlformats.org/officeDocument/2006/relationships/hyperlink" Target="https://energyconsumersaustralia.com.au/sites/default/files/2026-07/web-doc-emas-response-aer-2026-rori-draft-decision.pdf" TargetMode="External"/><Relationship Id="rId2" Type="http://schemas.openxmlformats.org/officeDocument/2006/relationships/hyperlink" Target="https://energyconsumersaustralia.com.au/sites/default/files/2026-07/web-doc-emas-response-aer-2026-rori-draft-decision.pdf" TargetMode="External"/><Relationship Id="rId1" Type="http://schemas.openxmlformats.org/officeDocument/2006/relationships/hyperlink" Target="https://energyconsumersaustralia.com.au/sites/default/files/2026-07/submission-doc-aer-rori-draft-26.pdf" TargetMode="External"/><Relationship Id="rId6" Type="http://schemas.openxmlformats.org/officeDocument/2006/relationships/hyperlink" Target="CRG%20-%20Advice%20Draft%20RoRI%20Attach%203b%20CRG%20Consumption%20Efficiency%20and%20the%20RoR%20-%20September%202022%20|%20Australian%20Energy%20Regulator%20(AER)" TargetMode="External"/><Relationship Id="rId11" Type="http://schemas.openxmlformats.org/officeDocument/2006/relationships/hyperlink" Target="https://energyconsumersaustralia.com.au/sites/default/files/2026-07/submission-doc-aer-rori-draft-26.pdf" TargetMode="External"/><Relationship Id="rId5" Type="http://schemas.openxmlformats.org/officeDocument/2006/relationships/hyperlink" Target="https://www.acoss.org.au/wp-content/uploads/2026/03/Heat-in-Homes-Digital-1.0.pdf" TargetMode="External"/><Relationship Id="rId10" Type="http://schemas.openxmlformats.org/officeDocument/2006/relationships/hyperlink" Target="https://energyconsumersaustralia.com.au/sites/default/files/2026-07/web-doc-emas-response-aer-2026-rori-draft-decision.pdf" TargetMode="External"/><Relationship Id="rId4" Type="http://schemas.openxmlformats.org/officeDocument/2006/relationships/hyperlink" Target="https://www.abs.gov.au/statistics/economy/price-indexes-and-inflation/consumer-price-index-australia" TargetMode="External"/><Relationship Id="rId9" Type="http://schemas.openxmlformats.org/officeDocument/2006/relationships/hyperlink" Target="https://energyconsumersaustralia.com.au/sites/default/files/2026-07/submission-doc-aer-rori-draft-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D92A6-1107-43B7-B325-2C6AE907DEC7}">
  <ds:schemaRefs>
    <ds:schemaRef ds:uri="http://schemas.openxmlformats.org/officeDocument/2006/bibliography"/>
  </ds:schemaRefs>
</ds:datastoreItem>
</file>

<file path=docMetadata/LabelInfo.xml><?xml version="1.0" encoding="utf-8"?>
<clbl:labelList xmlns:clbl="http://schemas.microsoft.com/office/2020/mipLabelMetadata">
  <clbl:label id="{4c535065-72c1-4ce9-9739-ad6646ca4492}" enabled="1" method="Standard" siteId="{024e32c4-ad4b-4be2-866e-ebf5b9989332}" removed="0"/>
</clbl:labelList>
</file>

<file path=docProps/app.xml><?xml version="1.0" encoding="utf-8"?>
<Properties xmlns="http://schemas.openxmlformats.org/officeDocument/2006/extended-properties" xmlns:vt="http://schemas.openxmlformats.org/officeDocument/2006/docPropsVTypes">
  <Template>Normal</Template>
  <TotalTime>83</TotalTime>
  <Pages>7</Pages>
  <Words>1902</Words>
  <Characters>10846</Characters>
  <Application>Microsoft Office Word</Application>
  <DocSecurity>0</DocSecurity>
  <Lines>90</Lines>
  <Paragraphs>25</Paragraphs>
  <ScaleCrop>false</ScaleCrop>
  <Company/>
  <LinksUpToDate>false</LinksUpToDate>
  <CharactersWithSpaces>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Caught</dc:creator>
  <cp:keywords/>
  <dc:description/>
  <cp:lastModifiedBy>Kellie Caught</cp:lastModifiedBy>
  <cp:revision>370</cp:revision>
  <cp:lastPrinted>2025-12-19T03:35:00Z</cp:lastPrinted>
  <dcterms:created xsi:type="dcterms:W3CDTF">2026-07-13T03:27:00Z</dcterms:created>
  <dcterms:modified xsi:type="dcterms:W3CDTF">2026-08-07T06:35:00Z</dcterms:modified>
</cp:coreProperties>
</file>