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v:background id="_x0000_s1025" o:bwmode="white">
      <v:fill r:id="rId7" o:title="Word Document Background 2" type="tile"/>
    </v:background>
  </w:background>
  <w:body>
    <w:p w14:paraId="1630A83A" w14:textId="234C1FA8" w:rsidR="00DD56F7" w:rsidRPr="00A42C30" w:rsidRDefault="006453DB" w:rsidP="00A42C30">
      <w:pPr>
        <w:pStyle w:val="Heading2"/>
        <w:rPr>
          <w:b/>
          <w:bCs/>
        </w:rPr>
      </w:pPr>
      <w:r w:rsidRPr="00A42C30">
        <w:rPr>
          <w:b/>
          <w:bCs/>
        </w:rPr>
        <w:t>A</w:t>
      </w:r>
      <w:r w:rsidR="00A42C30">
        <w:rPr>
          <w:b/>
          <w:bCs/>
        </w:rPr>
        <w:t xml:space="preserve"> new post-</w:t>
      </w:r>
      <w:r w:rsidR="00A42C30" w:rsidRPr="00A42C30">
        <w:rPr>
          <w:b/>
          <w:bCs/>
        </w:rPr>
        <w:t>lockdown</w:t>
      </w:r>
      <w:r w:rsidR="00A42C30">
        <w:rPr>
          <w:b/>
          <w:bCs/>
        </w:rPr>
        <w:t xml:space="preserve"> health hazard:</w:t>
      </w:r>
      <w:r w:rsidR="00A42C30" w:rsidRPr="00A42C30">
        <w:rPr>
          <w:b/>
          <w:bCs/>
        </w:rPr>
        <w:t xml:space="preserve"> </w:t>
      </w:r>
      <w:r w:rsidR="00A42C30">
        <w:rPr>
          <w:b/>
          <w:bCs/>
        </w:rPr>
        <w:t>S</w:t>
      </w:r>
      <w:r w:rsidRPr="00A42C30">
        <w:rPr>
          <w:b/>
          <w:bCs/>
        </w:rPr>
        <w:t xml:space="preserve">udden reintroduction of </w:t>
      </w:r>
      <w:r w:rsidR="00A42C30" w:rsidRPr="00A42C30">
        <w:rPr>
          <w:b/>
          <w:bCs/>
        </w:rPr>
        <w:t xml:space="preserve">unrealistic job </w:t>
      </w:r>
      <w:r w:rsidR="00A42C30">
        <w:rPr>
          <w:b/>
          <w:bCs/>
        </w:rPr>
        <w:t xml:space="preserve">search </w:t>
      </w:r>
      <w:r w:rsidR="00A42C30" w:rsidRPr="00A42C30">
        <w:rPr>
          <w:b/>
          <w:bCs/>
        </w:rPr>
        <w:t xml:space="preserve">requirements </w:t>
      </w:r>
      <w:r w:rsidR="00A42C30">
        <w:rPr>
          <w:b/>
          <w:bCs/>
        </w:rPr>
        <w:t>and penalties</w:t>
      </w:r>
    </w:p>
    <w:p w14:paraId="7A210525" w14:textId="77777777" w:rsidR="00862279" w:rsidRDefault="00862279" w:rsidP="00CE64B1">
      <w:pPr>
        <w:pStyle w:val="Summary"/>
      </w:pPr>
      <w:r>
        <w:t>Summary</w:t>
      </w:r>
    </w:p>
    <w:p w14:paraId="4FEC1D3D" w14:textId="123AF04A" w:rsidR="00C271A3" w:rsidRDefault="00A42C30" w:rsidP="00C271A3">
      <w:r>
        <w:t xml:space="preserve">Any sudden reinstatement of excessive </w:t>
      </w:r>
      <w:r w:rsidR="00C271A3">
        <w:t xml:space="preserve">job search </w:t>
      </w:r>
      <w:r w:rsidR="00B76A20">
        <w:t xml:space="preserve">requirements </w:t>
      </w:r>
      <w:r w:rsidR="00C271A3">
        <w:t xml:space="preserve">and payment suspensions </w:t>
      </w:r>
      <w:r>
        <w:t xml:space="preserve">for people on unemployment payments </w:t>
      </w:r>
      <w:r w:rsidR="00C271A3">
        <w:t>after lockdowns end in Sydney</w:t>
      </w:r>
      <w:r w:rsidR="00B76A20">
        <w:t>,</w:t>
      </w:r>
      <w:r w:rsidR="00C271A3">
        <w:t xml:space="preserve"> Melbourne </w:t>
      </w:r>
      <w:r w:rsidR="00B76A20">
        <w:t>and elsewhere</w:t>
      </w:r>
      <w:r w:rsidR="00F979AF">
        <w:t xml:space="preserve"> -</w:t>
      </w:r>
      <w:r w:rsidR="00B76A20">
        <w:t xml:space="preserve"> </w:t>
      </w:r>
      <w:r>
        <w:t xml:space="preserve">would </w:t>
      </w:r>
      <w:r w:rsidR="00B76A20">
        <w:t>put people’s health at risk and cause widespread hardship and distress.</w:t>
      </w:r>
      <w:r>
        <w:t xml:space="preserve"> It would </w:t>
      </w:r>
      <w:r w:rsidR="00C271A3">
        <w:t xml:space="preserve">further </w:t>
      </w:r>
      <w:r>
        <w:t xml:space="preserve">damage the mental health of </w:t>
      </w:r>
      <w:r w:rsidR="002F3DD8">
        <w:t>people</w:t>
      </w:r>
      <w:r w:rsidR="00C271A3">
        <w:t xml:space="preserve"> already struggling to survive on inadequate income support</w:t>
      </w:r>
      <w:r>
        <w:t xml:space="preserve"> and could increase the spread of COVID-related illness.</w:t>
      </w:r>
    </w:p>
    <w:p w14:paraId="348938E8" w14:textId="1810151F" w:rsidR="00A42C30" w:rsidRDefault="00F745C6" w:rsidP="00C271A3">
      <w:r>
        <w:t>ACOS</w:t>
      </w:r>
      <w:r w:rsidR="00295CC5">
        <w:t>S</w:t>
      </w:r>
      <w:r>
        <w:t xml:space="preserve"> understands that</w:t>
      </w:r>
      <w:r w:rsidR="00A42C30">
        <w:t xml:space="preserve"> </w:t>
      </w:r>
      <w:r>
        <w:t xml:space="preserve">the Federal Government is advising </w:t>
      </w:r>
      <w:r w:rsidR="00A42C30">
        <w:t xml:space="preserve">people on unemployment payments and </w:t>
      </w:r>
      <w:proofErr w:type="spellStart"/>
      <w:r w:rsidR="00A42C30">
        <w:t>jobactive</w:t>
      </w:r>
      <w:proofErr w:type="spellEnd"/>
      <w:r w:rsidR="00A42C30">
        <w:t xml:space="preserve"> providers that ‘mutual obligations’ – requirements to search for jobs attend </w:t>
      </w:r>
      <w:r w:rsidR="003F3923">
        <w:t xml:space="preserve">face-to-face </w:t>
      </w:r>
      <w:r w:rsidR="00A42C30">
        <w:t xml:space="preserve">meetings with </w:t>
      </w:r>
      <w:proofErr w:type="spellStart"/>
      <w:r w:rsidR="00A42C30">
        <w:t>jobactive</w:t>
      </w:r>
      <w:proofErr w:type="spellEnd"/>
      <w:r w:rsidR="00A42C30">
        <w:t xml:space="preserve"> providers and participate in training courses and Work for the Dole – will be restored in </w:t>
      </w:r>
      <w:hyperlink r:id="rId12" w:anchor="lgas" w:history="1">
        <w:r w:rsidR="00A42C30" w:rsidRPr="00B9346C">
          <w:rPr>
            <w:rStyle w:val="Hyperlink"/>
          </w:rPr>
          <w:t>Sydney from 13 October, Melbourne from 28 October</w:t>
        </w:r>
        <w:r w:rsidR="00B9346C" w:rsidRPr="00B9346C">
          <w:rPr>
            <w:rStyle w:val="Hyperlink"/>
          </w:rPr>
          <w:t xml:space="preserve"> and the Australian Capital Territory on 19 October</w:t>
        </w:r>
      </w:hyperlink>
      <w:r w:rsidR="00A42C30">
        <w:t>.</w:t>
      </w:r>
    </w:p>
    <w:p w14:paraId="36533685" w14:textId="16630B55" w:rsidR="00A42C30" w:rsidRDefault="00A42C30" w:rsidP="00C271A3">
      <w:r>
        <w:t xml:space="preserve">These requirements were suspended during the long lockdowns in those cities and other parts of the country including </w:t>
      </w:r>
      <w:r w:rsidR="00B9346C">
        <w:t xml:space="preserve">Shepparton and the south coast of NSW, </w:t>
      </w:r>
      <w:r>
        <w:t>to protect people from COVID</w:t>
      </w:r>
      <w:r w:rsidR="003F3923">
        <w:t xml:space="preserve">. This also recognised that during lockdowns, fewer jobs are </w:t>
      </w:r>
      <w:proofErr w:type="gramStart"/>
      <w:r w:rsidR="003F3923">
        <w:t>available</w:t>
      </w:r>
      <w:proofErr w:type="gramEnd"/>
      <w:r w:rsidR="003F3923">
        <w:t xml:space="preserve"> and it is impractical and risky for people to attend face to face meetings</w:t>
      </w:r>
      <w:r w:rsidR="006909A6">
        <w:t>.</w:t>
      </w:r>
    </w:p>
    <w:p w14:paraId="7AFB79F5" w14:textId="52345C65" w:rsidR="00862279" w:rsidRDefault="00240EFA" w:rsidP="00C271A3">
      <w:r>
        <w:t xml:space="preserve">This briefing explains ‘mutual </w:t>
      </w:r>
      <w:proofErr w:type="gramStart"/>
      <w:r>
        <w:t>obligations’</w:t>
      </w:r>
      <w:proofErr w:type="gramEnd"/>
      <w:r>
        <w:t xml:space="preserve"> and the penalties attached to them</w:t>
      </w:r>
      <w:r w:rsidR="00FF7B39">
        <w:t xml:space="preserve">. It reveals that when they were restored after last year’s lockdowns, over </w:t>
      </w:r>
      <w:r w:rsidR="00FF7B39" w:rsidRPr="00295CC5">
        <w:rPr>
          <w:b/>
        </w:rPr>
        <w:t>750,000 payment suspensions</w:t>
      </w:r>
      <w:r w:rsidR="00FF7B39">
        <w:t xml:space="preserve"> were imposed in </w:t>
      </w:r>
      <w:r w:rsidR="00FF7B39" w:rsidRPr="00295CC5">
        <w:rPr>
          <w:b/>
        </w:rPr>
        <w:t>just three months</w:t>
      </w:r>
      <w:r w:rsidR="00FF7B39">
        <w:t xml:space="preserve"> from January to April 2021. </w:t>
      </w:r>
    </w:p>
    <w:p w14:paraId="3694B014" w14:textId="767EEFC0" w:rsidR="00F745C6" w:rsidRDefault="00FF7B39">
      <w:r>
        <w:t xml:space="preserve">We recommend that the </w:t>
      </w:r>
      <w:r w:rsidR="00F745C6">
        <w:t>Federal G</w:t>
      </w:r>
      <w:r>
        <w:t xml:space="preserve">overnment take the sensible course </w:t>
      </w:r>
      <w:r w:rsidR="00F745C6">
        <w:t>(in line with the approach last year):</w:t>
      </w:r>
    </w:p>
    <w:p w14:paraId="7BF7AE7A" w14:textId="397EAD0D" w:rsidR="00F745C6" w:rsidRDefault="00CE64B1" w:rsidP="00295CC5">
      <w:pPr>
        <w:pStyle w:val="ListParagraph"/>
        <w:numPr>
          <w:ilvl w:val="0"/>
          <w:numId w:val="9"/>
        </w:numPr>
      </w:pPr>
      <w:r>
        <w:t>A</w:t>
      </w:r>
      <w:r w:rsidR="00FF7B39">
        <w:t xml:space="preserve"> gradual, </w:t>
      </w:r>
      <w:r w:rsidR="00FF7B39" w:rsidRPr="00295CC5">
        <w:rPr>
          <w:b/>
        </w:rPr>
        <w:t xml:space="preserve">phased reintroduction </w:t>
      </w:r>
      <w:r w:rsidR="00F745C6" w:rsidRPr="00295CC5">
        <w:rPr>
          <w:b/>
        </w:rPr>
        <w:t xml:space="preserve">only </w:t>
      </w:r>
      <w:r w:rsidR="00FF7B39" w:rsidRPr="00295CC5">
        <w:rPr>
          <w:b/>
        </w:rPr>
        <w:t>of mutual obligations</w:t>
      </w:r>
      <w:r w:rsidR="00FB005F">
        <w:rPr>
          <w:b/>
        </w:rPr>
        <w:t xml:space="preserve"> and face-to-face employment services</w:t>
      </w:r>
      <w:r w:rsidR="0077236F">
        <w:rPr>
          <w:b/>
        </w:rPr>
        <w:t>, no sooner than</w:t>
      </w:r>
      <w:r w:rsidR="0077236F" w:rsidRPr="0077236F">
        <w:rPr>
          <w:b/>
        </w:rPr>
        <w:t xml:space="preserve"> one month after ‘Phase C’ of the easing of </w:t>
      </w:r>
      <w:r w:rsidR="00103109">
        <w:rPr>
          <w:b/>
        </w:rPr>
        <w:t xml:space="preserve">COVID </w:t>
      </w:r>
      <w:r w:rsidR="0077236F" w:rsidRPr="0077236F">
        <w:rPr>
          <w:b/>
        </w:rPr>
        <w:t xml:space="preserve">restrictions </w:t>
      </w:r>
      <w:proofErr w:type="gramStart"/>
      <w:r w:rsidR="00FB005F">
        <w:rPr>
          <w:b/>
        </w:rPr>
        <w:t>begins</w:t>
      </w:r>
      <w:r w:rsidR="00F745C6">
        <w:t>;</w:t>
      </w:r>
      <w:proofErr w:type="gramEnd"/>
    </w:p>
    <w:p w14:paraId="22AEDC03" w14:textId="5EB271BA" w:rsidR="00F745C6" w:rsidRDefault="00CE64B1" w:rsidP="000916C0">
      <w:pPr>
        <w:pStyle w:val="ListParagraph"/>
        <w:numPr>
          <w:ilvl w:val="0"/>
          <w:numId w:val="9"/>
        </w:numPr>
      </w:pPr>
      <w:r>
        <w:t>W</w:t>
      </w:r>
      <w:r w:rsidRPr="00CE64B1">
        <w:t xml:space="preserve">ork with organisations representing people directly affected, employment service providers and health experts to develop a roadmap for </w:t>
      </w:r>
      <w:r w:rsidR="00FB005F">
        <w:t xml:space="preserve">employment services and </w:t>
      </w:r>
      <w:r w:rsidRPr="00CE64B1">
        <w:t>mutual obligations after lockdowns</w:t>
      </w:r>
      <w:r>
        <w:t xml:space="preserve">, </w:t>
      </w:r>
      <w:r w:rsidR="00F745C6" w:rsidRPr="00CE64B1">
        <w:rPr>
          <w:b/>
        </w:rPr>
        <w:t>t</w:t>
      </w:r>
      <w:r>
        <w:rPr>
          <w:b/>
        </w:rPr>
        <w:t xml:space="preserve">hat takes </w:t>
      </w:r>
      <w:r w:rsidR="00F745C6" w:rsidRPr="00CE64B1">
        <w:rPr>
          <w:b/>
        </w:rPr>
        <w:t xml:space="preserve">into account </w:t>
      </w:r>
      <w:r w:rsidR="00F745C6" w:rsidRPr="00CE64B1">
        <w:rPr>
          <w:b/>
        </w:rPr>
        <w:lastRenderedPageBreak/>
        <w:t>local and regional conditions</w:t>
      </w:r>
      <w:r w:rsidR="00F745C6">
        <w:t>, in</w:t>
      </w:r>
      <w:r>
        <w:t xml:space="preserve">cluding </w:t>
      </w:r>
      <w:r w:rsidR="00F745C6">
        <w:t>labour markets and public health requirement</w:t>
      </w:r>
      <w:r>
        <w:t>s</w:t>
      </w:r>
      <w:r w:rsidR="00F745C6">
        <w:t xml:space="preserve"> as well as individual </w:t>
      </w:r>
      <w:proofErr w:type="gramStart"/>
      <w:r w:rsidR="00F745C6">
        <w:t>circumstances;</w:t>
      </w:r>
      <w:proofErr w:type="gramEnd"/>
      <w:r w:rsidR="00F745C6">
        <w:t xml:space="preserve"> </w:t>
      </w:r>
    </w:p>
    <w:p w14:paraId="3369FDD6" w14:textId="18AB363C" w:rsidR="00F745C6" w:rsidRDefault="00CE64B1" w:rsidP="00295CC5">
      <w:pPr>
        <w:pStyle w:val="ListParagraph"/>
        <w:numPr>
          <w:ilvl w:val="0"/>
          <w:numId w:val="9"/>
        </w:numPr>
      </w:pPr>
      <w:r>
        <w:rPr>
          <w:b/>
        </w:rPr>
        <w:t>R</w:t>
      </w:r>
      <w:r w:rsidR="00F745C6" w:rsidRPr="00295CC5">
        <w:rPr>
          <w:b/>
        </w:rPr>
        <w:t>emov</w:t>
      </w:r>
      <w:r>
        <w:rPr>
          <w:b/>
        </w:rPr>
        <w:t>e</w:t>
      </w:r>
      <w:r w:rsidR="00F745C6" w:rsidRPr="00295CC5">
        <w:rPr>
          <w:b/>
        </w:rPr>
        <w:t xml:space="preserve"> </w:t>
      </w:r>
      <w:r w:rsidR="00FF7B39" w:rsidRPr="00295CC5">
        <w:rPr>
          <w:b/>
        </w:rPr>
        <w:t>harsh elements</w:t>
      </w:r>
      <w:r w:rsidR="00FF7B39">
        <w:t xml:space="preserve"> of the </w:t>
      </w:r>
      <w:r w:rsidR="00F745C6">
        <w:t xml:space="preserve">income support </w:t>
      </w:r>
      <w:r w:rsidR="00FF7B39">
        <w:t>compliance system</w:t>
      </w:r>
      <w:r w:rsidR="00F745C6">
        <w:t xml:space="preserve">; and </w:t>
      </w:r>
    </w:p>
    <w:p w14:paraId="4F93052C" w14:textId="3D28161C" w:rsidR="00240EFA" w:rsidRDefault="00CE64B1" w:rsidP="00295CC5">
      <w:pPr>
        <w:pStyle w:val="ListParagraph"/>
        <w:numPr>
          <w:ilvl w:val="0"/>
          <w:numId w:val="9"/>
        </w:numPr>
      </w:pPr>
      <w:r>
        <w:rPr>
          <w:b/>
        </w:rPr>
        <w:t>I</w:t>
      </w:r>
      <w:r w:rsidR="00FF7B39" w:rsidRPr="00295CC5">
        <w:rPr>
          <w:b/>
        </w:rPr>
        <w:t>ncrease unemployment and related payments</w:t>
      </w:r>
      <w:r w:rsidR="00FF7B39">
        <w:t xml:space="preserve"> so that people can maintain their health and </w:t>
      </w:r>
      <w:r w:rsidR="00D34BFE">
        <w:t xml:space="preserve">secure their housing </w:t>
      </w:r>
      <w:r w:rsidR="00FF7B39">
        <w:t>while searching for employment.</w:t>
      </w:r>
    </w:p>
    <w:p w14:paraId="3FDEE645" w14:textId="5DAC32A3" w:rsidR="00862279" w:rsidRPr="00862279" w:rsidRDefault="00862279" w:rsidP="00295CC5">
      <w:pPr>
        <w:pStyle w:val="List3"/>
        <w:ind w:left="0" w:firstLine="0"/>
      </w:pPr>
      <w:r>
        <w:t xml:space="preserve">See further below for specific recommendations. </w:t>
      </w:r>
    </w:p>
    <w:p w14:paraId="0588C1F0" w14:textId="5514C0BC" w:rsidR="00F745C6" w:rsidRDefault="00F745C6">
      <w:pPr>
        <w:spacing w:before="0" w:after="20" w:line="240" w:lineRule="auto"/>
        <w:ind w:left="0"/>
        <w:jc w:val="both"/>
        <w:rPr>
          <w:b/>
        </w:rPr>
      </w:pPr>
      <w:r>
        <w:rPr>
          <w:b/>
        </w:rPr>
        <w:br w:type="page"/>
      </w:r>
    </w:p>
    <w:p w14:paraId="1832CB29" w14:textId="77777777" w:rsidR="00F745C6" w:rsidRPr="00F745C6" w:rsidRDefault="00F745C6" w:rsidP="00295CC5">
      <w:pPr>
        <w:pStyle w:val="List3"/>
      </w:pPr>
    </w:p>
    <w:p w14:paraId="3C2D48A1" w14:textId="470E452D" w:rsidR="00FF7B39" w:rsidRDefault="00FF7B39" w:rsidP="00FF7B39">
      <w:pPr>
        <w:pStyle w:val="Summary"/>
      </w:pPr>
      <w:r>
        <w:t>Sudden reintroduction of mutual obligations would be hazardous</w:t>
      </w:r>
    </w:p>
    <w:p w14:paraId="62ED1183" w14:textId="5065F540" w:rsidR="00F745C6" w:rsidRDefault="003F3923" w:rsidP="00295CC5">
      <w:r>
        <w:t xml:space="preserve">Any sudden reintroduction of </w:t>
      </w:r>
      <w:r w:rsidR="00CB07DE">
        <w:t>mutual obligations</w:t>
      </w:r>
      <w:r>
        <w:t xml:space="preserve"> puts people at risk</w:t>
      </w:r>
      <w:r w:rsidR="00F745C6">
        <w:t xml:space="preserve">. </w:t>
      </w:r>
    </w:p>
    <w:p w14:paraId="326C947B" w14:textId="77777777" w:rsidR="00CB07DE" w:rsidRDefault="003F3923" w:rsidP="00295CC5">
      <w:r>
        <w:t>COVID could spread to more people with vulnerabilities since many people on unemployment payments have a disability or chronic illness, live with family members who do, or have been unable to obtain vaccinations.</w:t>
      </w:r>
    </w:p>
    <w:p w14:paraId="4BFF1549" w14:textId="053BBF39" w:rsidR="00F745C6" w:rsidRDefault="004E67A5" w:rsidP="00295CC5">
      <w:r>
        <w:t xml:space="preserve">As we </w:t>
      </w:r>
      <w:r w:rsidR="00103109">
        <w:t xml:space="preserve">indicated in our recent </w:t>
      </w:r>
      <w:hyperlink r:id="rId13" w:history="1">
        <w:r w:rsidR="00103109">
          <w:rPr>
            <w:rStyle w:val="Hyperlink"/>
          </w:rPr>
          <w:t>open letter to National Cabinet</w:t>
        </w:r>
      </w:hyperlink>
      <w:r>
        <w:t xml:space="preserve">, we are deeply concerned that only </w:t>
      </w:r>
      <w:r w:rsidR="00B9346C">
        <w:t xml:space="preserve">one third </w:t>
      </w:r>
      <w:r>
        <w:t xml:space="preserve">of First Nations people have had this opportunity and vaccination rates among people with disability and people in low-income areas generally are </w:t>
      </w:r>
      <w:hyperlink r:id="rId14" w:history="1">
        <w:r w:rsidRPr="00B9346C">
          <w:rPr>
            <w:rStyle w:val="Hyperlink"/>
          </w:rPr>
          <w:t>well below the national average</w:t>
        </w:r>
      </w:hyperlink>
      <w:r>
        <w:t>.</w:t>
      </w:r>
    </w:p>
    <w:p w14:paraId="1FB5BD40" w14:textId="3B4FE597" w:rsidR="003F3923" w:rsidRPr="003F3923" w:rsidRDefault="004E67A5" w:rsidP="00295CC5">
      <w:r>
        <w:t>Yet p</w:t>
      </w:r>
      <w:r w:rsidR="003F3923">
        <w:t>eople could be required to attend face-to-face meetings with</w:t>
      </w:r>
      <w:r w:rsidR="00240EFA">
        <w:t xml:space="preserve"> </w:t>
      </w:r>
      <w:r w:rsidR="003F3923">
        <w:t>employment services or take up jobs involving regular public contact</w:t>
      </w:r>
      <w:r w:rsidR="00240EFA">
        <w:t>, and compulsory activities like Work for the Dole require people to work together in groups</w:t>
      </w:r>
      <w:r w:rsidR="003F3923">
        <w:t>.</w:t>
      </w:r>
    </w:p>
    <w:p w14:paraId="2488BAB8" w14:textId="375574D6" w:rsidR="00CB07DE" w:rsidRDefault="003F3923" w:rsidP="00295CC5">
      <w:r>
        <w:t xml:space="preserve">Issues </w:t>
      </w:r>
      <w:r w:rsidR="00CB07DE">
        <w:t xml:space="preserve">about </w:t>
      </w:r>
      <w:r>
        <w:t xml:space="preserve">disclosure of sensitive health information </w:t>
      </w:r>
      <w:r w:rsidR="00240EFA">
        <w:t xml:space="preserve">to employment service providers </w:t>
      </w:r>
      <w:r>
        <w:t xml:space="preserve">have </w:t>
      </w:r>
      <w:r w:rsidR="00CB07DE">
        <w:t xml:space="preserve">also </w:t>
      </w:r>
      <w:r>
        <w:t>not been resolved.</w:t>
      </w:r>
    </w:p>
    <w:p w14:paraId="42175FD0" w14:textId="39B7489A" w:rsidR="00CB07DE" w:rsidRDefault="00240EFA" w:rsidP="00295CC5">
      <w:r>
        <w:t xml:space="preserve">People who </w:t>
      </w:r>
      <w:r w:rsidR="00CB07DE">
        <w:t xml:space="preserve">do not </w:t>
      </w:r>
      <w:r>
        <w:t>meet</w:t>
      </w:r>
      <w:r w:rsidR="00CB07DE">
        <w:t xml:space="preserve"> mutual obligation rules </w:t>
      </w:r>
      <w:r>
        <w:t>are subject to sudden suspension of their payments and other penalties, leading to widespread anxiety and financial hardship.</w:t>
      </w:r>
      <w:r w:rsidR="00CB07DE">
        <w:t xml:space="preserve"> </w:t>
      </w:r>
      <w:r>
        <w:t>This comes at a time when people on the lowest incomes are already anxious or depressed from prolonged lockdowns, and fearful of COVID.</w:t>
      </w:r>
    </w:p>
    <w:p w14:paraId="0EEBADCE" w14:textId="20EDB9C9" w:rsidR="00CB07DE" w:rsidRDefault="00103109" w:rsidP="00CE64B1">
      <w:r>
        <w:t xml:space="preserve">As </w:t>
      </w:r>
      <w:r>
        <w:rPr>
          <w:lang w:val="en-US"/>
        </w:rPr>
        <w:t xml:space="preserve">highlighted </w:t>
      </w:r>
      <w:r>
        <w:rPr>
          <w:lang w:val="en-US"/>
        </w:rPr>
        <w:t>in an</w:t>
      </w:r>
      <w:r>
        <w:rPr>
          <w:lang w:val="en-US"/>
        </w:rPr>
        <w:t xml:space="preserve"> </w:t>
      </w:r>
      <w:hyperlink r:id="rId15" w:history="1">
        <w:r>
          <w:rPr>
            <w:rStyle w:val="Hyperlink"/>
            <w:lang w:val="en-US"/>
          </w:rPr>
          <w:t>Australian Institute of Health and Welfare report</w:t>
        </w:r>
      </w:hyperlink>
      <w:r>
        <w:rPr>
          <w:lang w:val="en-US"/>
        </w:rPr>
        <w:t>, p</w:t>
      </w:r>
      <w:proofErr w:type="spellStart"/>
      <w:r w:rsidR="00CB07DE">
        <w:t>eople</w:t>
      </w:r>
      <w:proofErr w:type="spellEnd"/>
      <w:r w:rsidR="00CB07DE">
        <w:t xml:space="preserve"> on low incomes have been dying at four times the rate of the community as a whole. </w:t>
      </w:r>
    </w:p>
    <w:p w14:paraId="293CECE0" w14:textId="228A3351" w:rsidR="003F3923" w:rsidRDefault="00CB07DE" w:rsidP="00CE64B1">
      <w:r>
        <w:t>Many</w:t>
      </w:r>
      <w:r w:rsidR="00240EFA">
        <w:t xml:space="preserve"> people in locked-down areas face the imminent prospect of losing C</w:t>
      </w:r>
      <w:r w:rsidR="003F3923">
        <w:t xml:space="preserve">OVID Disaster Payments </w:t>
      </w:r>
      <w:r w:rsidR="00240EFA">
        <w:t xml:space="preserve">and dropping down to the $45 </w:t>
      </w:r>
      <w:r w:rsidR="003F3923">
        <w:t>Jobseeker payments</w:t>
      </w:r>
      <w:r w:rsidR="00240EFA">
        <w:t>.</w:t>
      </w:r>
      <w:r w:rsidR="003F3923">
        <w:t xml:space="preserve"> </w:t>
      </w:r>
    </w:p>
    <w:p w14:paraId="4340E857" w14:textId="0F9EFB48" w:rsidR="003F3923" w:rsidRDefault="00FF7B39" w:rsidP="00FF7B39">
      <w:pPr>
        <w:pStyle w:val="Summary"/>
      </w:pPr>
      <w:r>
        <w:t>Over 750,000 payment suspensions were imposed in just three months after previous lockdowns eased</w:t>
      </w:r>
    </w:p>
    <w:p w14:paraId="28EC2080" w14:textId="0E8BDD05" w:rsidR="002F3DD8" w:rsidRDefault="00C271A3" w:rsidP="00C271A3">
      <w:r>
        <w:t>ACOSS analysis shows that these ‘mutual obligation’ requirements had already led to an unconscionable number of payment suspensions in the period from 1 January to mid</w:t>
      </w:r>
      <w:r w:rsidR="00B9346C">
        <w:t>-</w:t>
      </w:r>
      <w:r>
        <w:t xml:space="preserve">April 2021 when the latest data was published. </w:t>
      </w:r>
      <w:r w:rsidR="00FF7B39">
        <w:t xml:space="preserve">Over that period, </w:t>
      </w:r>
      <w:r w:rsidR="002F3DD8" w:rsidRPr="00C271A3">
        <w:t>75</w:t>
      </w:r>
      <w:r w:rsidR="00FF7B39">
        <w:t>1</w:t>
      </w:r>
      <w:r w:rsidR="002F3DD8" w:rsidRPr="00C271A3">
        <w:t>,</w:t>
      </w:r>
      <w:r w:rsidR="00FF7B39">
        <w:t>000</w:t>
      </w:r>
      <w:r w:rsidR="002F3DD8" w:rsidRPr="00C271A3">
        <w:t xml:space="preserve"> payment suspensions were imposed on people receiving unemployment payments</w:t>
      </w:r>
      <w:r w:rsidR="002F3DD8">
        <w:t xml:space="preserve"> in the </w:t>
      </w:r>
      <w:proofErr w:type="spellStart"/>
      <w:r w:rsidR="002F3DD8">
        <w:t>jobactive</w:t>
      </w:r>
      <w:proofErr w:type="spellEnd"/>
      <w:r w:rsidR="002F3DD8">
        <w:t xml:space="preserve"> system</w:t>
      </w:r>
      <w:r>
        <w:t>, or around 200,000 per month.</w:t>
      </w:r>
    </w:p>
    <w:p w14:paraId="75DCA3A8" w14:textId="3AD4E799" w:rsidR="00DB6008" w:rsidRDefault="00DB6008" w:rsidP="00C271A3">
      <w:r>
        <w:t xml:space="preserve">If this trend is repeated as lockdowns are eased across the half the country, we estimate that there could easily be </w:t>
      </w:r>
      <w:r w:rsidRPr="00295CC5">
        <w:rPr>
          <w:b/>
        </w:rPr>
        <w:t>another 500,000 payment suspensions</w:t>
      </w:r>
      <w:r>
        <w:t xml:space="preserve"> between now and Christmas</w:t>
      </w:r>
    </w:p>
    <w:p w14:paraId="3EA217A7" w14:textId="7A31E461" w:rsidR="00BD5A36" w:rsidRDefault="00C271A3" w:rsidP="00BD5A36">
      <w:r>
        <w:t xml:space="preserve">These figures point to the dangers of reintroducing the </w:t>
      </w:r>
      <w:r w:rsidR="00FF7B39">
        <w:t xml:space="preserve">excessive </w:t>
      </w:r>
      <w:r>
        <w:t>20 job application targets per month because 60</w:t>
      </w:r>
      <w:r w:rsidR="00FF7B39">
        <w:t>%</w:t>
      </w:r>
      <w:r>
        <w:t xml:space="preserve"> of the suspensions </w:t>
      </w:r>
      <w:r w:rsidR="006A0C52">
        <w:t xml:space="preserve">occurred when </w:t>
      </w:r>
      <w:r>
        <w:t>people were unable to meet them</w:t>
      </w:r>
      <w:r w:rsidR="00FF7B39">
        <w:t>,</w:t>
      </w:r>
      <w:r>
        <w:t xml:space="preserve"> even </w:t>
      </w:r>
      <w:r w:rsidR="00FF7B39">
        <w:t>though at that time the re</w:t>
      </w:r>
      <w:r w:rsidR="00977174">
        <w:t xml:space="preserve">quirement was </w:t>
      </w:r>
      <w:r w:rsidR="006A0C52">
        <w:t xml:space="preserve">only </w:t>
      </w:r>
      <w:r w:rsidR="00977174">
        <w:t>15 per month.</w:t>
      </w:r>
    </w:p>
    <w:p w14:paraId="5C90D8F7" w14:textId="15855EEC" w:rsidR="00C106F1" w:rsidRDefault="00C106F1">
      <w:r>
        <w:lastRenderedPageBreak/>
        <w:t xml:space="preserve">Our </w:t>
      </w:r>
      <w:r w:rsidR="00C271A3">
        <w:t>analysis</w:t>
      </w:r>
      <w:r>
        <w:t xml:space="preserve"> shows that these payment suspensions are harmful – they expose people who are already suffering </w:t>
      </w:r>
      <w:r w:rsidR="00BD5A36">
        <w:t xml:space="preserve">from poverty and anxiety </w:t>
      </w:r>
      <w:r>
        <w:t xml:space="preserve">while </w:t>
      </w:r>
      <w:r w:rsidR="00DB6008">
        <w:t>searching for employment</w:t>
      </w:r>
      <w:r w:rsidR="00D711F7">
        <w:t>.</w:t>
      </w:r>
    </w:p>
    <w:p w14:paraId="1B90F72C" w14:textId="098CD11A" w:rsidR="00D711F7" w:rsidRDefault="00D711F7" w:rsidP="00C106F1">
      <w:r>
        <w:t xml:space="preserve">At a </w:t>
      </w:r>
      <w:r w:rsidR="00977174">
        <w:t xml:space="preserve">recent </w:t>
      </w:r>
      <w:r>
        <w:t xml:space="preserve">ACOSS forum we asked participants to tell us what it felt like to have to do </w:t>
      </w:r>
      <w:r w:rsidR="00260216">
        <w:t xml:space="preserve">high </w:t>
      </w:r>
      <w:r>
        <w:t>levels of</w:t>
      </w:r>
      <w:r w:rsidR="006A0C52">
        <w:t xml:space="preserve"> ongoing</w:t>
      </w:r>
      <w:r>
        <w:t xml:space="preserve"> job searching.</w:t>
      </w:r>
      <w:r w:rsidR="00977174">
        <w:t xml:space="preserve"> Th</w:t>
      </w:r>
      <w:r w:rsidR="00260216">
        <w:t>e</w:t>
      </w:r>
      <w:r w:rsidR="00977174">
        <w:t xml:space="preserve"> word cloud that was produced with participant at the forum shows </w:t>
      </w:r>
      <w:r w:rsidR="006A0C52">
        <w:t>the</w:t>
      </w:r>
      <w:r w:rsidR="00977174">
        <w:t xml:space="preserve"> high level of distress that people have been experiencing in </w:t>
      </w:r>
      <w:proofErr w:type="spellStart"/>
      <w:r w:rsidR="00977174" w:rsidRPr="00C271A3">
        <w:rPr>
          <w:i/>
          <w:iCs/>
        </w:rPr>
        <w:t>jobactive</w:t>
      </w:r>
      <w:proofErr w:type="spellEnd"/>
      <w:r w:rsidR="00977174">
        <w:t xml:space="preserve"> employment services </w:t>
      </w:r>
    </w:p>
    <w:p w14:paraId="47D8A4DF" w14:textId="23F9BE4D" w:rsidR="00B9346C" w:rsidRDefault="00B9346C">
      <w:pPr>
        <w:spacing w:before="0" w:after="20" w:line="240" w:lineRule="auto"/>
        <w:ind w:left="0"/>
        <w:jc w:val="both"/>
      </w:pPr>
    </w:p>
    <w:p w14:paraId="71986E4D" w14:textId="28E08199" w:rsidR="00D711F7" w:rsidRPr="00B9346C" w:rsidRDefault="00D711F7" w:rsidP="00C106F1">
      <w:pPr>
        <w:rPr>
          <w:b/>
          <w:bCs/>
        </w:rPr>
      </w:pPr>
      <w:r w:rsidRPr="00B9346C">
        <w:rPr>
          <w:b/>
          <w:bCs/>
        </w:rPr>
        <w:t>Figure 1 – Word cloud from ACOSS Mutual Obligation forum</w:t>
      </w:r>
    </w:p>
    <w:p w14:paraId="05761B40" w14:textId="715EC4EE" w:rsidR="00D711F7" w:rsidRDefault="00D711F7" w:rsidP="00C106F1">
      <w:r>
        <w:rPr>
          <w:noProof/>
          <w:lang w:eastAsia="en-AU"/>
        </w:rPr>
        <w:drawing>
          <wp:inline distT="0" distB="0" distL="0" distR="0" wp14:anchorId="5BB5DFDC" wp14:editId="4B2F7537">
            <wp:extent cx="5732145" cy="2973109"/>
            <wp:effectExtent l="0" t="0" r="1905" b="0"/>
            <wp:docPr id="1891229104" name="Picture 189122910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229104" name="Picture 1891229104" descr="Tex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32145" cy="2973109"/>
                    </a:xfrm>
                    <a:prstGeom prst="rect">
                      <a:avLst/>
                    </a:prstGeom>
                  </pic:spPr>
                </pic:pic>
              </a:graphicData>
            </a:graphic>
          </wp:inline>
        </w:drawing>
      </w:r>
    </w:p>
    <w:p w14:paraId="630A192E" w14:textId="6534471F" w:rsidR="00D711F7" w:rsidRDefault="00D711F7" w:rsidP="00C106F1">
      <w:r>
        <w:t>Participants in the forum made comments like these about job search requirement.</w:t>
      </w:r>
    </w:p>
    <w:p w14:paraId="4BE70128" w14:textId="431CD56C" w:rsidR="00D711F7" w:rsidRPr="00C271A3" w:rsidRDefault="00D711F7" w:rsidP="00C271A3">
      <w:pPr>
        <w:ind w:left="720"/>
        <w:rPr>
          <w:i/>
          <w:iCs/>
        </w:rPr>
      </w:pPr>
      <w:r w:rsidRPr="00C271A3">
        <w:rPr>
          <w:i/>
          <w:iCs/>
        </w:rPr>
        <w:t>20 a month requirement is unreasonable for anyone</w:t>
      </w:r>
    </w:p>
    <w:p w14:paraId="34225E33" w14:textId="77777777" w:rsidR="00D711F7" w:rsidRPr="00C271A3" w:rsidRDefault="00D711F7" w:rsidP="00C271A3">
      <w:pPr>
        <w:ind w:left="720"/>
        <w:rPr>
          <w:i/>
          <w:iCs/>
        </w:rPr>
      </w:pPr>
      <w:r w:rsidRPr="00C271A3">
        <w:rPr>
          <w:i/>
          <w:iCs/>
        </w:rPr>
        <w:t>Not enough jobs to apply for</w:t>
      </w:r>
    </w:p>
    <w:p w14:paraId="69A8BE17" w14:textId="313958D6" w:rsidR="00D711F7" w:rsidRPr="00C271A3" w:rsidRDefault="00D711F7" w:rsidP="00C271A3">
      <w:pPr>
        <w:ind w:left="720"/>
        <w:rPr>
          <w:i/>
          <w:iCs/>
        </w:rPr>
      </w:pPr>
      <w:r w:rsidRPr="00C271A3">
        <w:rPr>
          <w:i/>
          <w:iCs/>
        </w:rPr>
        <w:t xml:space="preserve">The number of Job searches should be based on the </w:t>
      </w:r>
      <w:r w:rsidR="00D631F2" w:rsidRPr="00D711F7">
        <w:rPr>
          <w:i/>
          <w:iCs/>
        </w:rPr>
        <w:t>applicant’s</w:t>
      </w:r>
      <w:r w:rsidRPr="00C271A3">
        <w:rPr>
          <w:i/>
          <w:iCs/>
        </w:rPr>
        <w:t xml:space="preserve"> employment history </w:t>
      </w:r>
    </w:p>
    <w:p w14:paraId="3FA99331" w14:textId="28E85F0F" w:rsidR="00D711F7" w:rsidRDefault="00D711F7" w:rsidP="00C271A3">
      <w:pPr>
        <w:ind w:left="720"/>
        <w:rPr>
          <w:i/>
          <w:iCs/>
        </w:rPr>
      </w:pPr>
      <w:r w:rsidRPr="00C271A3">
        <w:rPr>
          <w:i/>
          <w:iCs/>
        </w:rPr>
        <w:t>They tell us there are pl</w:t>
      </w:r>
      <w:r>
        <w:rPr>
          <w:i/>
          <w:iCs/>
        </w:rPr>
        <w:t>e</w:t>
      </w:r>
      <w:r w:rsidRPr="00C271A3">
        <w:rPr>
          <w:i/>
          <w:iCs/>
        </w:rPr>
        <w:t xml:space="preserve">nty of jobs would like to know where they are </w:t>
      </w:r>
      <w:r w:rsidR="00D631F2" w:rsidRPr="00D711F7">
        <w:rPr>
          <w:i/>
          <w:iCs/>
        </w:rPr>
        <w:t>because</w:t>
      </w:r>
      <w:r w:rsidRPr="00C271A3">
        <w:rPr>
          <w:i/>
          <w:iCs/>
        </w:rPr>
        <w:t xml:space="preserve"> I keep getting knocked back</w:t>
      </w:r>
      <w:r w:rsidR="00260216">
        <w:rPr>
          <w:i/>
          <w:iCs/>
        </w:rPr>
        <w:t xml:space="preserve"> -</w:t>
      </w:r>
      <w:r w:rsidRPr="00C271A3">
        <w:rPr>
          <w:i/>
          <w:iCs/>
        </w:rPr>
        <w:t xml:space="preserve"> I am also 53 so ageism is huge</w:t>
      </w:r>
    </w:p>
    <w:p w14:paraId="022BD574" w14:textId="557CCAD8" w:rsidR="00DB6008" w:rsidRPr="00DB6008" w:rsidRDefault="00DB6008" w:rsidP="00DB6008">
      <w:pPr>
        <w:pStyle w:val="Summary"/>
      </w:pPr>
      <w:r>
        <w:t>Excessive job search requirements waste time and effort and impose burdens on employers</w:t>
      </w:r>
    </w:p>
    <w:p w14:paraId="69344D8D" w14:textId="2CE24052" w:rsidR="00DB6008" w:rsidRDefault="00DB6008" w:rsidP="00DB6008">
      <w:r>
        <w:t>People on unemployment payments want to find employment: in the absence of job search requirements during lockdowns many still applied for jobs and sought help from employment services.</w:t>
      </w:r>
    </w:p>
    <w:p w14:paraId="7ECA5098" w14:textId="2ADF811F" w:rsidR="00DB6008" w:rsidRDefault="00DB6008" w:rsidP="00DB6008">
      <w:r>
        <w:t xml:space="preserve">Employment service providers should be able to concentrate on their main job – to help connect </w:t>
      </w:r>
      <w:r w:rsidR="00CB07DE">
        <w:t xml:space="preserve">people needing paid employment to </w:t>
      </w:r>
      <w:r>
        <w:t xml:space="preserve">employers – rather than </w:t>
      </w:r>
      <w:r>
        <w:lastRenderedPageBreak/>
        <w:t>devote most of their time to policing unrealistic benefit requirements and managing pointless activities such as Work for the Dole.</w:t>
      </w:r>
    </w:p>
    <w:p w14:paraId="7ED216C6" w14:textId="24D59CF8" w:rsidR="00DB6008" w:rsidRDefault="00DB6008" w:rsidP="00DB6008">
      <w:r>
        <w:t>It will take time for employment to recover from lockdowns and border closures, and for people to regain confidence t</w:t>
      </w:r>
      <w:r w:rsidR="004E67A5">
        <w:t>o</w:t>
      </w:r>
      <w:r>
        <w:t xml:space="preserve"> attend face to face meetings and interviews and apply for jobs in workplaces where they will be in regular contact with large numbers of people.</w:t>
      </w:r>
    </w:p>
    <w:p w14:paraId="31F39B67" w14:textId="3565D732" w:rsidR="004E67A5" w:rsidRPr="00DB6008" w:rsidRDefault="004E67A5" w:rsidP="00DB6008">
      <w:r>
        <w:t>The default requirement to apply for 20 jobs a month also imposes a burden on employers, who are flooded with applications from people who are not actually well-matched to the job.</w:t>
      </w:r>
    </w:p>
    <w:p w14:paraId="0BF4C492" w14:textId="5443D2A8" w:rsidR="00977174" w:rsidRPr="00DB6008" w:rsidRDefault="003932E4" w:rsidP="00DB6008">
      <w:pPr>
        <w:pStyle w:val="Summary"/>
      </w:pPr>
      <w:r>
        <w:t>Policy recommendations</w:t>
      </w:r>
    </w:p>
    <w:p w14:paraId="2AB97C75" w14:textId="4F96AF6C" w:rsidR="00DB6008" w:rsidRDefault="004E67A5" w:rsidP="00BD1233">
      <w:bookmarkStart w:id="0" w:name="_Hlk84407576"/>
      <w:r>
        <w:t xml:space="preserve">The critical first step is to develop a plan – </w:t>
      </w:r>
      <w:proofErr w:type="gramStart"/>
      <w:r>
        <w:t>similar to</w:t>
      </w:r>
      <w:proofErr w:type="gramEnd"/>
      <w:r>
        <w:t xml:space="preserve"> the ‘roadmaps’ announced by State governments – for a gradual, cautious reintroduction of mutual obligations. There should be no ‘snap back’ to the 20 jobs a month rule and large-scale payment suspensions the instant lockdowns are eased.</w:t>
      </w:r>
    </w:p>
    <w:p w14:paraId="60D7A1D9" w14:textId="370529D3" w:rsidR="004E67A5" w:rsidRPr="00D10AC1" w:rsidRDefault="004E67A5" w:rsidP="00BD1233">
      <w:pPr>
        <w:rPr>
          <w:b/>
          <w:bCs/>
        </w:rPr>
      </w:pPr>
      <w:r w:rsidRPr="00D10AC1">
        <w:rPr>
          <w:b/>
          <w:bCs/>
        </w:rPr>
        <w:t>Recommendation 1</w:t>
      </w:r>
    </w:p>
    <w:p w14:paraId="3E6195A2" w14:textId="344A6BC9" w:rsidR="00D10AC1" w:rsidRDefault="004E67A5" w:rsidP="00BD1233">
      <w:pPr>
        <w:rPr>
          <w:b/>
          <w:bCs/>
        </w:rPr>
      </w:pPr>
      <w:r w:rsidRPr="00D10AC1">
        <w:rPr>
          <w:b/>
          <w:bCs/>
        </w:rPr>
        <w:t xml:space="preserve">Any reintroduction of mutual obligations and compulsory face to face services should be deferred until at least one month after ‘Phase C’ of the easing of </w:t>
      </w:r>
      <w:r w:rsidR="00103109">
        <w:rPr>
          <w:b/>
          <w:bCs/>
        </w:rPr>
        <w:t xml:space="preserve">COVID </w:t>
      </w:r>
      <w:r w:rsidRPr="00D10AC1">
        <w:rPr>
          <w:b/>
          <w:bCs/>
        </w:rPr>
        <w:t xml:space="preserve">restrictions commences. </w:t>
      </w:r>
    </w:p>
    <w:p w14:paraId="1FAD9396" w14:textId="42BFDE04" w:rsidR="00FB005F" w:rsidRDefault="00FB005F" w:rsidP="00BD1233">
      <w:pPr>
        <w:rPr>
          <w:b/>
          <w:bCs/>
        </w:rPr>
      </w:pPr>
      <w:r>
        <w:rPr>
          <w:b/>
          <w:bCs/>
        </w:rPr>
        <w:t>This should be clearly communicated to all parties in a timely way.</w:t>
      </w:r>
    </w:p>
    <w:p w14:paraId="43FC097F" w14:textId="0179B416" w:rsidR="004E67A5" w:rsidRPr="00D10AC1" w:rsidRDefault="00D10AC1" w:rsidP="00BD1233">
      <w:pPr>
        <w:rPr>
          <w:b/>
          <w:bCs/>
        </w:rPr>
      </w:pPr>
      <w:r>
        <w:rPr>
          <w:b/>
          <w:bCs/>
        </w:rPr>
        <w:t xml:space="preserve">More broadly, </w:t>
      </w:r>
      <w:r w:rsidR="004E67A5" w:rsidRPr="00D10AC1">
        <w:rPr>
          <w:b/>
          <w:bCs/>
        </w:rPr>
        <w:t>A</w:t>
      </w:r>
      <w:r>
        <w:rPr>
          <w:b/>
          <w:bCs/>
        </w:rPr>
        <w:t xml:space="preserve">COSS </w:t>
      </w:r>
      <w:r w:rsidR="004E67A5" w:rsidRPr="00D10AC1">
        <w:rPr>
          <w:b/>
          <w:bCs/>
        </w:rPr>
        <w:t>believe</w:t>
      </w:r>
      <w:r>
        <w:rPr>
          <w:b/>
          <w:bCs/>
        </w:rPr>
        <w:t>s</w:t>
      </w:r>
      <w:r w:rsidR="004E67A5" w:rsidRPr="00D10AC1">
        <w:rPr>
          <w:b/>
          <w:bCs/>
        </w:rPr>
        <w:t xml:space="preserve"> that </w:t>
      </w:r>
      <w:r>
        <w:rPr>
          <w:b/>
          <w:bCs/>
        </w:rPr>
        <w:t xml:space="preserve">this lifting of restrictions </w:t>
      </w:r>
      <w:r w:rsidR="004E67A5" w:rsidRPr="00D10AC1">
        <w:rPr>
          <w:b/>
          <w:bCs/>
        </w:rPr>
        <w:t xml:space="preserve">should only occur once </w:t>
      </w:r>
      <w:r w:rsidR="00CB07DE">
        <w:rPr>
          <w:b/>
          <w:bCs/>
        </w:rPr>
        <w:t>safe vaccination rates</w:t>
      </w:r>
      <w:r w:rsidR="004E67A5" w:rsidRPr="00D10AC1">
        <w:rPr>
          <w:b/>
          <w:bCs/>
        </w:rPr>
        <w:t xml:space="preserve"> have </w:t>
      </w:r>
      <w:r w:rsidR="00CB07DE">
        <w:rPr>
          <w:b/>
          <w:bCs/>
        </w:rPr>
        <w:t>been achieved amongst high</w:t>
      </w:r>
      <w:r w:rsidR="00FB005F">
        <w:rPr>
          <w:b/>
          <w:bCs/>
        </w:rPr>
        <w:t>-</w:t>
      </w:r>
      <w:r w:rsidR="00CB07DE">
        <w:rPr>
          <w:b/>
          <w:bCs/>
        </w:rPr>
        <w:t>risk groups including people on low income</w:t>
      </w:r>
      <w:r w:rsidR="00295CC5">
        <w:rPr>
          <w:b/>
          <w:bCs/>
        </w:rPr>
        <w:t>s</w:t>
      </w:r>
      <w:r w:rsidR="004E67A5" w:rsidRPr="00D10AC1">
        <w:rPr>
          <w:b/>
          <w:bCs/>
        </w:rPr>
        <w:t>.</w:t>
      </w:r>
    </w:p>
    <w:p w14:paraId="0A6ECE22" w14:textId="40B63A33" w:rsidR="00D10AC1" w:rsidRPr="00D10AC1" w:rsidRDefault="00D10AC1" w:rsidP="00BD1233">
      <w:pPr>
        <w:rPr>
          <w:b/>
          <w:bCs/>
        </w:rPr>
      </w:pPr>
      <w:r w:rsidRPr="00D10AC1">
        <w:rPr>
          <w:b/>
          <w:bCs/>
        </w:rPr>
        <w:t>Recommendation 2:</w:t>
      </w:r>
    </w:p>
    <w:p w14:paraId="16669E2A" w14:textId="019FBF63" w:rsidR="00D10AC1" w:rsidRPr="001F2C1D" w:rsidRDefault="00D10AC1" w:rsidP="005E35FD">
      <w:pPr>
        <w:pStyle w:val="ListParagraph"/>
        <w:numPr>
          <w:ilvl w:val="0"/>
          <w:numId w:val="3"/>
        </w:numPr>
        <w:rPr>
          <w:b/>
          <w:bCs/>
        </w:rPr>
      </w:pPr>
      <w:r w:rsidRPr="001F2C1D">
        <w:rPr>
          <w:b/>
          <w:bCs/>
        </w:rPr>
        <w:t xml:space="preserve">The government should work with organisations representing people directly affected, employment service providers and health and other experts to develop a roadmap for </w:t>
      </w:r>
      <w:r w:rsidR="00FB005F">
        <w:rPr>
          <w:b/>
          <w:bCs/>
        </w:rPr>
        <w:t xml:space="preserve">employment services and </w:t>
      </w:r>
      <w:r w:rsidRPr="001F2C1D">
        <w:rPr>
          <w:b/>
          <w:bCs/>
        </w:rPr>
        <w:t>mutual obligations after lockdowns.</w:t>
      </w:r>
    </w:p>
    <w:p w14:paraId="62438617" w14:textId="2F9CC315" w:rsidR="00BD1233" w:rsidRPr="001F2C1D" w:rsidRDefault="00BD1233" w:rsidP="005E35FD">
      <w:pPr>
        <w:pStyle w:val="ListParagraph"/>
        <w:numPr>
          <w:ilvl w:val="0"/>
          <w:numId w:val="3"/>
        </w:numPr>
        <w:rPr>
          <w:b/>
          <w:bCs/>
        </w:rPr>
      </w:pPr>
      <w:r w:rsidRPr="001F2C1D">
        <w:rPr>
          <w:b/>
          <w:bCs/>
        </w:rPr>
        <w:t xml:space="preserve">As </w:t>
      </w:r>
      <w:r w:rsidR="00D10AC1" w:rsidRPr="001F2C1D">
        <w:rPr>
          <w:b/>
          <w:bCs/>
        </w:rPr>
        <w:t xml:space="preserve">was done last year, when the default job search requirement was gradually increased to 4, then 10 applications per month and face to face meetings with employment services were encouraged but voluntary, </w:t>
      </w:r>
      <w:r w:rsidRPr="001F2C1D">
        <w:rPr>
          <w:b/>
          <w:bCs/>
        </w:rPr>
        <w:t xml:space="preserve">this should be done gradually, taking account of local labour market conditions and health concerns </w:t>
      </w:r>
    </w:p>
    <w:p w14:paraId="03EF9374" w14:textId="7D348472" w:rsidR="00D10AC1" w:rsidRPr="001F2C1D" w:rsidRDefault="00D10AC1" w:rsidP="005E35FD">
      <w:pPr>
        <w:pStyle w:val="ListParagraph"/>
        <w:numPr>
          <w:ilvl w:val="0"/>
          <w:numId w:val="3"/>
        </w:numPr>
        <w:rPr>
          <w:b/>
          <w:bCs/>
        </w:rPr>
      </w:pPr>
      <w:r w:rsidRPr="001F2C1D">
        <w:rPr>
          <w:b/>
          <w:bCs/>
        </w:rPr>
        <w:t>Scheduled six-monthly and annual activities in the locked-down areas should be deferred.</w:t>
      </w:r>
    </w:p>
    <w:p w14:paraId="0D47E84D" w14:textId="553D9F4C" w:rsidR="00D10AC1" w:rsidRDefault="00D10AC1" w:rsidP="00BD1233">
      <w:r>
        <w:t xml:space="preserve">The second step is to reform the system of mutual obligations and penalties. Job search requirements are unrealistic, many of the compulsory activities </w:t>
      </w:r>
      <w:r w:rsidR="001F2C1D">
        <w:t xml:space="preserve">waste time, </w:t>
      </w:r>
      <w:proofErr w:type="gramStart"/>
      <w:r w:rsidR="001F2C1D">
        <w:t>energy</w:t>
      </w:r>
      <w:proofErr w:type="gramEnd"/>
      <w:r w:rsidR="001F2C1D">
        <w:t xml:space="preserve"> and resources as they </w:t>
      </w:r>
      <w:r>
        <w:t xml:space="preserve">don’t </w:t>
      </w:r>
      <w:r w:rsidR="001F2C1D">
        <w:t xml:space="preserve">improve people’s </w:t>
      </w:r>
      <w:r>
        <w:t>employment</w:t>
      </w:r>
      <w:r w:rsidR="001F2C1D">
        <w:t xml:space="preserve"> prospects</w:t>
      </w:r>
      <w:r>
        <w:t xml:space="preserve">, </w:t>
      </w:r>
      <w:r w:rsidR="001F2C1D">
        <w:t>and widespread and abrupt payment suspensions cause anxiety and financial hardship.</w:t>
      </w:r>
    </w:p>
    <w:p w14:paraId="381501F3" w14:textId="5B2305F6" w:rsidR="001F2C1D" w:rsidRDefault="001F2C1D" w:rsidP="00BD1233">
      <w:r>
        <w:t>The system has not been publicly reviewed for over a decade despite the urgent need for reform in this area.</w:t>
      </w:r>
    </w:p>
    <w:p w14:paraId="5B45F27C" w14:textId="7AA857F6" w:rsidR="001F2C1D" w:rsidRPr="00D10AC1" w:rsidRDefault="001F2C1D" w:rsidP="001F2C1D">
      <w:pPr>
        <w:rPr>
          <w:b/>
          <w:bCs/>
        </w:rPr>
      </w:pPr>
      <w:r w:rsidRPr="00D10AC1">
        <w:rPr>
          <w:b/>
          <w:bCs/>
        </w:rPr>
        <w:lastRenderedPageBreak/>
        <w:t xml:space="preserve">Recommendation </w:t>
      </w:r>
      <w:r>
        <w:rPr>
          <w:b/>
          <w:bCs/>
        </w:rPr>
        <w:t>3</w:t>
      </w:r>
      <w:r w:rsidRPr="00D10AC1">
        <w:rPr>
          <w:b/>
          <w:bCs/>
        </w:rPr>
        <w:t>:</w:t>
      </w:r>
    </w:p>
    <w:p w14:paraId="795CFAFF" w14:textId="53DAA06D" w:rsidR="006453DB" w:rsidRPr="001F2C1D" w:rsidRDefault="001F2C1D" w:rsidP="005E35FD">
      <w:pPr>
        <w:pStyle w:val="ListParagraph"/>
        <w:numPr>
          <w:ilvl w:val="0"/>
          <w:numId w:val="5"/>
        </w:numPr>
        <w:rPr>
          <w:b/>
          <w:bCs/>
        </w:rPr>
      </w:pPr>
      <w:r w:rsidRPr="001F2C1D">
        <w:rPr>
          <w:b/>
          <w:bCs/>
        </w:rPr>
        <w:t>A public review of activity requirements, and the compliance and penalty system for unemployment payments, should be held in advance of the introduction of the new employment services system in July 2022</w:t>
      </w:r>
    </w:p>
    <w:p w14:paraId="6271D74E" w14:textId="06FCBAD3" w:rsidR="001F2C1D" w:rsidRDefault="001F2C1D" w:rsidP="005E35FD">
      <w:pPr>
        <w:pStyle w:val="ListParagraph"/>
        <w:numPr>
          <w:ilvl w:val="0"/>
          <w:numId w:val="5"/>
        </w:numPr>
        <w:rPr>
          <w:b/>
          <w:bCs/>
        </w:rPr>
      </w:pPr>
      <w:r w:rsidRPr="001F2C1D">
        <w:rPr>
          <w:b/>
          <w:bCs/>
        </w:rPr>
        <w:t>In the interim, default job search requirements should be reduced, reductions in requirements for people with barriers to employment such as parents and people with disability and older workers should be fully legislated, and automation of payment suspensions should be removed</w:t>
      </w:r>
      <w:bookmarkEnd w:id="0"/>
      <w:r>
        <w:rPr>
          <w:b/>
          <w:bCs/>
        </w:rPr>
        <w:t>.</w:t>
      </w:r>
    </w:p>
    <w:p w14:paraId="160C1C90" w14:textId="0E03335F" w:rsidR="001F2C1D" w:rsidRDefault="001F2C1D" w:rsidP="001F2C1D">
      <w:pPr>
        <w:rPr>
          <w:b/>
          <w:bCs/>
        </w:rPr>
      </w:pPr>
    </w:p>
    <w:p w14:paraId="2BD68DD8" w14:textId="2DC55939" w:rsidR="00D34BFE" w:rsidRPr="00D34BFE" w:rsidRDefault="00D34BFE" w:rsidP="001F2C1D">
      <w:r>
        <w:t>We reiterate here some of our key recommendations to improve income support and the employment prospects of people who are most disadvantaged in the labour market, as we recover from the pandemic and recession.</w:t>
      </w:r>
    </w:p>
    <w:p w14:paraId="30B7EB2C" w14:textId="32AAD60A" w:rsidR="00D34BFE" w:rsidRDefault="00D34BFE" w:rsidP="001F2C1D">
      <w:pPr>
        <w:rPr>
          <w:b/>
          <w:bCs/>
        </w:rPr>
      </w:pPr>
      <w:r>
        <w:rPr>
          <w:b/>
          <w:bCs/>
        </w:rPr>
        <w:t>Recommendation 4</w:t>
      </w:r>
    </w:p>
    <w:p w14:paraId="3DFCD693" w14:textId="31513C0E" w:rsidR="00D34BFE" w:rsidRPr="00D34BFE" w:rsidRDefault="00D34BFE" w:rsidP="005E35FD">
      <w:pPr>
        <w:pStyle w:val="ListParagraph"/>
        <w:keepNext w:val="0"/>
        <w:numPr>
          <w:ilvl w:val="0"/>
          <w:numId w:val="6"/>
        </w:numPr>
        <w:spacing w:before="0" w:after="0" w:line="276" w:lineRule="auto"/>
        <w:contextualSpacing w:val="0"/>
        <w:rPr>
          <w:rFonts w:eastAsia="Times New Roman"/>
          <w:b/>
          <w:bCs/>
          <w:color w:val="000000"/>
        </w:rPr>
      </w:pPr>
      <w:r w:rsidRPr="00D34BFE">
        <w:rPr>
          <w:rFonts w:eastAsia="Times New Roman"/>
          <w:b/>
          <w:bCs/>
          <w:color w:val="000000"/>
        </w:rPr>
        <w:t xml:space="preserve">Permanently increase </w:t>
      </w:r>
      <w:proofErr w:type="spellStart"/>
      <w:r w:rsidRPr="00D34BFE">
        <w:rPr>
          <w:rFonts w:eastAsia="Times New Roman"/>
          <w:b/>
          <w:bCs/>
          <w:color w:val="000000"/>
        </w:rPr>
        <w:t>JobSeeker</w:t>
      </w:r>
      <w:proofErr w:type="spellEnd"/>
      <w:r w:rsidRPr="00D34BFE">
        <w:rPr>
          <w:rFonts w:eastAsia="Times New Roman"/>
          <w:b/>
          <w:bCs/>
          <w:color w:val="000000"/>
        </w:rPr>
        <w:t xml:space="preserve"> and other working-age payments to at least </w:t>
      </w:r>
      <w:r>
        <w:rPr>
          <w:rFonts w:eastAsia="Times New Roman"/>
          <w:b/>
          <w:bCs/>
          <w:color w:val="000000"/>
        </w:rPr>
        <w:t xml:space="preserve">the </w:t>
      </w:r>
      <w:r w:rsidRPr="00D34BFE">
        <w:rPr>
          <w:rFonts w:eastAsia="Times New Roman"/>
          <w:b/>
          <w:bCs/>
          <w:color w:val="000000"/>
        </w:rPr>
        <w:t>OECD</w:t>
      </w:r>
      <w:r>
        <w:rPr>
          <w:rFonts w:eastAsia="Times New Roman"/>
          <w:b/>
          <w:bCs/>
          <w:color w:val="000000"/>
        </w:rPr>
        <w:t>-</w:t>
      </w:r>
      <w:r w:rsidRPr="00D34BFE">
        <w:rPr>
          <w:rFonts w:eastAsia="Times New Roman"/>
          <w:b/>
          <w:bCs/>
          <w:color w:val="000000"/>
        </w:rPr>
        <w:t>recognised measure of poverty ($67 a day for single people</w:t>
      </w:r>
      <w:proofErr w:type="gramStart"/>
      <w:r w:rsidRPr="00D34BFE">
        <w:rPr>
          <w:rFonts w:eastAsia="Times New Roman"/>
          <w:b/>
          <w:bCs/>
          <w:color w:val="000000"/>
        </w:rPr>
        <w:t>)</w:t>
      </w:r>
      <w:r>
        <w:rPr>
          <w:rFonts w:eastAsia="Times New Roman"/>
          <w:b/>
          <w:bCs/>
          <w:color w:val="000000"/>
        </w:rPr>
        <w:t>;</w:t>
      </w:r>
      <w:proofErr w:type="gramEnd"/>
    </w:p>
    <w:p w14:paraId="0B300A93" w14:textId="2F2126DF" w:rsidR="00D34BFE" w:rsidRPr="00D34BFE" w:rsidRDefault="00D34BFE" w:rsidP="005E35FD">
      <w:pPr>
        <w:pStyle w:val="ListParagraph"/>
        <w:keepNext w:val="0"/>
        <w:numPr>
          <w:ilvl w:val="0"/>
          <w:numId w:val="6"/>
        </w:numPr>
        <w:shd w:val="clear" w:color="auto" w:fill="FFFFFF"/>
        <w:spacing w:before="0" w:after="0" w:line="276" w:lineRule="auto"/>
        <w:contextualSpacing w:val="0"/>
        <w:rPr>
          <w:rFonts w:eastAsia="Times New Roman"/>
          <w:b/>
          <w:bCs/>
          <w:color w:val="000000"/>
        </w:rPr>
      </w:pPr>
      <w:r w:rsidRPr="00D34BFE">
        <w:rPr>
          <w:rFonts w:eastAsia="Times New Roman"/>
          <w:b/>
          <w:bCs/>
          <w:color w:val="000000"/>
        </w:rPr>
        <w:t xml:space="preserve">Increase Commonwealth Rent Assistance by 50% to ensure people </w:t>
      </w:r>
      <w:r>
        <w:rPr>
          <w:rFonts w:eastAsia="Times New Roman"/>
          <w:b/>
          <w:bCs/>
          <w:color w:val="000000"/>
        </w:rPr>
        <w:t xml:space="preserve">with low incomes </w:t>
      </w:r>
      <w:r w:rsidRPr="00D34BFE">
        <w:rPr>
          <w:rFonts w:eastAsia="Times New Roman"/>
          <w:b/>
          <w:bCs/>
          <w:color w:val="000000"/>
        </w:rPr>
        <w:t xml:space="preserve">can better afford their </w:t>
      </w:r>
      <w:proofErr w:type="gramStart"/>
      <w:r w:rsidRPr="00D34BFE">
        <w:rPr>
          <w:rFonts w:eastAsia="Times New Roman"/>
          <w:b/>
          <w:bCs/>
          <w:color w:val="000000"/>
        </w:rPr>
        <w:t>rent</w:t>
      </w:r>
      <w:r>
        <w:rPr>
          <w:rFonts w:eastAsia="Times New Roman"/>
          <w:b/>
          <w:bCs/>
          <w:color w:val="000000"/>
        </w:rPr>
        <w:t>;</w:t>
      </w:r>
      <w:proofErr w:type="gramEnd"/>
    </w:p>
    <w:p w14:paraId="27C08E02" w14:textId="069CCBC2" w:rsidR="00D34BFE" w:rsidRPr="00D34BFE" w:rsidRDefault="00D34BFE" w:rsidP="005E35FD">
      <w:pPr>
        <w:pStyle w:val="ListParagraph"/>
        <w:keepNext w:val="0"/>
        <w:numPr>
          <w:ilvl w:val="0"/>
          <w:numId w:val="6"/>
        </w:numPr>
        <w:shd w:val="clear" w:color="auto" w:fill="FFFFFF"/>
        <w:spacing w:before="0" w:after="0" w:line="276" w:lineRule="auto"/>
        <w:contextualSpacing w:val="0"/>
        <w:rPr>
          <w:rFonts w:eastAsia="Times New Roman"/>
          <w:b/>
          <w:bCs/>
          <w:color w:val="000000"/>
        </w:rPr>
      </w:pPr>
      <w:r>
        <w:rPr>
          <w:rFonts w:eastAsia="Times New Roman" w:cs="Arial"/>
          <w:b/>
          <w:bCs/>
          <w:color w:val="222222"/>
          <w:lang w:eastAsia="en-AU"/>
        </w:rPr>
        <w:t xml:space="preserve">Introduce </w:t>
      </w:r>
      <w:r w:rsidRPr="00D34BFE">
        <w:rPr>
          <w:rFonts w:eastAsia="Times New Roman" w:cs="Arial"/>
          <w:b/>
          <w:bCs/>
          <w:color w:val="222222"/>
          <w:lang w:eastAsia="en-AU"/>
        </w:rPr>
        <w:t xml:space="preserve">eviction moratoriums </w:t>
      </w:r>
      <w:r>
        <w:rPr>
          <w:rFonts w:eastAsia="Times New Roman" w:cs="Arial"/>
          <w:b/>
          <w:bCs/>
          <w:color w:val="222222"/>
          <w:lang w:eastAsia="en-AU"/>
        </w:rPr>
        <w:t xml:space="preserve">where people are at risk of </w:t>
      </w:r>
      <w:proofErr w:type="gramStart"/>
      <w:r>
        <w:rPr>
          <w:rFonts w:eastAsia="Times New Roman" w:cs="Arial"/>
          <w:b/>
          <w:bCs/>
          <w:color w:val="222222"/>
          <w:lang w:eastAsia="en-AU"/>
        </w:rPr>
        <w:t xml:space="preserve">homelessness, </w:t>
      </w:r>
      <w:r w:rsidRPr="00D34BFE">
        <w:rPr>
          <w:rFonts w:eastAsia="Times New Roman" w:cs="Arial"/>
          <w:b/>
          <w:bCs/>
          <w:color w:val="222222"/>
          <w:lang w:eastAsia="en-AU"/>
        </w:rPr>
        <w:t>and</w:t>
      </w:r>
      <w:proofErr w:type="gramEnd"/>
      <w:r w:rsidRPr="00D34BFE">
        <w:rPr>
          <w:rFonts w:eastAsia="Times New Roman" w:cs="Arial"/>
          <w:b/>
          <w:bCs/>
          <w:color w:val="222222"/>
          <w:lang w:eastAsia="en-AU"/>
        </w:rPr>
        <w:t xml:space="preserve"> i</w:t>
      </w:r>
      <w:r w:rsidRPr="00D34BFE">
        <w:rPr>
          <w:rFonts w:eastAsia="Times New Roman"/>
          <w:b/>
          <w:bCs/>
          <w:color w:val="000000"/>
        </w:rPr>
        <w:t xml:space="preserve">nvest in social housing infrastructure as part of a plan to meet the 500,000 shortfall in affordable housing for people on the lowest incomes. </w:t>
      </w:r>
    </w:p>
    <w:p w14:paraId="33A137B4" w14:textId="07831173" w:rsidR="00D34BFE" w:rsidRPr="00D34BFE" w:rsidRDefault="00D34BFE" w:rsidP="005E35FD">
      <w:pPr>
        <w:pStyle w:val="ListParagraph"/>
        <w:keepNext w:val="0"/>
        <w:numPr>
          <w:ilvl w:val="0"/>
          <w:numId w:val="6"/>
        </w:numPr>
        <w:shd w:val="clear" w:color="auto" w:fill="FFFFFF"/>
        <w:spacing w:before="0" w:after="0" w:line="276" w:lineRule="auto"/>
        <w:contextualSpacing w:val="0"/>
        <w:rPr>
          <w:rFonts w:eastAsia="Times New Roman"/>
          <w:b/>
          <w:bCs/>
          <w:color w:val="000000"/>
        </w:rPr>
      </w:pPr>
      <w:r w:rsidRPr="00D34BFE">
        <w:rPr>
          <w:rFonts w:eastAsia="Times New Roman"/>
          <w:b/>
          <w:bCs/>
          <w:color w:val="000000"/>
        </w:rPr>
        <w:t xml:space="preserve">Introduce a flexible jobs and training guarantee for people unemployed for 12 months or more. </w:t>
      </w:r>
    </w:p>
    <w:p w14:paraId="30C444A7" w14:textId="77777777" w:rsidR="001F2C1D" w:rsidRDefault="001F2C1D" w:rsidP="001F2C1D">
      <w:pPr>
        <w:rPr>
          <w:b/>
          <w:bCs/>
        </w:rPr>
      </w:pPr>
    </w:p>
    <w:p w14:paraId="0932984F" w14:textId="77777777" w:rsidR="00862279" w:rsidRPr="00C271A3" w:rsidRDefault="00862279" w:rsidP="00862279">
      <w:pPr>
        <w:pStyle w:val="Summary"/>
      </w:pPr>
      <w:r w:rsidRPr="00C271A3">
        <w:t>Conclusion</w:t>
      </w:r>
    </w:p>
    <w:p w14:paraId="7509BE93" w14:textId="09B42AA2" w:rsidR="00862279" w:rsidRDefault="00862279" w:rsidP="00862279">
      <w:r>
        <w:t>ACOSS believes unrealistic mutual obligation requirements and harsh compliance measures are counterproductive and harmful for people searching for paid work. We</w:t>
      </w:r>
      <w:r w:rsidRPr="00857CAC">
        <w:t xml:space="preserve"> </w:t>
      </w:r>
      <w:r>
        <w:t>urge the Federal Government to prevent</w:t>
      </w:r>
      <w:r w:rsidRPr="00857CAC">
        <w:t xml:space="preserve"> hundreds of thousands of people every month </w:t>
      </w:r>
      <w:r>
        <w:t xml:space="preserve">from experiencing </w:t>
      </w:r>
      <w:r w:rsidRPr="00857CAC">
        <w:t xml:space="preserve">payment suspensions by </w:t>
      </w:r>
      <w:r>
        <w:t xml:space="preserve">ensuring that any restoration of activity requirements </w:t>
      </w:r>
      <w:r w:rsidRPr="00857CAC">
        <w:t>after lockdown</w:t>
      </w:r>
      <w:r>
        <w:t>s is gradual, and by reviewing and reforming the system</w:t>
      </w:r>
      <w:r w:rsidRPr="00857CAC">
        <w:t xml:space="preserve">. </w:t>
      </w:r>
    </w:p>
    <w:p w14:paraId="11E1103B" w14:textId="77777777" w:rsidR="00862279" w:rsidRDefault="00862279" w:rsidP="00862279">
      <w:r>
        <w:t>In the first instance, the restoration of activity requirements including face to face meetings should not commence until at least one month after lockdowns are substantially lifted in each affected region (in phase ‘C’ of the national plan for easing of lockdowns).</w:t>
      </w:r>
    </w:p>
    <w:p w14:paraId="005F5435" w14:textId="77777777" w:rsidR="001F2C1D" w:rsidRDefault="001F2C1D" w:rsidP="001F2C1D">
      <w:pPr>
        <w:rPr>
          <w:b/>
          <w:bCs/>
        </w:rPr>
      </w:pPr>
    </w:p>
    <w:p w14:paraId="140A6ADB" w14:textId="748A800C" w:rsidR="00BD73D8" w:rsidRPr="001F2C1D" w:rsidRDefault="00BD73D8" w:rsidP="001F2C1D">
      <w:pPr>
        <w:rPr>
          <w:b/>
          <w:bCs/>
        </w:rPr>
      </w:pPr>
      <w:r w:rsidRPr="001F2C1D">
        <w:rPr>
          <w:b/>
          <w:bCs/>
        </w:rPr>
        <w:br w:type="page"/>
      </w:r>
    </w:p>
    <w:p w14:paraId="388B6345" w14:textId="5AAF8187" w:rsidR="00DD56F7" w:rsidRDefault="00DD56F7" w:rsidP="00B9346C">
      <w:pPr>
        <w:pStyle w:val="Heading1"/>
      </w:pPr>
      <w:r w:rsidRPr="00FC0BCA">
        <w:lastRenderedPageBreak/>
        <w:t>Background</w:t>
      </w:r>
    </w:p>
    <w:p w14:paraId="78BE9326" w14:textId="66FD3D0F" w:rsidR="00523BE1" w:rsidRDefault="00523BE1" w:rsidP="00523BE1">
      <w:pPr>
        <w:pStyle w:val="Summary"/>
      </w:pPr>
      <w:r>
        <w:t>What are mutual obligation requirements?</w:t>
      </w:r>
    </w:p>
    <w:p w14:paraId="4FE0C4BC" w14:textId="4713612A" w:rsidR="00523BE1" w:rsidRDefault="00523BE1" w:rsidP="00523BE1">
      <w:r>
        <w:t xml:space="preserve">These are a set of requirements for people receiving unemployment payments (including Jobseeker payment and Youth Allowance) that are included in person’s Job Plan as discussed with their employment service provider. </w:t>
      </w:r>
      <w:hyperlink r:id="rId17" w:anchor="lgas" w:history="1">
        <w:r w:rsidRPr="00523BE1">
          <w:rPr>
            <w:rStyle w:val="Hyperlink"/>
          </w:rPr>
          <w:t>They may include</w:t>
        </w:r>
      </w:hyperlink>
      <w:r>
        <w:t>:</w:t>
      </w:r>
    </w:p>
    <w:p w14:paraId="53572A6B" w14:textId="7BBAEAD9" w:rsidR="00523BE1" w:rsidRDefault="00523BE1" w:rsidP="005E35FD">
      <w:pPr>
        <w:pStyle w:val="ListParagraph"/>
        <w:numPr>
          <w:ilvl w:val="0"/>
          <w:numId w:val="8"/>
        </w:numPr>
      </w:pPr>
      <w:r>
        <w:t xml:space="preserve">accepting a job if </w:t>
      </w:r>
      <w:proofErr w:type="gramStart"/>
      <w:r>
        <w:t>offered;</w:t>
      </w:r>
      <w:proofErr w:type="gramEnd"/>
    </w:p>
    <w:p w14:paraId="520330D9" w14:textId="1372743D" w:rsidR="00523BE1" w:rsidRDefault="00523BE1" w:rsidP="005E35FD">
      <w:pPr>
        <w:pStyle w:val="ListParagraph"/>
        <w:numPr>
          <w:ilvl w:val="0"/>
          <w:numId w:val="8"/>
        </w:numPr>
      </w:pPr>
      <w:r>
        <w:t xml:space="preserve">attending job </w:t>
      </w:r>
      <w:proofErr w:type="gramStart"/>
      <w:r>
        <w:t>interviews;</w:t>
      </w:r>
      <w:proofErr w:type="gramEnd"/>
    </w:p>
    <w:p w14:paraId="5F75D6D6" w14:textId="6482B339" w:rsidR="00523BE1" w:rsidRDefault="00523BE1" w:rsidP="005E35FD">
      <w:pPr>
        <w:pStyle w:val="ListParagraph"/>
        <w:numPr>
          <w:ilvl w:val="0"/>
          <w:numId w:val="8"/>
        </w:numPr>
      </w:pPr>
      <w:r>
        <w:t xml:space="preserve">applying for a set number of jobs each </w:t>
      </w:r>
      <w:proofErr w:type="gramStart"/>
      <w:r>
        <w:t>month;</w:t>
      </w:r>
      <w:proofErr w:type="gramEnd"/>
    </w:p>
    <w:p w14:paraId="4537E401" w14:textId="15A5C65D" w:rsidR="00523BE1" w:rsidRDefault="00523BE1" w:rsidP="005E35FD">
      <w:pPr>
        <w:pStyle w:val="ListParagraph"/>
        <w:numPr>
          <w:ilvl w:val="0"/>
          <w:numId w:val="8"/>
        </w:numPr>
      </w:pPr>
      <w:r>
        <w:t xml:space="preserve">attending appointments with an employment service </w:t>
      </w:r>
      <w:proofErr w:type="gramStart"/>
      <w:r>
        <w:t>provider;</w:t>
      </w:r>
      <w:proofErr w:type="gramEnd"/>
    </w:p>
    <w:p w14:paraId="7613F55E" w14:textId="6F0AB545" w:rsidR="00523BE1" w:rsidRDefault="00523BE1" w:rsidP="005E35FD">
      <w:pPr>
        <w:pStyle w:val="ListParagraph"/>
        <w:numPr>
          <w:ilvl w:val="0"/>
          <w:numId w:val="8"/>
        </w:numPr>
      </w:pPr>
      <w:r>
        <w:t>attending activities or training, including Work for the Dole.</w:t>
      </w:r>
    </w:p>
    <w:p w14:paraId="07EFE9FF" w14:textId="1CBB9AAD" w:rsidR="00523BE1" w:rsidRDefault="00523BE1" w:rsidP="00523BE1">
      <w:r>
        <w:t>The default job search requirement is 20 job applications per month, which people must report regularly on the job search app or to their employment service provider.</w:t>
      </w:r>
    </w:p>
    <w:p w14:paraId="3E27AC44" w14:textId="68AE3B71" w:rsidR="00523BE1" w:rsidRDefault="00523BE1" w:rsidP="00523BE1">
      <w:r>
        <w:t>Participation in ‘activities’ such as training or unpaid Work for the Dole is required for up to three months at regular intervals.</w:t>
      </w:r>
    </w:p>
    <w:p w14:paraId="147E3F7C" w14:textId="6120C510" w:rsidR="004F3391" w:rsidRDefault="004F3391" w:rsidP="004F3391">
      <w:pPr>
        <w:pStyle w:val="Summary"/>
      </w:pPr>
      <w:r>
        <w:t>How does the compliance and penalty system work?</w:t>
      </w:r>
    </w:p>
    <w:p w14:paraId="5F8D0ABE" w14:textId="10E90EA6" w:rsidR="004F3391" w:rsidRDefault="004F3391" w:rsidP="004F3391">
      <w:r w:rsidRPr="00523BE1">
        <w:t>Th</w:t>
      </w:r>
      <w:r>
        <w:t xml:space="preserve">e system of payment suspensions and </w:t>
      </w:r>
      <w:r w:rsidRPr="00523BE1">
        <w:t xml:space="preserve">penalties </w:t>
      </w:r>
      <w:r>
        <w:t xml:space="preserve">is called the </w:t>
      </w:r>
      <w:r w:rsidRPr="00523BE1">
        <w:t>Targeted Compliance Framework (TCF)</w:t>
      </w:r>
      <w:r>
        <w:t>, which commenced in 2018.</w:t>
      </w:r>
    </w:p>
    <w:p w14:paraId="43B07241" w14:textId="58E641FC" w:rsidR="00523BE1" w:rsidRDefault="00523BE1" w:rsidP="00523BE1">
      <w:r w:rsidRPr="00523BE1">
        <w:t xml:space="preserve">When people on income support do not meet the </w:t>
      </w:r>
      <w:r>
        <w:t>m</w:t>
      </w:r>
      <w:r w:rsidRPr="00523BE1">
        <w:t xml:space="preserve">utual </w:t>
      </w:r>
      <w:r>
        <w:t>o</w:t>
      </w:r>
      <w:r w:rsidRPr="00523BE1">
        <w:t>bligation requirements in their job plans, their payments are suspended and can be cancelled.</w:t>
      </w:r>
    </w:p>
    <w:p w14:paraId="45B28254" w14:textId="284FA43D" w:rsidR="00523BE1" w:rsidRDefault="00523BE1" w:rsidP="00523BE1">
      <w:r>
        <w:t xml:space="preserve">‘Demerit Points’ accrue when the person is assessed by the provider to not have ‘reasonable excuse’ for not meeting a requirement that triggers a payment suspension. If more than four demerit points accrue within six months, penalties of up to </w:t>
      </w:r>
      <w:r w:rsidR="00061CAE">
        <w:t>four</w:t>
      </w:r>
      <w:r>
        <w:t xml:space="preserve"> weeks without income support</w:t>
      </w:r>
      <w:r w:rsidR="00061CAE">
        <w:t xml:space="preserve"> may be imposed.</w:t>
      </w:r>
    </w:p>
    <w:p w14:paraId="659D77FA" w14:textId="5E334E1B" w:rsidR="004F3391" w:rsidRDefault="004F3391" w:rsidP="00523BE1">
      <w:r>
        <w:t xml:space="preserve">Before </w:t>
      </w:r>
      <w:r w:rsidR="00061CAE">
        <w:t>these</w:t>
      </w:r>
      <w:r>
        <w:t xml:space="preserve"> penalties are imposed, there is review interview called a Capability Interview in which the person’s capacity to meet requirements is assessed and they are given an opportunity to explain why they did not meet the requirement. This interview is held with either by a job services provider, the digital services contact centre or Services Australia. A further review interview is held with Services Australia before payment penalties are applied.</w:t>
      </w:r>
    </w:p>
    <w:p w14:paraId="10B15429" w14:textId="39BEDCD7" w:rsidR="004F3391" w:rsidRDefault="004F3391" w:rsidP="004F3391">
      <w:pPr>
        <w:pStyle w:val="Summary"/>
      </w:pPr>
      <w:r>
        <w:t>How are payment suspensions applied?</w:t>
      </w:r>
    </w:p>
    <w:p w14:paraId="4D23C59A" w14:textId="11B5D1F8" w:rsidR="004F3391" w:rsidRDefault="004F3391" w:rsidP="00523BE1">
      <w:r>
        <w:t>When a person does meet a requirement on time, they receive a message (usually by SMS) informing them of this and asking them to contact their provider or the digital service c</w:t>
      </w:r>
      <w:r w:rsidR="006F639C">
        <w:t>ontact</w:t>
      </w:r>
      <w:r>
        <w:t xml:space="preserve"> centre. If they do not do so and then meet the requirement, their payment is suspended.</w:t>
      </w:r>
    </w:p>
    <w:p w14:paraId="5A4744DE" w14:textId="0A90CC8E" w:rsidR="006F639C" w:rsidRDefault="00061CAE" w:rsidP="006F639C">
      <w:r>
        <w:lastRenderedPageBreak/>
        <w:t xml:space="preserve">In theory, the person is given the opportunity to </w:t>
      </w:r>
      <w:r w:rsidR="00566AED">
        <w:t xml:space="preserve">speak to </w:t>
      </w:r>
      <w:r>
        <w:t xml:space="preserve">their provider or the digital contact centre (usually by phone) to explain their circumstances and agree to meet the requirement before a suspension is imposed. </w:t>
      </w:r>
      <w:r w:rsidR="006F639C">
        <w:t xml:space="preserve">A two-day delay in payment suspensions was introduced in December 2020 to enable people to contact their provider or digital contact centre to resolve issues before a suspension is imposed. If the person does not ‘re-engage’ within that time, the suspension is automatically </w:t>
      </w:r>
      <w:proofErr w:type="gramStart"/>
      <w:r w:rsidR="006F639C">
        <w:t>imposed</w:t>
      </w:r>
      <w:proofErr w:type="gramEnd"/>
      <w:r w:rsidR="006F639C">
        <w:t xml:space="preserve"> and they are notified of this (usually by SMS).</w:t>
      </w:r>
    </w:p>
    <w:p w14:paraId="7425B07C" w14:textId="44DDC3CD" w:rsidR="00523BE1" w:rsidRDefault="00523BE1" w:rsidP="00523BE1">
      <w:r>
        <w:t>A payment suspension may not result in an actual loss of payment. If the person engages with their provider or the digital services contact centre before their payment is due and meet</w:t>
      </w:r>
      <w:r w:rsidR="00061CAE">
        <w:t>s</w:t>
      </w:r>
      <w:r>
        <w:t xml:space="preserve"> the requirement, the suspension may be lifted. In most cases this occurs before the payment falls due.</w:t>
      </w:r>
    </w:p>
    <w:p w14:paraId="02466ACF" w14:textId="41DB2C53" w:rsidR="00523BE1" w:rsidRDefault="004F3391" w:rsidP="00523BE1">
      <w:r>
        <w:t>Suspended p</w:t>
      </w:r>
      <w:r w:rsidR="00523BE1">
        <w:t xml:space="preserve">ayments are fully back-paid when </w:t>
      </w:r>
      <w:r>
        <w:t>these ‘</w:t>
      </w:r>
      <w:r w:rsidR="00523BE1">
        <w:t>re</w:t>
      </w:r>
      <w:r w:rsidR="00061CAE">
        <w:t>connection</w:t>
      </w:r>
      <w:r w:rsidR="00523BE1">
        <w:t xml:space="preserve"> requirements</w:t>
      </w:r>
      <w:r>
        <w:t>’</w:t>
      </w:r>
      <w:r w:rsidR="00523BE1">
        <w:t xml:space="preserve"> are met (</w:t>
      </w:r>
      <w:r>
        <w:t>for example,</w:t>
      </w:r>
      <w:r w:rsidR="00523BE1">
        <w:t xml:space="preserve"> by attending a</w:t>
      </w:r>
      <w:r>
        <w:t xml:space="preserve"> missed</w:t>
      </w:r>
      <w:r w:rsidR="00523BE1">
        <w:t xml:space="preserve"> appointment with a provider</w:t>
      </w:r>
      <w:r>
        <w:t xml:space="preserve"> or</w:t>
      </w:r>
      <w:r w:rsidR="00523BE1">
        <w:t xml:space="preserve"> completing the required number of job searches).</w:t>
      </w:r>
      <w:r w:rsidR="00566AED">
        <w:t xml:space="preserve"> </w:t>
      </w:r>
      <w:r w:rsidR="00523BE1">
        <w:t>Payments are cancelled automatically when people do not meet a reconnection requirement within 28 days.</w:t>
      </w:r>
    </w:p>
    <w:p w14:paraId="142B57B9" w14:textId="15B9F26A" w:rsidR="00B9346C" w:rsidRPr="00B9346C" w:rsidRDefault="00BA3618" w:rsidP="00B9346C">
      <w:pPr>
        <w:pStyle w:val="Summary"/>
      </w:pPr>
      <w:r>
        <w:t>Over 750,000 p</w:t>
      </w:r>
      <w:r w:rsidR="00B9346C" w:rsidRPr="00B9346C">
        <w:t xml:space="preserve">ayment suspensions </w:t>
      </w:r>
      <w:r>
        <w:t>were imposed when lockdowns were eased earl</w:t>
      </w:r>
      <w:r w:rsidR="00BE129E">
        <w:t>ier this year</w:t>
      </w:r>
    </w:p>
    <w:p w14:paraId="231A8C05" w14:textId="700420F3" w:rsidR="00DB632B" w:rsidRDefault="00DB632B" w:rsidP="00DB632B">
      <w:r>
        <w:t>Payment suspensions are triggered when people who are on income support payments are considered not to have met a requirement in their job plan.</w:t>
      </w:r>
      <w:r w:rsidR="00B9346C" w:rsidRPr="00B9346C">
        <w:rPr>
          <w:rStyle w:val="FootnoteReference"/>
          <w:vertAlign w:val="superscript"/>
        </w:rPr>
        <w:t xml:space="preserve"> </w:t>
      </w:r>
      <w:r w:rsidR="00B9346C" w:rsidRPr="00B9346C">
        <w:rPr>
          <w:rStyle w:val="FootnoteReference"/>
          <w:vertAlign w:val="superscript"/>
        </w:rPr>
        <w:footnoteReference w:id="1"/>
      </w:r>
      <w:r w:rsidR="00D711F7" w:rsidRPr="00C271A3">
        <w:t xml:space="preserve">In </w:t>
      </w:r>
      <w:r w:rsidR="00260216">
        <w:t xml:space="preserve">less than 4 </w:t>
      </w:r>
      <w:r w:rsidR="00D711F7" w:rsidRPr="00C271A3">
        <w:t>months</w:t>
      </w:r>
      <w:r w:rsidR="00260216">
        <w:t xml:space="preserve"> between</w:t>
      </w:r>
      <w:r w:rsidR="00D711F7" w:rsidRPr="00C271A3">
        <w:t xml:space="preserve"> January </w:t>
      </w:r>
      <w:r w:rsidR="00260216">
        <w:t>and</w:t>
      </w:r>
      <w:r w:rsidR="00D711F7" w:rsidRPr="00C271A3">
        <w:t xml:space="preserve"> </w:t>
      </w:r>
      <w:r w:rsidR="00260216">
        <w:t>mid-</w:t>
      </w:r>
      <w:r w:rsidR="00D711F7" w:rsidRPr="00C271A3">
        <w:t xml:space="preserve">April 2021, 750,847 payment suspensions were imposed on people receiving unemployment payments. </w:t>
      </w:r>
      <w:r w:rsidR="00B9346C">
        <w:t xml:space="preserve">One in five </w:t>
      </w:r>
      <w:r w:rsidR="00D711F7" w:rsidRPr="00D711F7">
        <w:t xml:space="preserve">people on the </w:t>
      </w:r>
      <w:proofErr w:type="spellStart"/>
      <w:r w:rsidR="00D711F7" w:rsidRPr="00D711F7">
        <w:t>Jobs</w:t>
      </w:r>
      <w:r>
        <w:t>S</w:t>
      </w:r>
      <w:r w:rsidR="00D711F7" w:rsidRPr="00D711F7">
        <w:t>eeker</w:t>
      </w:r>
      <w:proofErr w:type="spellEnd"/>
      <w:r w:rsidR="00D711F7" w:rsidRPr="00D711F7">
        <w:t xml:space="preserve"> and Youth</w:t>
      </w:r>
      <w:r w:rsidR="00D711F7">
        <w:t xml:space="preserve"> Allowance payments had their payment suspended</w:t>
      </w:r>
      <w:r w:rsidR="00B9346C">
        <w:t xml:space="preserve"> </w:t>
      </w:r>
      <w:r>
        <w:t>As Figure 2 shows 60 percent of the payment suspensions were for people who had not met job application targets in the previous month.</w:t>
      </w:r>
    </w:p>
    <w:p w14:paraId="64315660" w14:textId="1B166940" w:rsidR="00D711F7" w:rsidRPr="00C054AD" w:rsidRDefault="00D711F7" w:rsidP="00D711F7">
      <w:pPr>
        <w:rPr>
          <w:b/>
          <w:bCs/>
        </w:rPr>
      </w:pPr>
      <w:r w:rsidRPr="00C054AD">
        <w:rPr>
          <w:b/>
          <w:bCs/>
        </w:rPr>
        <w:t xml:space="preserve">Figure </w:t>
      </w:r>
      <w:r w:rsidR="00DB632B">
        <w:rPr>
          <w:b/>
          <w:bCs/>
        </w:rPr>
        <w:t>2</w:t>
      </w:r>
      <w:r w:rsidRPr="00C054AD">
        <w:rPr>
          <w:b/>
          <w:bCs/>
        </w:rPr>
        <w:t xml:space="preserve"> – Payment suspensions </w:t>
      </w:r>
      <w:proofErr w:type="spellStart"/>
      <w:r w:rsidRPr="00C054AD">
        <w:rPr>
          <w:b/>
          <w:bCs/>
        </w:rPr>
        <w:t>jobactive</w:t>
      </w:r>
      <w:proofErr w:type="spellEnd"/>
      <w:r>
        <w:rPr>
          <w:b/>
          <w:bCs/>
        </w:rPr>
        <w:t xml:space="preserve"> January-Mid April 2021</w:t>
      </w:r>
      <w:r w:rsidR="00566AED">
        <w:rPr>
          <w:rStyle w:val="FootnoteReference"/>
          <w:b/>
          <w:bCs/>
        </w:rPr>
        <w:footnoteReference w:id="2"/>
      </w:r>
    </w:p>
    <w:tbl>
      <w:tblPr>
        <w:tblStyle w:val="ACOSSTable"/>
        <w:tblW w:w="4837" w:type="pct"/>
        <w:tblLook w:val="0420" w:firstRow="1" w:lastRow="0" w:firstColumn="0" w:lastColumn="0" w:noHBand="0" w:noVBand="1"/>
      </w:tblPr>
      <w:tblGrid>
        <w:gridCol w:w="2788"/>
        <w:gridCol w:w="1169"/>
        <w:gridCol w:w="1189"/>
        <w:gridCol w:w="1691"/>
        <w:gridCol w:w="1890"/>
      </w:tblGrid>
      <w:tr w:rsidR="00D711F7" w:rsidRPr="00022307" w14:paraId="5D943E9B" w14:textId="77777777" w:rsidTr="00566AED">
        <w:trPr>
          <w:cnfStyle w:val="100000000000" w:firstRow="1" w:lastRow="0" w:firstColumn="0" w:lastColumn="0" w:oddVBand="0" w:evenVBand="0" w:oddHBand="0" w:evenHBand="0" w:firstRowFirstColumn="0" w:firstRowLastColumn="0" w:lastRowFirstColumn="0" w:lastRowLastColumn="0"/>
          <w:trHeight w:val="546"/>
        </w:trPr>
        <w:tc>
          <w:tcPr>
            <w:tcW w:w="1597" w:type="pct"/>
            <w:hideMark/>
          </w:tcPr>
          <w:p w14:paraId="53CBA01A" w14:textId="783F1075" w:rsidR="00D711F7" w:rsidRPr="00022307" w:rsidRDefault="00D711F7" w:rsidP="00857CAC">
            <w:pPr>
              <w:spacing w:after="160"/>
              <w:rPr>
                <w:lang w:val="en-US"/>
              </w:rPr>
            </w:pPr>
            <w:r w:rsidRPr="00022307">
              <w:rPr>
                <w:b/>
                <w:bCs/>
                <w:lang w:val="en-US"/>
              </w:rPr>
              <w:t>Suspension</w:t>
            </w:r>
            <w:r w:rsidR="00566AED">
              <w:rPr>
                <w:b/>
                <w:bCs/>
                <w:lang w:val="en-US"/>
              </w:rPr>
              <w:t xml:space="preserve"> </w:t>
            </w:r>
            <w:r w:rsidRPr="00022307">
              <w:rPr>
                <w:b/>
                <w:bCs/>
                <w:lang w:val="en-US"/>
              </w:rPr>
              <w:t>Category</w:t>
            </w:r>
          </w:p>
        </w:tc>
        <w:tc>
          <w:tcPr>
            <w:tcW w:w="670" w:type="pct"/>
            <w:hideMark/>
          </w:tcPr>
          <w:p w14:paraId="45C9EF9E" w14:textId="77777777" w:rsidR="00D711F7" w:rsidRPr="00022307" w:rsidRDefault="00D711F7" w:rsidP="00857CAC">
            <w:pPr>
              <w:spacing w:after="160"/>
              <w:rPr>
                <w:lang w:val="en-US"/>
              </w:rPr>
            </w:pPr>
            <w:r w:rsidRPr="00022307">
              <w:rPr>
                <w:b/>
                <w:bCs/>
                <w:lang w:val="en-US"/>
              </w:rPr>
              <w:t>Jan-21</w:t>
            </w:r>
          </w:p>
        </w:tc>
        <w:tc>
          <w:tcPr>
            <w:tcW w:w="681" w:type="pct"/>
            <w:hideMark/>
          </w:tcPr>
          <w:p w14:paraId="6EFA68FF" w14:textId="77777777" w:rsidR="00D711F7" w:rsidRPr="00022307" w:rsidRDefault="00D711F7" w:rsidP="00857CAC">
            <w:pPr>
              <w:spacing w:after="160"/>
              <w:rPr>
                <w:lang w:val="en-US"/>
              </w:rPr>
            </w:pPr>
            <w:r w:rsidRPr="00022307">
              <w:rPr>
                <w:b/>
                <w:bCs/>
                <w:lang w:val="en-US"/>
              </w:rPr>
              <w:t>Feb-21</w:t>
            </w:r>
          </w:p>
        </w:tc>
        <w:tc>
          <w:tcPr>
            <w:tcW w:w="969" w:type="pct"/>
            <w:hideMark/>
          </w:tcPr>
          <w:p w14:paraId="179AEE5C" w14:textId="77777777" w:rsidR="00D711F7" w:rsidRPr="00022307" w:rsidRDefault="00D711F7" w:rsidP="00857CAC">
            <w:pPr>
              <w:spacing w:after="160"/>
              <w:rPr>
                <w:lang w:val="en-US"/>
              </w:rPr>
            </w:pPr>
            <w:r w:rsidRPr="00022307">
              <w:rPr>
                <w:b/>
                <w:bCs/>
                <w:lang w:val="en-US"/>
              </w:rPr>
              <w:t>Mar-21</w:t>
            </w:r>
          </w:p>
        </w:tc>
        <w:tc>
          <w:tcPr>
            <w:tcW w:w="1083" w:type="pct"/>
            <w:hideMark/>
          </w:tcPr>
          <w:p w14:paraId="2DB6EC4E" w14:textId="77777777" w:rsidR="00D711F7" w:rsidRPr="00022307" w:rsidRDefault="00D711F7" w:rsidP="00857CAC">
            <w:pPr>
              <w:spacing w:after="160"/>
              <w:rPr>
                <w:lang w:val="en-US"/>
              </w:rPr>
            </w:pPr>
            <w:r w:rsidRPr="00022307">
              <w:rPr>
                <w:b/>
                <w:bCs/>
                <w:lang w:val="en-US"/>
              </w:rPr>
              <w:t>Mid Apr-21</w:t>
            </w:r>
          </w:p>
        </w:tc>
      </w:tr>
      <w:tr w:rsidR="00D711F7" w:rsidRPr="00022307" w14:paraId="0DF61B57" w14:textId="77777777" w:rsidTr="00566AED">
        <w:trPr>
          <w:cnfStyle w:val="000000100000" w:firstRow="0" w:lastRow="0" w:firstColumn="0" w:lastColumn="0" w:oddVBand="0" w:evenVBand="0" w:oddHBand="1" w:evenHBand="0" w:firstRowFirstColumn="0" w:firstRowLastColumn="0" w:lastRowFirstColumn="0" w:lastRowLastColumn="0"/>
          <w:trHeight w:val="512"/>
        </w:trPr>
        <w:tc>
          <w:tcPr>
            <w:tcW w:w="1597" w:type="pct"/>
            <w:hideMark/>
          </w:tcPr>
          <w:p w14:paraId="1B32AB15" w14:textId="77777777" w:rsidR="00D711F7" w:rsidRPr="00022307" w:rsidRDefault="00D711F7" w:rsidP="00857CAC">
            <w:pPr>
              <w:spacing w:after="160"/>
              <w:rPr>
                <w:lang w:val="en-US"/>
              </w:rPr>
            </w:pPr>
            <w:r w:rsidRPr="00022307">
              <w:rPr>
                <w:lang w:val="en-US"/>
              </w:rPr>
              <w:t>Provider Appointment</w:t>
            </w:r>
          </w:p>
        </w:tc>
        <w:tc>
          <w:tcPr>
            <w:tcW w:w="670" w:type="pct"/>
            <w:hideMark/>
          </w:tcPr>
          <w:p w14:paraId="01DA1841" w14:textId="77777777" w:rsidR="00D711F7" w:rsidRPr="00022307" w:rsidRDefault="00D711F7" w:rsidP="00857CAC">
            <w:pPr>
              <w:spacing w:after="160"/>
              <w:rPr>
                <w:lang w:val="en-US"/>
              </w:rPr>
            </w:pPr>
            <w:r w:rsidRPr="00022307">
              <w:rPr>
                <w:lang w:val="en-US"/>
              </w:rPr>
              <w:t>60,226</w:t>
            </w:r>
          </w:p>
        </w:tc>
        <w:tc>
          <w:tcPr>
            <w:tcW w:w="681" w:type="pct"/>
            <w:hideMark/>
          </w:tcPr>
          <w:p w14:paraId="26E11E00" w14:textId="77777777" w:rsidR="00D711F7" w:rsidRPr="00022307" w:rsidRDefault="00D711F7" w:rsidP="00857CAC">
            <w:pPr>
              <w:spacing w:after="160"/>
              <w:rPr>
                <w:lang w:val="en-US"/>
              </w:rPr>
            </w:pPr>
            <w:r w:rsidRPr="00022307">
              <w:rPr>
                <w:lang w:val="en-US"/>
              </w:rPr>
              <w:t>60,510</w:t>
            </w:r>
          </w:p>
        </w:tc>
        <w:tc>
          <w:tcPr>
            <w:tcW w:w="969" w:type="pct"/>
            <w:hideMark/>
          </w:tcPr>
          <w:p w14:paraId="2548BC2C" w14:textId="77777777" w:rsidR="00D711F7" w:rsidRPr="00022307" w:rsidRDefault="00D711F7" w:rsidP="00857CAC">
            <w:pPr>
              <w:spacing w:after="160"/>
              <w:rPr>
                <w:lang w:val="en-US"/>
              </w:rPr>
            </w:pPr>
            <w:r w:rsidRPr="00022307">
              <w:rPr>
                <w:lang w:val="en-US"/>
              </w:rPr>
              <w:t>74,952</w:t>
            </w:r>
          </w:p>
        </w:tc>
        <w:tc>
          <w:tcPr>
            <w:tcW w:w="1083" w:type="pct"/>
            <w:hideMark/>
          </w:tcPr>
          <w:p w14:paraId="7267AA1D" w14:textId="77777777" w:rsidR="00D711F7" w:rsidRPr="00022307" w:rsidRDefault="00D711F7" w:rsidP="00857CAC">
            <w:pPr>
              <w:spacing w:after="160"/>
              <w:rPr>
                <w:lang w:val="en-US"/>
              </w:rPr>
            </w:pPr>
            <w:r w:rsidRPr="00022307">
              <w:rPr>
                <w:lang w:val="en-US"/>
              </w:rPr>
              <w:t>100,311</w:t>
            </w:r>
          </w:p>
        </w:tc>
      </w:tr>
      <w:tr w:rsidR="00D711F7" w:rsidRPr="00022307" w14:paraId="1FD278D9" w14:textId="77777777" w:rsidTr="00566AED">
        <w:trPr>
          <w:cnfStyle w:val="000000010000" w:firstRow="0" w:lastRow="0" w:firstColumn="0" w:lastColumn="0" w:oddVBand="0" w:evenVBand="0" w:oddHBand="0" w:evenHBand="1" w:firstRowFirstColumn="0" w:firstRowLastColumn="0" w:lastRowFirstColumn="0" w:lastRowLastColumn="0"/>
          <w:trHeight w:val="512"/>
        </w:trPr>
        <w:tc>
          <w:tcPr>
            <w:tcW w:w="1597" w:type="pct"/>
            <w:hideMark/>
          </w:tcPr>
          <w:p w14:paraId="35839560" w14:textId="77777777" w:rsidR="00D711F7" w:rsidRPr="00022307" w:rsidRDefault="00D711F7" w:rsidP="00857CAC">
            <w:pPr>
              <w:spacing w:after="160"/>
              <w:rPr>
                <w:lang w:val="en-US"/>
              </w:rPr>
            </w:pPr>
            <w:r w:rsidRPr="00022307">
              <w:rPr>
                <w:lang w:val="en-US"/>
              </w:rPr>
              <w:t>Job Plan</w:t>
            </w:r>
          </w:p>
        </w:tc>
        <w:tc>
          <w:tcPr>
            <w:tcW w:w="670" w:type="pct"/>
            <w:hideMark/>
          </w:tcPr>
          <w:p w14:paraId="14064344" w14:textId="77777777" w:rsidR="00D711F7" w:rsidRPr="00022307" w:rsidRDefault="00D711F7" w:rsidP="00857CAC">
            <w:pPr>
              <w:spacing w:after="160"/>
              <w:rPr>
                <w:lang w:val="en-US"/>
              </w:rPr>
            </w:pPr>
            <w:r w:rsidRPr="00022307">
              <w:rPr>
                <w:lang w:val="en-US"/>
              </w:rPr>
              <w:t>4,770</w:t>
            </w:r>
          </w:p>
        </w:tc>
        <w:tc>
          <w:tcPr>
            <w:tcW w:w="681" w:type="pct"/>
            <w:hideMark/>
          </w:tcPr>
          <w:p w14:paraId="4F4F54CE" w14:textId="77777777" w:rsidR="00D711F7" w:rsidRPr="00022307" w:rsidRDefault="00D711F7" w:rsidP="00857CAC">
            <w:pPr>
              <w:spacing w:after="160"/>
              <w:rPr>
                <w:lang w:val="en-US"/>
              </w:rPr>
            </w:pPr>
            <w:r w:rsidRPr="00022307">
              <w:rPr>
                <w:lang w:val="en-US"/>
              </w:rPr>
              <w:t>3,869</w:t>
            </w:r>
          </w:p>
        </w:tc>
        <w:tc>
          <w:tcPr>
            <w:tcW w:w="969" w:type="pct"/>
            <w:hideMark/>
          </w:tcPr>
          <w:p w14:paraId="31753928" w14:textId="77777777" w:rsidR="00D711F7" w:rsidRPr="00022307" w:rsidRDefault="00D711F7" w:rsidP="00857CAC">
            <w:pPr>
              <w:spacing w:after="160"/>
              <w:rPr>
                <w:lang w:val="en-US"/>
              </w:rPr>
            </w:pPr>
            <w:r w:rsidRPr="00022307">
              <w:rPr>
                <w:lang w:val="en-US"/>
              </w:rPr>
              <w:t>3,646</w:t>
            </w:r>
          </w:p>
        </w:tc>
        <w:tc>
          <w:tcPr>
            <w:tcW w:w="1083" w:type="pct"/>
            <w:hideMark/>
          </w:tcPr>
          <w:p w14:paraId="791E7098" w14:textId="77777777" w:rsidR="00D711F7" w:rsidRPr="00022307" w:rsidRDefault="00D711F7" w:rsidP="00857CAC">
            <w:pPr>
              <w:spacing w:after="160"/>
              <w:rPr>
                <w:lang w:val="en-US"/>
              </w:rPr>
            </w:pPr>
            <w:r w:rsidRPr="00022307">
              <w:rPr>
                <w:lang w:val="en-US"/>
              </w:rPr>
              <w:t>7,694</w:t>
            </w:r>
          </w:p>
        </w:tc>
      </w:tr>
      <w:tr w:rsidR="00D711F7" w:rsidRPr="00022307" w14:paraId="16DB3A8B" w14:textId="77777777" w:rsidTr="00566AED">
        <w:trPr>
          <w:cnfStyle w:val="000000100000" w:firstRow="0" w:lastRow="0" w:firstColumn="0" w:lastColumn="0" w:oddVBand="0" w:evenVBand="0" w:oddHBand="1" w:evenHBand="0" w:firstRowFirstColumn="0" w:firstRowLastColumn="0" w:lastRowFirstColumn="0" w:lastRowLastColumn="0"/>
          <w:trHeight w:val="512"/>
        </w:trPr>
        <w:tc>
          <w:tcPr>
            <w:tcW w:w="1597" w:type="pct"/>
            <w:hideMark/>
          </w:tcPr>
          <w:p w14:paraId="6872D999" w14:textId="77777777" w:rsidR="00D711F7" w:rsidRPr="00022307" w:rsidRDefault="00D711F7" w:rsidP="00857CAC">
            <w:pPr>
              <w:spacing w:after="160"/>
              <w:rPr>
                <w:lang w:val="en-US"/>
              </w:rPr>
            </w:pPr>
            <w:r w:rsidRPr="00022307">
              <w:rPr>
                <w:lang w:val="en-US"/>
              </w:rPr>
              <w:t>Job Search</w:t>
            </w:r>
          </w:p>
        </w:tc>
        <w:tc>
          <w:tcPr>
            <w:tcW w:w="670" w:type="pct"/>
            <w:hideMark/>
          </w:tcPr>
          <w:p w14:paraId="1912A856" w14:textId="77777777" w:rsidR="00D711F7" w:rsidRPr="00022307" w:rsidRDefault="00D711F7" w:rsidP="00857CAC">
            <w:pPr>
              <w:spacing w:after="160"/>
              <w:rPr>
                <w:lang w:val="en-US"/>
              </w:rPr>
            </w:pPr>
            <w:r w:rsidRPr="00022307">
              <w:rPr>
                <w:lang w:val="en-US"/>
              </w:rPr>
              <w:t>132,134</w:t>
            </w:r>
          </w:p>
        </w:tc>
        <w:tc>
          <w:tcPr>
            <w:tcW w:w="681" w:type="pct"/>
            <w:hideMark/>
          </w:tcPr>
          <w:p w14:paraId="7BD0B857" w14:textId="77777777" w:rsidR="00D711F7" w:rsidRPr="00022307" w:rsidRDefault="00D711F7" w:rsidP="00857CAC">
            <w:pPr>
              <w:spacing w:after="160"/>
              <w:rPr>
                <w:lang w:val="en-US"/>
              </w:rPr>
            </w:pPr>
            <w:r w:rsidRPr="00022307">
              <w:rPr>
                <w:lang w:val="en-US"/>
              </w:rPr>
              <w:t>94,781</w:t>
            </w:r>
          </w:p>
        </w:tc>
        <w:tc>
          <w:tcPr>
            <w:tcW w:w="969" w:type="pct"/>
            <w:hideMark/>
          </w:tcPr>
          <w:p w14:paraId="113CDE4A" w14:textId="77777777" w:rsidR="00D711F7" w:rsidRPr="00022307" w:rsidRDefault="00D711F7" w:rsidP="00857CAC">
            <w:pPr>
              <w:spacing w:after="160"/>
              <w:rPr>
                <w:lang w:val="en-US"/>
              </w:rPr>
            </w:pPr>
            <w:r w:rsidRPr="00022307">
              <w:rPr>
                <w:lang w:val="en-US"/>
              </w:rPr>
              <w:t>117,223</w:t>
            </w:r>
          </w:p>
        </w:tc>
        <w:tc>
          <w:tcPr>
            <w:tcW w:w="1083" w:type="pct"/>
            <w:hideMark/>
          </w:tcPr>
          <w:p w14:paraId="672879F3" w14:textId="77777777" w:rsidR="00D711F7" w:rsidRPr="00022307" w:rsidRDefault="00D711F7" w:rsidP="00857CAC">
            <w:pPr>
              <w:spacing w:after="160"/>
              <w:rPr>
                <w:lang w:val="en-US"/>
              </w:rPr>
            </w:pPr>
            <w:r w:rsidRPr="00022307">
              <w:rPr>
                <w:lang w:val="en-US"/>
              </w:rPr>
              <w:t>70,426</w:t>
            </w:r>
          </w:p>
        </w:tc>
      </w:tr>
      <w:tr w:rsidR="00D711F7" w:rsidRPr="00022307" w14:paraId="3CC43F2F" w14:textId="77777777" w:rsidTr="00566AED">
        <w:trPr>
          <w:cnfStyle w:val="000000010000" w:firstRow="0" w:lastRow="0" w:firstColumn="0" w:lastColumn="0" w:oddVBand="0" w:evenVBand="0" w:oddHBand="0" w:evenHBand="1" w:firstRowFirstColumn="0" w:firstRowLastColumn="0" w:lastRowFirstColumn="0" w:lastRowLastColumn="0"/>
          <w:trHeight w:val="512"/>
        </w:trPr>
        <w:tc>
          <w:tcPr>
            <w:tcW w:w="1597" w:type="pct"/>
            <w:hideMark/>
          </w:tcPr>
          <w:p w14:paraId="7361A31C" w14:textId="77777777" w:rsidR="00D711F7" w:rsidRPr="00022307" w:rsidRDefault="00D711F7" w:rsidP="00857CAC">
            <w:pPr>
              <w:spacing w:after="160"/>
              <w:rPr>
                <w:lang w:val="en-US"/>
              </w:rPr>
            </w:pPr>
            <w:r w:rsidRPr="00022307">
              <w:rPr>
                <w:lang w:val="en-US"/>
              </w:rPr>
              <w:t>Points Based Period</w:t>
            </w:r>
          </w:p>
        </w:tc>
        <w:tc>
          <w:tcPr>
            <w:tcW w:w="670" w:type="pct"/>
            <w:hideMark/>
          </w:tcPr>
          <w:p w14:paraId="03BB675B" w14:textId="77777777" w:rsidR="00D711F7" w:rsidRPr="00022307" w:rsidRDefault="00D711F7" w:rsidP="00857CAC">
            <w:pPr>
              <w:spacing w:after="160"/>
              <w:rPr>
                <w:lang w:val="en-US"/>
              </w:rPr>
            </w:pPr>
            <w:r w:rsidRPr="00022307">
              <w:rPr>
                <w:lang w:val="en-US"/>
              </w:rPr>
              <w:t>178</w:t>
            </w:r>
          </w:p>
        </w:tc>
        <w:tc>
          <w:tcPr>
            <w:tcW w:w="681" w:type="pct"/>
            <w:hideMark/>
          </w:tcPr>
          <w:p w14:paraId="4778BD0A" w14:textId="77777777" w:rsidR="00D711F7" w:rsidRPr="00022307" w:rsidRDefault="00D711F7" w:rsidP="00857CAC">
            <w:pPr>
              <w:spacing w:after="160"/>
              <w:rPr>
                <w:lang w:val="en-US"/>
              </w:rPr>
            </w:pPr>
            <w:r w:rsidRPr="00022307">
              <w:rPr>
                <w:lang w:val="en-US"/>
              </w:rPr>
              <w:t>173</w:t>
            </w:r>
          </w:p>
        </w:tc>
        <w:tc>
          <w:tcPr>
            <w:tcW w:w="969" w:type="pct"/>
            <w:hideMark/>
          </w:tcPr>
          <w:p w14:paraId="7DF8FE33" w14:textId="77777777" w:rsidR="00D711F7" w:rsidRPr="00022307" w:rsidRDefault="00D711F7" w:rsidP="00857CAC">
            <w:pPr>
              <w:spacing w:after="160"/>
              <w:rPr>
                <w:lang w:val="en-US"/>
              </w:rPr>
            </w:pPr>
            <w:r w:rsidRPr="00022307">
              <w:rPr>
                <w:lang w:val="en-US"/>
              </w:rPr>
              <w:t>226</w:t>
            </w:r>
          </w:p>
        </w:tc>
        <w:tc>
          <w:tcPr>
            <w:tcW w:w="1083" w:type="pct"/>
            <w:hideMark/>
          </w:tcPr>
          <w:p w14:paraId="543CD500" w14:textId="77777777" w:rsidR="00D711F7" w:rsidRPr="00022307" w:rsidRDefault="00D711F7" w:rsidP="00857CAC">
            <w:pPr>
              <w:spacing w:after="160"/>
              <w:rPr>
                <w:lang w:val="en-US"/>
              </w:rPr>
            </w:pPr>
            <w:r w:rsidRPr="00022307">
              <w:rPr>
                <w:lang w:val="en-US"/>
              </w:rPr>
              <w:t>156</w:t>
            </w:r>
          </w:p>
        </w:tc>
      </w:tr>
      <w:tr w:rsidR="00D711F7" w:rsidRPr="00022307" w14:paraId="54EB3C59" w14:textId="77777777" w:rsidTr="00566AED">
        <w:trPr>
          <w:cnfStyle w:val="000000100000" w:firstRow="0" w:lastRow="0" w:firstColumn="0" w:lastColumn="0" w:oddVBand="0" w:evenVBand="0" w:oddHBand="1" w:evenHBand="0" w:firstRowFirstColumn="0" w:firstRowLastColumn="0" w:lastRowFirstColumn="0" w:lastRowLastColumn="0"/>
          <w:trHeight w:val="512"/>
        </w:trPr>
        <w:tc>
          <w:tcPr>
            <w:tcW w:w="1597" w:type="pct"/>
            <w:hideMark/>
          </w:tcPr>
          <w:p w14:paraId="4FB8D447" w14:textId="77777777" w:rsidR="00D711F7" w:rsidRPr="00022307" w:rsidRDefault="00D711F7" w:rsidP="00857CAC">
            <w:pPr>
              <w:spacing w:after="160"/>
              <w:rPr>
                <w:lang w:val="en-US"/>
              </w:rPr>
            </w:pPr>
            <w:r w:rsidRPr="00022307">
              <w:rPr>
                <w:lang w:val="en-US"/>
              </w:rPr>
              <w:t>Total</w:t>
            </w:r>
          </w:p>
        </w:tc>
        <w:tc>
          <w:tcPr>
            <w:tcW w:w="670" w:type="pct"/>
            <w:hideMark/>
          </w:tcPr>
          <w:p w14:paraId="00B47858" w14:textId="77777777" w:rsidR="00D711F7" w:rsidRPr="00022307" w:rsidRDefault="00D711F7" w:rsidP="00857CAC">
            <w:pPr>
              <w:spacing w:after="160"/>
              <w:rPr>
                <w:lang w:val="en-US"/>
              </w:rPr>
            </w:pPr>
            <w:r w:rsidRPr="00022307">
              <w:rPr>
                <w:lang w:val="en-US"/>
              </w:rPr>
              <w:t>201,454</w:t>
            </w:r>
          </w:p>
        </w:tc>
        <w:tc>
          <w:tcPr>
            <w:tcW w:w="681" w:type="pct"/>
            <w:hideMark/>
          </w:tcPr>
          <w:p w14:paraId="26798590" w14:textId="77777777" w:rsidR="00D711F7" w:rsidRPr="00022307" w:rsidRDefault="00D711F7" w:rsidP="00857CAC">
            <w:pPr>
              <w:spacing w:after="160"/>
              <w:rPr>
                <w:lang w:val="en-US"/>
              </w:rPr>
            </w:pPr>
            <w:r w:rsidRPr="00022307">
              <w:rPr>
                <w:lang w:val="en-US"/>
              </w:rPr>
              <w:t>163,537</w:t>
            </w:r>
          </w:p>
        </w:tc>
        <w:tc>
          <w:tcPr>
            <w:tcW w:w="969" w:type="pct"/>
            <w:hideMark/>
          </w:tcPr>
          <w:p w14:paraId="1F05A4A1" w14:textId="77777777" w:rsidR="00D711F7" w:rsidRPr="00022307" w:rsidRDefault="00D711F7" w:rsidP="00857CAC">
            <w:pPr>
              <w:spacing w:after="160"/>
              <w:rPr>
                <w:lang w:val="en-US"/>
              </w:rPr>
            </w:pPr>
            <w:r w:rsidRPr="00022307">
              <w:rPr>
                <w:lang w:val="en-US"/>
              </w:rPr>
              <w:t>200,902</w:t>
            </w:r>
          </w:p>
        </w:tc>
        <w:tc>
          <w:tcPr>
            <w:tcW w:w="1083" w:type="pct"/>
            <w:hideMark/>
          </w:tcPr>
          <w:p w14:paraId="36898620" w14:textId="77777777" w:rsidR="00D711F7" w:rsidRPr="00022307" w:rsidRDefault="00D711F7" w:rsidP="00857CAC">
            <w:pPr>
              <w:spacing w:after="160"/>
              <w:rPr>
                <w:lang w:val="en-US"/>
              </w:rPr>
            </w:pPr>
            <w:r w:rsidRPr="00022307">
              <w:rPr>
                <w:lang w:val="en-US"/>
              </w:rPr>
              <w:t>184,954</w:t>
            </w:r>
          </w:p>
        </w:tc>
      </w:tr>
    </w:tbl>
    <w:p w14:paraId="7C898CF9" w14:textId="7A2B9708" w:rsidR="00DB632B" w:rsidRDefault="00DB632B" w:rsidP="00DB632B">
      <w:r>
        <w:lastRenderedPageBreak/>
        <w:t xml:space="preserve">It is likely that even more payment suspensions will occur after lockdowns are lifted and mutual obligation requirements resume. </w:t>
      </w:r>
      <w:r w:rsidR="00D711F7">
        <w:t>Th</w:t>
      </w:r>
      <w:r>
        <w:t>at is because th</w:t>
      </w:r>
      <w:r w:rsidR="00D711F7">
        <w:t xml:space="preserve">e data in </w:t>
      </w:r>
      <w:r>
        <w:t xml:space="preserve">in Figure 2 is for </w:t>
      </w:r>
      <w:r w:rsidR="00D711F7">
        <w:t>the period January 2021-mid April 2021</w:t>
      </w:r>
      <w:r>
        <w:t xml:space="preserve">. At that point in time, most people had 15 job searches to complete per month as part of their Mutual Obligations. The </w:t>
      </w:r>
      <w:r w:rsidR="00BA3618">
        <w:t xml:space="preserve">default </w:t>
      </w:r>
      <w:r>
        <w:t xml:space="preserve">number of job searches </w:t>
      </w:r>
      <w:r w:rsidR="00BA3618">
        <w:t xml:space="preserve">required </w:t>
      </w:r>
      <w:r>
        <w:t xml:space="preserve">increased to 20 in July 2021, </w:t>
      </w:r>
      <w:r w:rsidR="00BA3618">
        <w:t>in line with g</w:t>
      </w:r>
      <w:r>
        <w:t xml:space="preserve">overnment policy before the pandemic. </w:t>
      </w:r>
    </w:p>
    <w:p w14:paraId="2BE85C5A" w14:textId="77777777" w:rsidR="00D711F7" w:rsidRPr="00BE129E" w:rsidRDefault="00D711F7" w:rsidP="00BE129E">
      <w:pPr>
        <w:pStyle w:val="Summary"/>
      </w:pPr>
      <w:r w:rsidRPr="00BE129E">
        <w:t>People classified as ‘’vulnerable’’ are more likely to have their payments cancelled.</w:t>
      </w:r>
    </w:p>
    <w:p w14:paraId="14B4543E" w14:textId="4FA82CAC" w:rsidR="00260216" w:rsidRDefault="00DB632B" w:rsidP="00C271A3">
      <w:pPr>
        <w:rPr>
          <w:b/>
          <w:bCs/>
        </w:rPr>
      </w:pPr>
      <w:r>
        <w:t xml:space="preserve">The payment suspension </w:t>
      </w:r>
      <w:r w:rsidR="00D711F7">
        <w:t xml:space="preserve">data </w:t>
      </w:r>
      <w:r>
        <w:t>is also of concern because it shows</w:t>
      </w:r>
      <w:r w:rsidR="00D711F7">
        <w:t xml:space="preserve"> that payment suspensions disproportionately affect people who have been flagged by Services Australia as ‘vulnerable’.</w:t>
      </w:r>
      <w:r>
        <w:t xml:space="preserve"> For example, figure 3 shows that although people experiencing homelessness represent only </w:t>
      </w:r>
      <w:r w:rsidR="00AC1EFC">
        <w:t xml:space="preserve">9 percent of the </w:t>
      </w:r>
      <w:proofErr w:type="spellStart"/>
      <w:r w:rsidR="00AC1EFC">
        <w:t>jobactive</w:t>
      </w:r>
      <w:proofErr w:type="spellEnd"/>
      <w:r w:rsidR="00AC1EFC">
        <w:t xml:space="preserve"> caseload, they receive</w:t>
      </w:r>
      <w:r w:rsidR="00BA3618">
        <w:t>d</w:t>
      </w:r>
      <w:r w:rsidR="00AC1EFC">
        <w:t xml:space="preserve"> over 14 percent of the payment suspensions. They also receive</w:t>
      </w:r>
      <w:r w:rsidR="00BA3618">
        <w:t>d</w:t>
      </w:r>
      <w:r w:rsidR="00AC1EFC">
        <w:t xml:space="preserve"> demerit points (under the Targeted Compliance Framework) at a rate of 21 per cent. </w:t>
      </w:r>
    </w:p>
    <w:p w14:paraId="03A52C89" w14:textId="3085622E" w:rsidR="00D711F7" w:rsidRPr="00C054AD" w:rsidRDefault="00D711F7" w:rsidP="00D711F7">
      <w:pPr>
        <w:rPr>
          <w:b/>
          <w:bCs/>
        </w:rPr>
      </w:pPr>
      <w:r w:rsidRPr="00C054AD">
        <w:rPr>
          <w:b/>
          <w:bCs/>
        </w:rPr>
        <w:t xml:space="preserve">Figure </w:t>
      </w:r>
      <w:r w:rsidR="00260216">
        <w:rPr>
          <w:b/>
          <w:bCs/>
        </w:rPr>
        <w:t>3</w:t>
      </w:r>
      <w:r w:rsidRPr="00C054AD">
        <w:rPr>
          <w:b/>
          <w:bCs/>
        </w:rPr>
        <w:t xml:space="preserve"> – Payment </w:t>
      </w:r>
      <w:r w:rsidR="00260216">
        <w:rPr>
          <w:b/>
          <w:bCs/>
        </w:rPr>
        <w:t>suspensions</w:t>
      </w:r>
      <w:r w:rsidRPr="00C054AD">
        <w:rPr>
          <w:b/>
          <w:bCs/>
        </w:rPr>
        <w:t xml:space="preserve"> in </w:t>
      </w:r>
      <w:proofErr w:type="spellStart"/>
      <w:r w:rsidRPr="00C054AD">
        <w:rPr>
          <w:b/>
          <w:bCs/>
        </w:rPr>
        <w:t>jobactive</w:t>
      </w:r>
      <w:proofErr w:type="spellEnd"/>
      <w:r w:rsidRPr="00C054AD">
        <w:rPr>
          <w:b/>
          <w:bCs/>
        </w:rPr>
        <w:t xml:space="preserve"> by demographic</w:t>
      </w:r>
    </w:p>
    <w:tbl>
      <w:tblPr>
        <w:tblStyle w:val="ACOSSTable"/>
        <w:tblW w:w="5086" w:type="pct"/>
        <w:tblLayout w:type="fixed"/>
        <w:tblLook w:val="0420" w:firstRow="1" w:lastRow="0" w:firstColumn="0" w:lastColumn="0" w:noHBand="0" w:noVBand="1"/>
      </w:tblPr>
      <w:tblGrid>
        <w:gridCol w:w="1974"/>
        <w:gridCol w:w="1441"/>
        <w:gridCol w:w="1503"/>
        <w:gridCol w:w="1624"/>
        <w:gridCol w:w="24"/>
        <w:gridCol w:w="1261"/>
        <w:gridCol w:w="1349"/>
      </w:tblGrid>
      <w:tr w:rsidR="00D711F7" w:rsidRPr="00F211A2" w14:paraId="51303E8B" w14:textId="77777777" w:rsidTr="00857CAC">
        <w:trPr>
          <w:cnfStyle w:val="100000000000" w:firstRow="1" w:lastRow="0" w:firstColumn="0" w:lastColumn="0" w:oddVBand="0" w:evenVBand="0" w:oddHBand="0" w:evenHBand="0" w:firstRowFirstColumn="0" w:firstRowLastColumn="0" w:lastRowFirstColumn="0" w:lastRowLastColumn="0"/>
          <w:trHeight w:val="504"/>
        </w:trPr>
        <w:tc>
          <w:tcPr>
            <w:tcW w:w="1076" w:type="pct"/>
            <w:hideMark/>
          </w:tcPr>
          <w:p w14:paraId="72AA30A6" w14:textId="77777777" w:rsidR="00D711F7" w:rsidRPr="00857CAC" w:rsidRDefault="00D711F7" w:rsidP="00857CAC">
            <w:pPr>
              <w:spacing w:after="160"/>
              <w:rPr>
                <w:b/>
                <w:bCs/>
                <w:szCs w:val="20"/>
                <w:lang w:val="en-US"/>
              </w:rPr>
            </w:pPr>
            <w:r w:rsidRPr="00857CAC">
              <w:rPr>
                <w:b/>
                <w:bCs/>
                <w:szCs w:val="20"/>
                <w:lang w:val="en-US"/>
              </w:rPr>
              <w:t xml:space="preserve">DESE breakdown of </w:t>
            </w:r>
            <w:proofErr w:type="spellStart"/>
            <w:r w:rsidRPr="00857CAC">
              <w:rPr>
                <w:b/>
                <w:bCs/>
                <w:szCs w:val="20"/>
                <w:lang w:val="en-US"/>
              </w:rPr>
              <w:t>jobactive</w:t>
            </w:r>
            <w:proofErr w:type="spellEnd"/>
            <w:r w:rsidRPr="00857CAC">
              <w:rPr>
                <w:b/>
                <w:bCs/>
                <w:szCs w:val="20"/>
                <w:lang w:val="en-US"/>
              </w:rPr>
              <w:t xml:space="preserve"> participants by identified ‘vulnerability’</w:t>
            </w:r>
          </w:p>
        </w:tc>
        <w:tc>
          <w:tcPr>
            <w:tcW w:w="785" w:type="pct"/>
            <w:hideMark/>
          </w:tcPr>
          <w:p w14:paraId="061948F1" w14:textId="77777777" w:rsidR="00D711F7" w:rsidRPr="00857CAC" w:rsidRDefault="00D711F7" w:rsidP="00857CAC">
            <w:pPr>
              <w:spacing w:after="160"/>
              <w:rPr>
                <w:b/>
                <w:bCs/>
                <w:szCs w:val="20"/>
                <w:lang w:val="en-US"/>
              </w:rPr>
            </w:pPr>
            <w:r w:rsidRPr="00857CAC">
              <w:rPr>
                <w:b/>
                <w:bCs/>
                <w:szCs w:val="20"/>
                <w:lang w:val="en-US"/>
              </w:rPr>
              <w:t>Number</w:t>
            </w:r>
          </w:p>
        </w:tc>
        <w:tc>
          <w:tcPr>
            <w:tcW w:w="819" w:type="pct"/>
            <w:hideMark/>
          </w:tcPr>
          <w:p w14:paraId="13100A1D" w14:textId="77777777" w:rsidR="00D711F7" w:rsidRPr="00857CAC" w:rsidRDefault="00D711F7" w:rsidP="00857CAC">
            <w:pPr>
              <w:spacing w:after="160"/>
              <w:rPr>
                <w:b/>
                <w:bCs/>
                <w:szCs w:val="20"/>
                <w:lang w:val="en-US"/>
              </w:rPr>
            </w:pPr>
            <w:r w:rsidRPr="00C106F1">
              <w:rPr>
                <w:b/>
                <w:bCs/>
                <w:szCs w:val="20"/>
                <w:lang w:val="en-US"/>
              </w:rPr>
              <w:t xml:space="preserve">% </w:t>
            </w:r>
            <w:proofErr w:type="gramStart"/>
            <w:r w:rsidRPr="00C106F1">
              <w:rPr>
                <w:b/>
                <w:bCs/>
                <w:szCs w:val="20"/>
                <w:lang w:val="en-US"/>
              </w:rPr>
              <w:t>of</w:t>
            </w:r>
            <w:proofErr w:type="gramEnd"/>
            <w:r w:rsidRPr="00C106F1">
              <w:rPr>
                <w:b/>
                <w:bCs/>
                <w:szCs w:val="20"/>
                <w:lang w:val="en-US"/>
              </w:rPr>
              <w:t xml:space="preserve"> all </w:t>
            </w:r>
            <w:proofErr w:type="spellStart"/>
            <w:r w:rsidRPr="00857CAC">
              <w:rPr>
                <w:b/>
                <w:bCs/>
                <w:szCs w:val="20"/>
                <w:lang w:val="en-US"/>
              </w:rPr>
              <w:t>jobactive</w:t>
            </w:r>
            <w:proofErr w:type="spellEnd"/>
            <w:r w:rsidRPr="00857CAC">
              <w:rPr>
                <w:b/>
                <w:bCs/>
                <w:szCs w:val="20"/>
                <w:lang w:val="en-US"/>
              </w:rPr>
              <w:t xml:space="preserve"> participants</w:t>
            </w:r>
          </w:p>
        </w:tc>
        <w:tc>
          <w:tcPr>
            <w:tcW w:w="885" w:type="pct"/>
            <w:hideMark/>
          </w:tcPr>
          <w:p w14:paraId="6960B5BA" w14:textId="77777777" w:rsidR="00D711F7" w:rsidRPr="00857CAC" w:rsidRDefault="00D711F7" w:rsidP="00857CAC">
            <w:pPr>
              <w:spacing w:after="160"/>
              <w:rPr>
                <w:b/>
                <w:bCs/>
                <w:szCs w:val="20"/>
                <w:lang w:val="en-US"/>
              </w:rPr>
            </w:pPr>
            <w:r w:rsidRPr="00C106F1">
              <w:rPr>
                <w:b/>
                <w:bCs/>
                <w:szCs w:val="20"/>
                <w:lang w:val="en-US"/>
              </w:rPr>
              <w:t xml:space="preserve">Overall </w:t>
            </w:r>
            <w:r w:rsidRPr="00857CAC">
              <w:rPr>
                <w:b/>
                <w:bCs/>
                <w:szCs w:val="20"/>
                <w:lang w:val="en-US"/>
              </w:rPr>
              <w:t>suspensions</w:t>
            </w:r>
          </w:p>
        </w:tc>
        <w:tc>
          <w:tcPr>
            <w:tcW w:w="700" w:type="pct"/>
            <w:gridSpan w:val="2"/>
            <w:hideMark/>
          </w:tcPr>
          <w:p w14:paraId="3E288D71" w14:textId="77777777" w:rsidR="00D711F7" w:rsidRPr="00857CAC" w:rsidRDefault="00D711F7" w:rsidP="00857CAC">
            <w:pPr>
              <w:spacing w:after="160"/>
              <w:rPr>
                <w:b/>
                <w:bCs/>
                <w:szCs w:val="20"/>
                <w:lang w:val="en-US"/>
              </w:rPr>
            </w:pPr>
            <w:r w:rsidRPr="00C106F1">
              <w:rPr>
                <w:b/>
                <w:bCs/>
                <w:szCs w:val="20"/>
                <w:lang w:val="en-US"/>
              </w:rPr>
              <w:t>4th demeri</w:t>
            </w:r>
            <w:r w:rsidRPr="00857CAC">
              <w:rPr>
                <w:b/>
                <w:bCs/>
                <w:szCs w:val="20"/>
                <w:lang w:val="en-US"/>
              </w:rPr>
              <w:t>t points</w:t>
            </w:r>
          </w:p>
        </w:tc>
        <w:tc>
          <w:tcPr>
            <w:tcW w:w="736" w:type="pct"/>
            <w:hideMark/>
          </w:tcPr>
          <w:p w14:paraId="34C6FEF8" w14:textId="77777777" w:rsidR="00D711F7" w:rsidRPr="00857CAC" w:rsidRDefault="00D711F7" w:rsidP="00857CAC">
            <w:pPr>
              <w:spacing w:after="160"/>
              <w:rPr>
                <w:b/>
                <w:bCs/>
                <w:szCs w:val="20"/>
                <w:lang w:val="en-US"/>
              </w:rPr>
            </w:pPr>
            <w:r w:rsidRPr="00C106F1">
              <w:rPr>
                <w:b/>
                <w:bCs/>
                <w:szCs w:val="20"/>
                <w:lang w:val="en-US"/>
              </w:rPr>
              <w:t xml:space="preserve">% </w:t>
            </w:r>
            <w:proofErr w:type="gramStart"/>
            <w:r w:rsidRPr="00C106F1">
              <w:rPr>
                <w:b/>
                <w:bCs/>
                <w:szCs w:val="20"/>
                <w:lang w:val="en-US"/>
              </w:rPr>
              <w:t>of</w:t>
            </w:r>
            <w:proofErr w:type="gramEnd"/>
            <w:r w:rsidRPr="00C106F1">
              <w:rPr>
                <w:b/>
                <w:bCs/>
                <w:szCs w:val="20"/>
                <w:lang w:val="en-US"/>
              </w:rPr>
              <w:t xml:space="preserve"> 4</w:t>
            </w:r>
            <w:r w:rsidRPr="00857CAC">
              <w:rPr>
                <w:b/>
                <w:bCs/>
                <w:szCs w:val="20"/>
                <w:vertAlign w:val="superscript"/>
                <w:lang w:val="en-US"/>
              </w:rPr>
              <w:t>th</w:t>
            </w:r>
            <w:r w:rsidRPr="00C106F1">
              <w:rPr>
                <w:b/>
                <w:bCs/>
                <w:szCs w:val="20"/>
                <w:lang w:val="en-US"/>
              </w:rPr>
              <w:t xml:space="preserve"> demerit</w:t>
            </w:r>
            <w:r w:rsidRPr="00857CAC" w:rsidDel="00F211A2">
              <w:rPr>
                <w:b/>
                <w:bCs/>
                <w:szCs w:val="20"/>
                <w:lang w:val="en-US"/>
              </w:rPr>
              <w:t xml:space="preserve"> </w:t>
            </w:r>
            <w:r>
              <w:rPr>
                <w:b/>
                <w:bCs/>
                <w:szCs w:val="20"/>
                <w:lang w:val="en-US"/>
              </w:rPr>
              <w:t>points</w:t>
            </w:r>
          </w:p>
        </w:tc>
      </w:tr>
      <w:tr w:rsidR="00D711F7" w:rsidRPr="00BB4352" w14:paraId="16E852C7" w14:textId="77777777" w:rsidTr="00857CAC">
        <w:trPr>
          <w:cnfStyle w:val="000000100000" w:firstRow="0" w:lastRow="0" w:firstColumn="0" w:lastColumn="0" w:oddVBand="0" w:evenVBand="0" w:oddHBand="1" w:evenHBand="0" w:firstRowFirstColumn="0" w:firstRowLastColumn="0" w:lastRowFirstColumn="0" w:lastRowLastColumn="0"/>
          <w:trHeight w:val="504"/>
        </w:trPr>
        <w:tc>
          <w:tcPr>
            <w:tcW w:w="1076" w:type="pct"/>
            <w:hideMark/>
          </w:tcPr>
          <w:p w14:paraId="42DC3B27" w14:textId="77777777" w:rsidR="00D711F7" w:rsidRPr="00BB4352" w:rsidRDefault="00D711F7" w:rsidP="00857CAC">
            <w:pPr>
              <w:spacing w:after="160"/>
              <w:rPr>
                <w:lang w:val="en-US"/>
              </w:rPr>
            </w:pPr>
            <w:r>
              <w:rPr>
                <w:lang w:val="en-US"/>
              </w:rPr>
              <w:t>TOTAL</w:t>
            </w:r>
          </w:p>
        </w:tc>
        <w:tc>
          <w:tcPr>
            <w:tcW w:w="0" w:type="pct"/>
            <w:hideMark/>
          </w:tcPr>
          <w:p w14:paraId="15D62D26" w14:textId="77777777" w:rsidR="00D711F7" w:rsidRPr="00BB4352" w:rsidRDefault="00D711F7" w:rsidP="00857CAC">
            <w:pPr>
              <w:spacing w:after="160"/>
              <w:rPr>
                <w:lang w:val="en-US"/>
              </w:rPr>
            </w:pPr>
            <w:r w:rsidRPr="00BB4352">
              <w:rPr>
                <w:lang w:val="en-US"/>
              </w:rPr>
              <w:t>852</w:t>
            </w:r>
            <w:r>
              <w:rPr>
                <w:lang w:val="en-US"/>
              </w:rPr>
              <w:t>,</w:t>
            </w:r>
            <w:r w:rsidRPr="00BB4352">
              <w:rPr>
                <w:lang w:val="en-US"/>
              </w:rPr>
              <w:t>847</w:t>
            </w:r>
          </w:p>
        </w:tc>
        <w:tc>
          <w:tcPr>
            <w:tcW w:w="819" w:type="pct"/>
            <w:hideMark/>
          </w:tcPr>
          <w:p w14:paraId="548EC672" w14:textId="77777777" w:rsidR="00D711F7" w:rsidRPr="00BB4352" w:rsidRDefault="00D711F7" w:rsidP="00857CAC">
            <w:pPr>
              <w:spacing w:after="160"/>
              <w:rPr>
                <w:lang w:val="en-US"/>
              </w:rPr>
            </w:pPr>
          </w:p>
        </w:tc>
        <w:tc>
          <w:tcPr>
            <w:tcW w:w="898" w:type="pct"/>
            <w:gridSpan w:val="2"/>
            <w:hideMark/>
          </w:tcPr>
          <w:p w14:paraId="045FF3BC" w14:textId="77777777" w:rsidR="00D711F7" w:rsidRPr="00BB4352" w:rsidRDefault="00D711F7" w:rsidP="00857CAC">
            <w:pPr>
              <w:spacing w:after="160"/>
              <w:rPr>
                <w:lang w:val="en-US"/>
              </w:rPr>
            </w:pPr>
          </w:p>
        </w:tc>
        <w:tc>
          <w:tcPr>
            <w:tcW w:w="686" w:type="pct"/>
            <w:hideMark/>
          </w:tcPr>
          <w:p w14:paraId="7016317C" w14:textId="77777777" w:rsidR="00D711F7" w:rsidRPr="00BB4352" w:rsidRDefault="00D711F7" w:rsidP="00857CAC">
            <w:pPr>
              <w:spacing w:after="160"/>
              <w:rPr>
                <w:lang w:val="en-US"/>
              </w:rPr>
            </w:pPr>
            <w:r w:rsidRPr="00BB4352">
              <w:rPr>
                <w:lang w:val="en-US"/>
              </w:rPr>
              <w:t>1172</w:t>
            </w:r>
          </w:p>
        </w:tc>
        <w:tc>
          <w:tcPr>
            <w:tcW w:w="736" w:type="pct"/>
            <w:hideMark/>
          </w:tcPr>
          <w:p w14:paraId="1E75591C" w14:textId="77777777" w:rsidR="00D711F7" w:rsidRPr="00BB4352" w:rsidRDefault="00D711F7" w:rsidP="00857CAC">
            <w:pPr>
              <w:spacing w:after="160"/>
              <w:rPr>
                <w:lang w:val="en-US"/>
              </w:rPr>
            </w:pPr>
          </w:p>
        </w:tc>
      </w:tr>
      <w:tr w:rsidR="00D711F7" w:rsidRPr="00BB4352" w14:paraId="2CACC28F" w14:textId="77777777" w:rsidTr="00857CAC">
        <w:trPr>
          <w:cnfStyle w:val="000000010000" w:firstRow="0" w:lastRow="0" w:firstColumn="0" w:lastColumn="0" w:oddVBand="0" w:evenVBand="0" w:oddHBand="0" w:evenHBand="1" w:firstRowFirstColumn="0" w:firstRowLastColumn="0" w:lastRowFirstColumn="0" w:lastRowLastColumn="0"/>
          <w:trHeight w:val="504"/>
        </w:trPr>
        <w:tc>
          <w:tcPr>
            <w:tcW w:w="1076" w:type="pct"/>
            <w:hideMark/>
          </w:tcPr>
          <w:p w14:paraId="69BC5A55" w14:textId="77777777" w:rsidR="00D711F7" w:rsidRPr="00BB4352" w:rsidRDefault="00D711F7" w:rsidP="00857CAC">
            <w:pPr>
              <w:spacing w:after="160"/>
              <w:rPr>
                <w:lang w:val="en-US"/>
              </w:rPr>
            </w:pPr>
            <w:r w:rsidRPr="00BB4352">
              <w:rPr>
                <w:lang w:val="en-US"/>
              </w:rPr>
              <w:t>INDIGENOUS</w:t>
            </w:r>
          </w:p>
        </w:tc>
        <w:tc>
          <w:tcPr>
            <w:tcW w:w="0" w:type="pct"/>
            <w:hideMark/>
          </w:tcPr>
          <w:p w14:paraId="79E25800" w14:textId="77777777" w:rsidR="00D711F7" w:rsidRPr="00BB4352" w:rsidRDefault="00D711F7" w:rsidP="00857CAC">
            <w:pPr>
              <w:spacing w:after="160"/>
              <w:rPr>
                <w:lang w:val="en-US"/>
              </w:rPr>
            </w:pPr>
            <w:r w:rsidRPr="00BB4352">
              <w:rPr>
                <w:lang w:val="en-US"/>
              </w:rPr>
              <w:t>76</w:t>
            </w:r>
            <w:r>
              <w:rPr>
                <w:lang w:val="en-US"/>
              </w:rPr>
              <w:t>,</w:t>
            </w:r>
            <w:r w:rsidRPr="00BB4352">
              <w:rPr>
                <w:lang w:val="en-US"/>
              </w:rPr>
              <w:t>430</w:t>
            </w:r>
          </w:p>
        </w:tc>
        <w:tc>
          <w:tcPr>
            <w:tcW w:w="819" w:type="pct"/>
            <w:hideMark/>
          </w:tcPr>
          <w:p w14:paraId="7B56F221" w14:textId="77777777" w:rsidR="00D711F7" w:rsidRPr="00BB4352" w:rsidRDefault="00D711F7" w:rsidP="00857CAC">
            <w:pPr>
              <w:spacing w:after="160"/>
              <w:rPr>
                <w:lang w:val="en-US"/>
              </w:rPr>
            </w:pPr>
            <w:r w:rsidRPr="00BB4352">
              <w:rPr>
                <w:lang w:val="en-US"/>
              </w:rPr>
              <w:t>9%</w:t>
            </w:r>
          </w:p>
        </w:tc>
        <w:tc>
          <w:tcPr>
            <w:tcW w:w="898" w:type="pct"/>
            <w:gridSpan w:val="2"/>
            <w:hideMark/>
          </w:tcPr>
          <w:p w14:paraId="5193DF30" w14:textId="77777777" w:rsidR="00D711F7" w:rsidRPr="00BB4352" w:rsidRDefault="00D711F7" w:rsidP="00857CAC">
            <w:pPr>
              <w:spacing w:after="160"/>
              <w:rPr>
                <w:lang w:val="en-US"/>
              </w:rPr>
            </w:pPr>
            <w:r w:rsidRPr="00BB4352">
              <w:rPr>
                <w:lang w:val="en-US"/>
              </w:rPr>
              <w:t>18%</w:t>
            </w:r>
          </w:p>
        </w:tc>
        <w:tc>
          <w:tcPr>
            <w:tcW w:w="686" w:type="pct"/>
            <w:hideMark/>
          </w:tcPr>
          <w:p w14:paraId="30E61060" w14:textId="77777777" w:rsidR="00D711F7" w:rsidRPr="00BB4352" w:rsidRDefault="00D711F7" w:rsidP="00857CAC">
            <w:pPr>
              <w:spacing w:after="160"/>
              <w:rPr>
                <w:lang w:val="en-US"/>
              </w:rPr>
            </w:pPr>
            <w:r w:rsidRPr="00BB4352">
              <w:rPr>
                <w:lang w:val="en-US"/>
              </w:rPr>
              <w:t>289</w:t>
            </w:r>
          </w:p>
        </w:tc>
        <w:tc>
          <w:tcPr>
            <w:tcW w:w="736" w:type="pct"/>
            <w:hideMark/>
          </w:tcPr>
          <w:p w14:paraId="050F07D9" w14:textId="77777777" w:rsidR="00D711F7" w:rsidRPr="00BB4352" w:rsidRDefault="00D711F7" w:rsidP="00857CAC">
            <w:pPr>
              <w:spacing w:after="160"/>
              <w:rPr>
                <w:lang w:val="en-US"/>
              </w:rPr>
            </w:pPr>
            <w:r w:rsidRPr="00BB4352">
              <w:rPr>
                <w:lang w:val="en-US"/>
              </w:rPr>
              <w:t>25%</w:t>
            </w:r>
          </w:p>
        </w:tc>
      </w:tr>
      <w:tr w:rsidR="00D711F7" w:rsidRPr="00BB4352" w14:paraId="3AE5AA07" w14:textId="77777777" w:rsidTr="00857CAC">
        <w:trPr>
          <w:cnfStyle w:val="000000100000" w:firstRow="0" w:lastRow="0" w:firstColumn="0" w:lastColumn="0" w:oddVBand="0" w:evenVBand="0" w:oddHBand="1" w:evenHBand="0" w:firstRowFirstColumn="0" w:firstRowLastColumn="0" w:lastRowFirstColumn="0" w:lastRowLastColumn="0"/>
          <w:trHeight w:val="504"/>
        </w:trPr>
        <w:tc>
          <w:tcPr>
            <w:tcW w:w="1076" w:type="pct"/>
            <w:hideMark/>
          </w:tcPr>
          <w:p w14:paraId="7AB0C0A9" w14:textId="77777777" w:rsidR="00D711F7" w:rsidRPr="00BB4352" w:rsidRDefault="00D711F7" w:rsidP="00857CAC">
            <w:pPr>
              <w:spacing w:after="160"/>
              <w:rPr>
                <w:lang w:val="en-US"/>
              </w:rPr>
            </w:pPr>
            <w:r w:rsidRPr="00BB4352">
              <w:rPr>
                <w:lang w:val="en-US"/>
              </w:rPr>
              <w:t>DISABILITY</w:t>
            </w:r>
          </w:p>
        </w:tc>
        <w:tc>
          <w:tcPr>
            <w:tcW w:w="0" w:type="pct"/>
            <w:hideMark/>
          </w:tcPr>
          <w:p w14:paraId="69DC15FE" w14:textId="77777777" w:rsidR="00D711F7" w:rsidRPr="00BB4352" w:rsidRDefault="00D711F7" w:rsidP="00857CAC">
            <w:pPr>
              <w:spacing w:after="160"/>
              <w:rPr>
                <w:lang w:val="en-US"/>
              </w:rPr>
            </w:pPr>
            <w:r w:rsidRPr="00BB4352">
              <w:rPr>
                <w:lang w:val="en-US"/>
              </w:rPr>
              <w:t>140</w:t>
            </w:r>
            <w:r>
              <w:rPr>
                <w:lang w:val="en-US"/>
              </w:rPr>
              <w:t>,</w:t>
            </w:r>
            <w:r w:rsidRPr="00BB4352">
              <w:rPr>
                <w:lang w:val="en-US"/>
              </w:rPr>
              <w:t>717</w:t>
            </w:r>
          </w:p>
        </w:tc>
        <w:tc>
          <w:tcPr>
            <w:tcW w:w="819" w:type="pct"/>
            <w:hideMark/>
          </w:tcPr>
          <w:p w14:paraId="3B44A231" w14:textId="77777777" w:rsidR="00D711F7" w:rsidRPr="00BB4352" w:rsidRDefault="00D711F7" w:rsidP="00857CAC">
            <w:pPr>
              <w:spacing w:after="160"/>
              <w:rPr>
                <w:lang w:val="en-US"/>
              </w:rPr>
            </w:pPr>
            <w:r w:rsidRPr="00BB4352">
              <w:rPr>
                <w:lang w:val="en-US"/>
              </w:rPr>
              <w:t>17%</w:t>
            </w:r>
          </w:p>
        </w:tc>
        <w:tc>
          <w:tcPr>
            <w:tcW w:w="898" w:type="pct"/>
            <w:gridSpan w:val="2"/>
            <w:hideMark/>
          </w:tcPr>
          <w:p w14:paraId="530F0160" w14:textId="77777777" w:rsidR="00D711F7" w:rsidRPr="00BB4352" w:rsidRDefault="00D711F7" w:rsidP="00857CAC">
            <w:pPr>
              <w:spacing w:after="160"/>
              <w:rPr>
                <w:lang w:val="en-US"/>
              </w:rPr>
            </w:pPr>
            <w:r w:rsidRPr="00BB4352">
              <w:rPr>
                <w:lang w:val="en-US"/>
              </w:rPr>
              <w:t>20%</w:t>
            </w:r>
          </w:p>
        </w:tc>
        <w:tc>
          <w:tcPr>
            <w:tcW w:w="686" w:type="pct"/>
            <w:hideMark/>
          </w:tcPr>
          <w:p w14:paraId="01B495F9" w14:textId="77777777" w:rsidR="00D711F7" w:rsidRPr="00BB4352" w:rsidRDefault="00D711F7" w:rsidP="00857CAC">
            <w:pPr>
              <w:spacing w:after="160"/>
              <w:rPr>
                <w:lang w:val="en-US"/>
              </w:rPr>
            </w:pPr>
            <w:r w:rsidRPr="00BB4352">
              <w:rPr>
                <w:lang w:val="en-US"/>
              </w:rPr>
              <w:t>275</w:t>
            </w:r>
          </w:p>
        </w:tc>
        <w:tc>
          <w:tcPr>
            <w:tcW w:w="736" w:type="pct"/>
            <w:hideMark/>
          </w:tcPr>
          <w:p w14:paraId="07EA199F" w14:textId="77777777" w:rsidR="00D711F7" w:rsidRPr="00BB4352" w:rsidRDefault="00D711F7" w:rsidP="00857CAC">
            <w:pPr>
              <w:spacing w:after="160"/>
              <w:rPr>
                <w:lang w:val="en-US"/>
              </w:rPr>
            </w:pPr>
            <w:r w:rsidRPr="00BB4352">
              <w:rPr>
                <w:lang w:val="en-US"/>
              </w:rPr>
              <w:t>23%</w:t>
            </w:r>
          </w:p>
        </w:tc>
      </w:tr>
      <w:tr w:rsidR="00D711F7" w:rsidRPr="00BB4352" w14:paraId="301A9992" w14:textId="77777777" w:rsidTr="00857CAC">
        <w:trPr>
          <w:cnfStyle w:val="000000010000" w:firstRow="0" w:lastRow="0" w:firstColumn="0" w:lastColumn="0" w:oddVBand="0" w:evenVBand="0" w:oddHBand="0" w:evenHBand="1" w:firstRowFirstColumn="0" w:firstRowLastColumn="0" w:lastRowFirstColumn="0" w:lastRowLastColumn="0"/>
          <w:trHeight w:val="504"/>
        </w:trPr>
        <w:tc>
          <w:tcPr>
            <w:tcW w:w="1076" w:type="pct"/>
            <w:hideMark/>
          </w:tcPr>
          <w:p w14:paraId="17B8A108" w14:textId="77777777" w:rsidR="00D711F7" w:rsidRPr="00BB4352" w:rsidRDefault="00D711F7" w:rsidP="00857CAC">
            <w:pPr>
              <w:spacing w:after="160"/>
              <w:rPr>
                <w:lang w:val="en-US"/>
              </w:rPr>
            </w:pPr>
            <w:r w:rsidRPr="00BB4352">
              <w:rPr>
                <w:lang w:val="en-US"/>
              </w:rPr>
              <w:t>HOMELESSNESS</w:t>
            </w:r>
          </w:p>
        </w:tc>
        <w:tc>
          <w:tcPr>
            <w:tcW w:w="0" w:type="pct"/>
            <w:hideMark/>
          </w:tcPr>
          <w:p w14:paraId="210679F0" w14:textId="77777777" w:rsidR="00D711F7" w:rsidRPr="00BB4352" w:rsidRDefault="00D711F7" w:rsidP="00857CAC">
            <w:pPr>
              <w:spacing w:after="160"/>
              <w:rPr>
                <w:lang w:val="en-US"/>
              </w:rPr>
            </w:pPr>
            <w:r w:rsidRPr="00BB4352">
              <w:rPr>
                <w:lang w:val="en-US"/>
              </w:rPr>
              <w:t>72</w:t>
            </w:r>
            <w:r>
              <w:rPr>
                <w:lang w:val="en-US"/>
              </w:rPr>
              <w:t>,</w:t>
            </w:r>
            <w:r w:rsidRPr="00BB4352">
              <w:rPr>
                <w:lang w:val="en-US"/>
              </w:rPr>
              <w:t>884</w:t>
            </w:r>
          </w:p>
        </w:tc>
        <w:tc>
          <w:tcPr>
            <w:tcW w:w="819" w:type="pct"/>
            <w:hideMark/>
          </w:tcPr>
          <w:p w14:paraId="1080B159" w14:textId="77777777" w:rsidR="00D711F7" w:rsidRPr="00BB4352" w:rsidRDefault="00D711F7" w:rsidP="00857CAC">
            <w:pPr>
              <w:spacing w:after="160"/>
              <w:rPr>
                <w:lang w:val="en-US"/>
              </w:rPr>
            </w:pPr>
            <w:r w:rsidRPr="00BB4352">
              <w:rPr>
                <w:lang w:val="en-US"/>
              </w:rPr>
              <w:t>9%</w:t>
            </w:r>
          </w:p>
        </w:tc>
        <w:tc>
          <w:tcPr>
            <w:tcW w:w="898" w:type="pct"/>
            <w:gridSpan w:val="2"/>
            <w:hideMark/>
          </w:tcPr>
          <w:p w14:paraId="34206FE9" w14:textId="77777777" w:rsidR="00D711F7" w:rsidRPr="00BB4352" w:rsidRDefault="00D711F7" w:rsidP="00857CAC">
            <w:pPr>
              <w:spacing w:after="160"/>
              <w:rPr>
                <w:lang w:val="en-US"/>
              </w:rPr>
            </w:pPr>
            <w:r w:rsidRPr="00BB4352">
              <w:rPr>
                <w:lang w:val="en-US"/>
              </w:rPr>
              <w:t>14%</w:t>
            </w:r>
          </w:p>
        </w:tc>
        <w:tc>
          <w:tcPr>
            <w:tcW w:w="686" w:type="pct"/>
            <w:hideMark/>
          </w:tcPr>
          <w:p w14:paraId="5B72098C" w14:textId="77777777" w:rsidR="00D711F7" w:rsidRPr="00BB4352" w:rsidRDefault="00D711F7" w:rsidP="00857CAC">
            <w:pPr>
              <w:spacing w:after="160"/>
              <w:rPr>
                <w:lang w:val="en-US"/>
              </w:rPr>
            </w:pPr>
            <w:r w:rsidRPr="00BB4352">
              <w:rPr>
                <w:lang w:val="en-US"/>
              </w:rPr>
              <w:t>250</w:t>
            </w:r>
          </w:p>
        </w:tc>
        <w:tc>
          <w:tcPr>
            <w:tcW w:w="736" w:type="pct"/>
            <w:hideMark/>
          </w:tcPr>
          <w:p w14:paraId="40E519C6" w14:textId="77777777" w:rsidR="00D711F7" w:rsidRPr="00BB4352" w:rsidRDefault="00D711F7" w:rsidP="00857CAC">
            <w:pPr>
              <w:spacing w:after="160"/>
              <w:rPr>
                <w:lang w:val="en-US"/>
              </w:rPr>
            </w:pPr>
            <w:r w:rsidRPr="00BB4352">
              <w:rPr>
                <w:lang w:val="en-US"/>
              </w:rPr>
              <w:t>21%</w:t>
            </w:r>
          </w:p>
        </w:tc>
      </w:tr>
      <w:tr w:rsidR="00D711F7" w:rsidRPr="00BB4352" w14:paraId="4066DBCC" w14:textId="77777777" w:rsidTr="00857CAC">
        <w:trPr>
          <w:cnfStyle w:val="000000100000" w:firstRow="0" w:lastRow="0" w:firstColumn="0" w:lastColumn="0" w:oddVBand="0" w:evenVBand="0" w:oddHBand="1" w:evenHBand="0" w:firstRowFirstColumn="0" w:firstRowLastColumn="0" w:lastRowFirstColumn="0" w:lastRowLastColumn="0"/>
          <w:trHeight w:val="504"/>
        </w:trPr>
        <w:tc>
          <w:tcPr>
            <w:tcW w:w="1076" w:type="pct"/>
            <w:hideMark/>
          </w:tcPr>
          <w:p w14:paraId="07824B50" w14:textId="77777777" w:rsidR="00D711F7" w:rsidRPr="00BB4352" w:rsidRDefault="00D711F7" w:rsidP="00857CAC">
            <w:pPr>
              <w:spacing w:after="160"/>
              <w:rPr>
                <w:lang w:val="en-US"/>
              </w:rPr>
            </w:pPr>
            <w:r w:rsidRPr="00BB4352">
              <w:rPr>
                <w:lang w:val="en-US"/>
              </w:rPr>
              <w:t>C</w:t>
            </w:r>
            <w:r>
              <w:rPr>
                <w:lang w:val="en-US"/>
              </w:rPr>
              <w:t>ulturally and Linguistically Diverse</w:t>
            </w:r>
          </w:p>
        </w:tc>
        <w:tc>
          <w:tcPr>
            <w:tcW w:w="0" w:type="pct"/>
            <w:hideMark/>
          </w:tcPr>
          <w:p w14:paraId="2C8FE44D" w14:textId="77777777" w:rsidR="00D711F7" w:rsidRPr="00BB4352" w:rsidRDefault="00D711F7" w:rsidP="00857CAC">
            <w:pPr>
              <w:spacing w:after="160"/>
              <w:rPr>
                <w:lang w:val="en-US"/>
              </w:rPr>
            </w:pPr>
            <w:r w:rsidRPr="00BB4352">
              <w:rPr>
                <w:lang w:val="en-US"/>
              </w:rPr>
              <w:t>188</w:t>
            </w:r>
            <w:r>
              <w:rPr>
                <w:lang w:val="en-US"/>
              </w:rPr>
              <w:t>,</w:t>
            </w:r>
            <w:r w:rsidRPr="00BB4352">
              <w:rPr>
                <w:lang w:val="en-US"/>
              </w:rPr>
              <w:t>800</w:t>
            </w:r>
          </w:p>
        </w:tc>
        <w:tc>
          <w:tcPr>
            <w:tcW w:w="819" w:type="pct"/>
            <w:hideMark/>
          </w:tcPr>
          <w:p w14:paraId="27362635" w14:textId="77777777" w:rsidR="00D711F7" w:rsidRPr="00BB4352" w:rsidRDefault="00D711F7" w:rsidP="00857CAC">
            <w:pPr>
              <w:spacing w:after="160"/>
              <w:rPr>
                <w:lang w:val="en-US"/>
              </w:rPr>
            </w:pPr>
            <w:r w:rsidRPr="00BB4352">
              <w:rPr>
                <w:lang w:val="en-US"/>
              </w:rPr>
              <w:t>22%</w:t>
            </w:r>
          </w:p>
        </w:tc>
        <w:tc>
          <w:tcPr>
            <w:tcW w:w="898" w:type="pct"/>
            <w:gridSpan w:val="2"/>
            <w:hideMark/>
          </w:tcPr>
          <w:p w14:paraId="636476A0" w14:textId="77777777" w:rsidR="00D711F7" w:rsidRPr="00BB4352" w:rsidRDefault="00D711F7" w:rsidP="00857CAC">
            <w:pPr>
              <w:spacing w:after="160"/>
              <w:rPr>
                <w:lang w:val="en-US"/>
              </w:rPr>
            </w:pPr>
            <w:r w:rsidRPr="00BB4352">
              <w:rPr>
                <w:lang w:val="en-US"/>
              </w:rPr>
              <w:t>17%</w:t>
            </w:r>
          </w:p>
        </w:tc>
        <w:tc>
          <w:tcPr>
            <w:tcW w:w="686" w:type="pct"/>
            <w:hideMark/>
          </w:tcPr>
          <w:p w14:paraId="2027BAE2" w14:textId="77777777" w:rsidR="00D711F7" w:rsidRPr="00BB4352" w:rsidRDefault="00D711F7" w:rsidP="00857CAC">
            <w:pPr>
              <w:spacing w:after="160"/>
              <w:rPr>
                <w:lang w:val="en-US"/>
              </w:rPr>
            </w:pPr>
            <w:r w:rsidRPr="00BB4352">
              <w:rPr>
                <w:lang w:val="en-US"/>
              </w:rPr>
              <w:t>np</w:t>
            </w:r>
          </w:p>
        </w:tc>
        <w:tc>
          <w:tcPr>
            <w:tcW w:w="736" w:type="pct"/>
            <w:hideMark/>
          </w:tcPr>
          <w:p w14:paraId="2F393304" w14:textId="77777777" w:rsidR="00D711F7" w:rsidRPr="00BB4352" w:rsidRDefault="00D711F7" w:rsidP="00857CAC">
            <w:pPr>
              <w:spacing w:after="160"/>
              <w:rPr>
                <w:lang w:val="en-US"/>
              </w:rPr>
            </w:pPr>
          </w:p>
        </w:tc>
      </w:tr>
      <w:tr w:rsidR="00D711F7" w:rsidRPr="00BB4352" w14:paraId="3C33EEDB" w14:textId="77777777" w:rsidTr="00857CAC">
        <w:trPr>
          <w:cnfStyle w:val="000000010000" w:firstRow="0" w:lastRow="0" w:firstColumn="0" w:lastColumn="0" w:oddVBand="0" w:evenVBand="0" w:oddHBand="0" w:evenHBand="1" w:firstRowFirstColumn="0" w:firstRowLastColumn="0" w:lastRowFirstColumn="0" w:lastRowLastColumn="0"/>
          <w:trHeight w:val="504"/>
        </w:trPr>
        <w:tc>
          <w:tcPr>
            <w:tcW w:w="1076" w:type="pct"/>
            <w:hideMark/>
          </w:tcPr>
          <w:p w14:paraId="450AF58E" w14:textId="77777777" w:rsidR="00D711F7" w:rsidRPr="00BB4352" w:rsidRDefault="00D711F7" w:rsidP="00857CAC">
            <w:pPr>
              <w:spacing w:after="160"/>
              <w:rPr>
                <w:lang w:val="en-US"/>
              </w:rPr>
            </w:pPr>
            <w:r w:rsidRPr="00BB4352">
              <w:rPr>
                <w:lang w:val="en-US"/>
              </w:rPr>
              <w:t>EX-OFFENDERS</w:t>
            </w:r>
          </w:p>
        </w:tc>
        <w:tc>
          <w:tcPr>
            <w:tcW w:w="0" w:type="pct"/>
            <w:hideMark/>
          </w:tcPr>
          <w:p w14:paraId="507B1743" w14:textId="77777777" w:rsidR="00D711F7" w:rsidRPr="00BB4352" w:rsidRDefault="00D711F7" w:rsidP="00857CAC">
            <w:pPr>
              <w:spacing w:after="160"/>
              <w:rPr>
                <w:lang w:val="en-US"/>
              </w:rPr>
            </w:pPr>
            <w:r w:rsidRPr="00BB4352">
              <w:rPr>
                <w:lang w:val="en-US"/>
              </w:rPr>
              <w:t>84</w:t>
            </w:r>
            <w:r>
              <w:rPr>
                <w:lang w:val="en-US"/>
              </w:rPr>
              <w:t>,</w:t>
            </w:r>
            <w:r w:rsidRPr="00BB4352">
              <w:rPr>
                <w:lang w:val="en-US"/>
              </w:rPr>
              <w:t>748</w:t>
            </w:r>
          </w:p>
        </w:tc>
        <w:tc>
          <w:tcPr>
            <w:tcW w:w="819" w:type="pct"/>
            <w:hideMark/>
          </w:tcPr>
          <w:p w14:paraId="1D38348B" w14:textId="77777777" w:rsidR="00D711F7" w:rsidRPr="00BB4352" w:rsidRDefault="00D711F7" w:rsidP="00857CAC">
            <w:pPr>
              <w:spacing w:after="160"/>
              <w:rPr>
                <w:lang w:val="en-US"/>
              </w:rPr>
            </w:pPr>
            <w:r w:rsidRPr="00BB4352">
              <w:rPr>
                <w:lang w:val="en-US"/>
              </w:rPr>
              <w:t>10%</w:t>
            </w:r>
          </w:p>
        </w:tc>
        <w:tc>
          <w:tcPr>
            <w:tcW w:w="898" w:type="pct"/>
            <w:gridSpan w:val="2"/>
            <w:hideMark/>
          </w:tcPr>
          <w:p w14:paraId="10446BC0" w14:textId="77777777" w:rsidR="00D711F7" w:rsidRPr="00BB4352" w:rsidRDefault="00D711F7" w:rsidP="00857CAC">
            <w:pPr>
              <w:spacing w:after="160"/>
              <w:rPr>
                <w:lang w:val="en-US"/>
              </w:rPr>
            </w:pPr>
            <w:r w:rsidRPr="00BB4352">
              <w:rPr>
                <w:lang w:val="en-US"/>
              </w:rPr>
              <w:t>19%</w:t>
            </w:r>
          </w:p>
        </w:tc>
        <w:tc>
          <w:tcPr>
            <w:tcW w:w="686" w:type="pct"/>
            <w:hideMark/>
          </w:tcPr>
          <w:p w14:paraId="2BE66185" w14:textId="77777777" w:rsidR="00D711F7" w:rsidRPr="00BB4352" w:rsidRDefault="00D711F7" w:rsidP="00857CAC">
            <w:pPr>
              <w:spacing w:after="160"/>
              <w:rPr>
                <w:lang w:val="en-US"/>
              </w:rPr>
            </w:pPr>
            <w:r w:rsidRPr="00BB4352">
              <w:rPr>
                <w:lang w:val="en-US"/>
              </w:rPr>
              <w:t>355</w:t>
            </w:r>
          </w:p>
        </w:tc>
        <w:tc>
          <w:tcPr>
            <w:tcW w:w="736" w:type="pct"/>
            <w:hideMark/>
          </w:tcPr>
          <w:p w14:paraId="4037EAB5" w14:textId="77777777" w:rsidR="00D711F7" w:rsidRPr="00BB4352" w:rsidRDefault="00D711F7" w:rsidP="00857CAC">
            <w:pPr>
              <w:spacing w:after="160"/>
              <w:rPr>
                <w:lang w:val="en-US"/>
              </w:rPr>
            </w:pPr>
            <w:r w:rsidRPr="00BB4352">
              <w:rPr>
                <w:lang w:val="en-US"/>
              </w:rPr>
              <w:t>30%</w:t>
            </w:r>
          </w:p>
        </w:tc>
      </w:tr>
    </w:tbl>
    <w:p w14:paraId="2F5F1DE1" w14:textId="403CDB1B" w:rsidR="00D711F7" w:rsidRPr="00024309" w:rsidRDefault="00D711F7" w:rsidP="00BA3618">
      <w:pPr>
        <w:pStyle w:val="Footnote1"/>
      </w:pPr>
      <w:r w:rsidRPr="00024309">
        <w:t xml:space="preserve">Source: </w:t>
      </w:r>
      <w:r w:rsidR="00BA3618" w:rsidRPr="00857CAC">
        <w:t xml:space="preserve">Source: </w:t>
      </w:r>
      <w:r w:rsidR="00BA3618">
        <w:t>Response to Employment p</w:t>
      </w:r>
      <w:r w:rsidR="00BA3618" w:rsidRPr="00857CAC">
        <w:t>ortfolio question</w:t>
      </w:r>
      <w:r w:rsidR="00BA3618" w:rsidRPr="00024309">
        <w:t xml:space="preserve"> </w:t>
      </w:r>
      <w:r w:rsidRPr="00024309">
        <w:t>number: SQ21-000851 2021-22 Budget estimates, May 2021.</w:t>
      </w:r>
    </w:p>
    <w:p w14:paraId="0CCD384E" w14:textId="0690A2C3" w:rsidR="00DB632B" w:rsidRDefault="00DB632B" w:rsidP="00DB632B">
      <w:r>
        <w:t>The data available show that payment suspensions and payment cancellations disproportionately affect people who have been flagged by Services Australia as ‘vulnerable’.</w:t>
      </w:r>
    </w:p>
    <w:p w14:paraId="78DB55DD" w14:textId="57A8635E" w:rsidR="00DB632B" w:rsidRDefault="00D711F7" w:rsidP="00D711F7">
      <w:r>
        <w:t>The data on cancellations has</w:t>
      </w:r>
      <w:r w:rsidR="00DB632B">
        <w:t xml:space="preserve"> previously</w:t>
      </w:r>
      <w:r>
        <w:t xml:space="preserve"> been subjected to questions in the Senate where the Department of </w:t>
      </w:r>
      <w:r w:rsidR="00BA3618">
        <w:t xml:space="preserve">Education Skills and </w:t>
      </w:r>
      <w:r>
        <w:t xml:space="preserve">Employment’s officials </w:t>
      </w:r>
      <w:r w:rsidR="00BA3618">
        <w:t xml:space="preserve">indicated </w:t>
      </w:r>
      <w:r>
        <w:t xml:space="preserve">they </w:t>
      </w:r>
      <w:r w:rsidR="00BA3618">
        <w:t>we</w:t>
      </w:r>
      <w:r>
        <w:t xml:space="preserve">re unable to </w:t>
      </w:r>
      <w:r w:rsidR="00BA3618">
        <w:t xml:space="preserve">provide </w:t>
      </w:r>
      <w:r>
        <w:t xml:space="preserve">the reasons for payment cancellations. When asked for more information on their knowledge of what has been </w:t>
      </w:r>
      <w:r>
        <w:lastRenderedPageBreak/>
        <w:t>happening to those people identified as ‘vulnerable’ they noted the disproportionate impact of the cancellations and suspensions on these groups.</w:t>
      </w:r>
    </w:p>
    <w:p w14:paraId="117F056D" w14:textId="7CCB788C" w:rsidR="003B75A4" w:rsidRPr="00C271A3" w:rsidRDefault="003B75A4" w:rsidP="00BE129E">
      <w:pPr>
        <w:pStyle w:val="Summary"/>
      </w:pPr>
      <w:r w:rsidRPr="00C271A3">
        <w:t>Payment suspensions</w:t>
      </w:r>
      <w:r w:rsidR="00DB35BA">
        <w:t xml:space="preserve"> c</w:t>
      </w:r>
      <w:r w:rsidR="00BE129E">
        <w:t>ause</w:t>
      </w:r>
      <w:r w:rsidR="00DB35BA">
        <w:t xml:space="preserve"> anxiety and hardship</w:t>
      </w:r>
    </w:p>
    <w:p w14:paraId="18EF4670" w14:textId="48C42B8A" w:rsidR="00566AED" w:rsidRDefault="00DB632B" w:rsidP="00566AED">
      <w:r>
        <w:t xml:space="preserve">The excessive number of payment suspensions shows that unrealistic job search targets are harming people looking for </w:t>
      </w:r>
      <w:r w:rsidR="00CB07DE">
        <w:t xml:space="preserve">paid </w:t>
      </w:r>
      <w:r>
        <w:t xml:space="preserve">work in the middle of the pandemic. </w:t>
      </w:r>
      <w:r w:rsidR="00566AED">
        <w:t>In many cases, people have not met a requirement for reasons beyond their control such as provider error, a poor internet connection, a disability or caring responsibilities, or a lack of sufficient jobs in their locality.</w:t>
      </w:r>
    </w:p>
    <w:p w14:paraId="28149E7F" w14:textId="77777777" w:rsidR="00566AED" w:rsidRDefault="00566AED" w:rsidP="00566AED">
      <w:r>
        <w:t>Threat of payment suspensions causes a great deal of needless anxiety, and many payments are delayed. In many cases the person is not at fault (for example their employment service provider did not properly notify of them of a rescheduled meeting).</w:t>
      </w:r>
    </w:p>
    <w:p w14:paraId="3FE99323" w14:textId="495E9680" w:rsidR="00DB632B" w:rsidRDefault="00DB632B" w:rsidP="003B75A4">
      <w:r>
        <w:t xml:space="preserve">At a recent ACOSS forum on mutual obligation, participants produced the </w:t>
      </w:r>
      <w:r w:rsidR="00D631F2">
        <w:t>word cloud</w:t>
      </w:r>
      <w:r>
        <w:t xml:space="preserve"> in Figure 4 to show how payment suspensions affected them.</w:t>
      </w:r>
    </w:p>
    <w:p w14:paraId="4CC08298" w14:textId="77777777" w:rsidR="00061CAE" w:rsidRDefault="00061CAE" w:rsidP="003B75A4"/>
    <w:p w14:paraId="0E1CCCB5" w14:textId="7FD4D338" w:rsidR="00DB632B" w:rsidRPr="00C271A3" w:rsidRDefault="00DB632B" w:rsidP="003B75A4">
      <w:pPr>
        <w:rPr>
          <w:b/>
          <w:bCs/>
        </w:rPr>
      </w:pPr>
      <w:r w:rsidRPr="00C271A3">
        <w:rPr>
          <w:b/>
          <w:bCs/>
        </w:rPr>
        <w:t xml:space="preserve">Figure 4: </w:t>
      </w:r>
      <w:r w:rsidR="00D631F2" w:rsidRPr="00C271A3">
        <w:rPr>
          <w:b/>
          <w:bCs/>
        </w:rPr>
        <w:t>Word cloud</w:t>
      </w:r>
      <w:r w:rsidRPr="00C271A3">
        <w:rPr>
          <w:b/>
          <w:bCs/>
        </w:rPr>
        <w:t xml:space="preserve"> from ACOSS Mutual obligation forum</w:t>
      </w:r>
    </w:p>
    <w:p w14:paraId="62C0206D" w14:textId="7FA8D700" w:rsidR="00DB632B" w:rsidRDefault="00DB632B" w:rsidP="003B75A4">
      <w:r>
        <w:rPr>
          <w:noProof/>
          <w:lang w:eastAsia="en-AU"/>
        </w:rPr>
        <w:drawing>
          <wp:inline distT="0" distB="0" distL="0" distR="0" wp14:anchorId="0B4D204D" wp14:editId="6BE72398">
            <wp:extent cx="5732145" cy="3283462"/>
            <wp:effectExtent l="0" t="0" r="1905" b="0"/>
            <wp:docPr id="2004248656" name="Picture 200424865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248656" name="Picture 2004248656" descr="Tex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732145" cy="3283462"/>
                    </a:xfrm>
                    <a:prstGeom prst="rect">
                      <a:avLst/>
                    </a:prstGeom>
                  </pic:spPr>
                </pic:pic>
              </a:graphicData>
            </a:graphic>
          </wp:inline>
        </w:drawing>
      </w:r>
    </w:p>
    <w:p w14:paraId="0D37C320" w14:textId="77777777" w:rsidR="00BA3618" w:rsidRDefault="00BA3618" w:rsidP="003B75A4">
      <w:pPr>
        <w:rPr>
          <w:b/>
          <w:bCs/>
        </w:rPr>
      </w:pPr>
    </w:p>
    <w:p w14:paraId="1B08492F" w14:textId="02E45905" w:rsidR="003B75A4" w:rsidRPr="00C271A3" w:rsidRDefault="003B75A4" w:rsidP="00BE129E">
      <w:pPr>
        <w:pStyle w:val="Summary"/>
      </w:pPr>
      <w:r w:rsidRPr="00C271A3">
        <w:t>Activity requirements</w:t>
      </w:r>
      <w:r w:rsidR="00DB35BA">
        <w:t xml:space="preserve"> are unreasonable and unrealistic</w:t>
      </w:r>
    </w:p>
    <w:p w14:paraId="3A7221EF" w14:textId="1B85BBC1" w:rsidR="00DD56F7" w:rsidRDefault="00DD56F7" w:rsidP="00DD56F7">
      <w:r>
        <w:t xml:space="preserve">People receiving income support while they are </w:t>
      </w:r>
      <w:r w:rsidR="00BA3618">
        <w:t>searching for employment</w:t>
      </w:r>
      <w:r>
        <w:t xml:space="preserve"> are required to sign a job plan and given requirements to undertake activities the Government considers are appropriate to helping them get a job. These are generally activities like attending appointments with a provider, </w:t>
      </w:r>
      <w:r w:rsidR="00BA3618">
        <w:t>attending</w:t>
      </w:r>
      <w:r>
        <w:t xml:space="preserve"> </w:t>
      </w:r>
      <w:r w:rsidR="00BA3618">
        <w:t>W</w:t>
      </w:r>
      <w:r>
        <w:t xml:space="preserve">ork for the </w:t>
      </w:r>
      <w:r w:rsidR="00BA3618">
        <w:t>D</w:t>
      </w:r>
      <w:r>
        <w:t xml:space="preserve">ole or training, and meeting a </w:t>
      </w:r>
      <w:r w:rsidR="00BA3618">
        <w:t xml:space="preserve">monthly </w:t>
      </w:r>
      <w:r>
        <w:t>target for job applications.</w:t>
      </w:r>
    </w:p>
    <w:p w14:paraId="478CA50A" w14:textId="6001E3A8" w:rsidR="00DD56F7" w:rsidRDefault="00DD56F7" w:rsidP="00DD56F7">
      <w:r>
        <w:lastRenderedPageBreak/>
        <w:t>These job search requirements are problematic because the target number of applications, which is usually 20 per month, is unrealistically high for most people on income support payments.</w:t>
      </w:r>
    </w:p>
    <w:p w14:paraId="09447EF3" w14:textId="73292493" w:rsidR="001873A9" w:rsidRDefault="00DB35BA" w:rsidP="00DD56F7">
      <w:r>
        <w:t xml:space="preserve">This default requirement can be reduced by employment service providers where the person has caring responsibilities or a </w:t>
      </w:r>
      <w:r w:rsidR="00D631F2">
        <w:t>disability or</w:t>
      </w:r>
      <w:r>
        <w:t xml:space="preserve"> lives in an area where there are few job vacancies. However, this discretion is not exercised in </w:t>
      </w:r>
      <w:r w:rsidR="002755BD">
        <w:t>a</w:t>
      </w:r>
      <w:r>
        <w:t xml:space="preserve"> consistent way. All too often, the default requirement to apply for 20 jobs applies.</w:t>
      </w:r>
    </w:p>
    <w:p w14:paraId="72849363" w14:textId="0C6D226D" w:rsidR="00DB35BA" w:rsidRPr="00C271A3" w:rsidRDefault="00DB35BA" w:rsidP="00BE129E">
      <w:pPr>
        <w:pStyle w:val="Summary"/>
      </w:pPr>
      <w:r w:rsidRPr="00C271A3">
        <w:t xml:space="preserve">Job search requirements were eased in the pandemic last year, but the default requirement to </w:t>
      </w:r>
      <w:r w:rsidR="001873A9">
        <w:t>app</w:t>
      </w:r>
      <w:r w:rsidRPr="00C271A3">
        <w:t xml:space="preserve">ly for 20 jobs a month has </w:t>
      </w:r>
      <w:r>
        <w:t xml:space="preserve">now </w:t>
      </w:r>
      <w:r w:rsidRPr="00C271A3">
        <w:t>been restored</w:t>
      </w:r>
      <w:r w:rsidR="002F3DD8">
        <w:t>.</w:t>
      </w:r>
    </w:p>
    <w:p w14:paraId="3BCC2C87" w14:textId="77777777" w:rsidR="00BE129E" w:rsidRDefault="00DD56F7" w:rsidP="00DD56F7">
      <w:r>
        <w:t xml:space="preserve">In recognition that it was not realistic to make people apply for jobs </w:t>
      </w:r>
      <w:r w:rsidR="00BA3618">
        <w:t>under lockdown conditions, these requirements were suspended during lockdowns. From September 2020, as lockdowns were eased</w:t>
      </w:r>
      <w:r>
        <w:t xml:space="preserve">, </w:t>
      </w:r>
      <w:r w:rsidR="00DB35BA">
        <w:t>t</w:t>
      </w:r>
      <w:r>
        <w:t xml:space="preserve">he </w:t>
      </w:r>
      <w:r w:rsidR="00BA3618">
        <w:t>g</w:t>
      </w:r>
      <w:r>
        <w:t xml:space="preserve">overnment </w:t>
      </w:r>
      <w:r w:rsidR="00BA3618">
        <w:t xml:space="preserve">gradually reintroduced </w:t>
      </w:r>
      <w:r>
        <w:t>job search requirements</w:t>
      </w:r>
      <w:r w:rsidR="00DB35BA">
        <w:t xml:space="preserve"> to 4 a month, then 10 a month</w:t>
      </w:r>
      <w:r>
        <w:t xml:space="preserve">. </w:t>
      </w:r>
    </w:p>
    <w:p w14:paraId="780F49EB" w14:textId="24DC8AF9" w:rsidR="00BA3618" w:rsidRDefault="00DB35BA" w:rsidP="00DD56F7">
      <w:r>
        <w:t>This</w:t>
      </w:r>
      <w:r w:rsidR="00DD56F7">
        <w:t xml:space="preserve"> year, th</w:t>
      </w:r>
      <w:r>
        <w:t>e required</w:t>
      </w:r>
      <w:r w:rsidR="00DD56F7">
        <w:t xml:space="preserve"> number has increased again, </w:t>
      </w:r>
      <w:r>
        <w:t>to 15 and then 20</w:t>
      </w:r>
      <w:r w:rsidR="00DD56F7">
        <w:t xml:space="preserve"> </w:t>
      </w:r>
      <w:r>
        <w:t xml:space="preserve">applications </w:t>
      </w:r>
      <w:r w:rsidR="00DD56F7">
        <w:t xml:space="preserve">per month. </w:t>
      </w:r>
      <w:bookmarkStart w:id="1" w:name="_Hlk83819280"/>
    </w:p>
    <w:p w14:paraId="6C3837CC" w14:textId="24F8CE4E" w:rsidR="003A5AF1" w:rsidRDefault="003A5AF1" w:rsidP="00BE129E">
      <w:pPr>
        <w:pStyle w:val="Summary"/>
      </w:pPr>
      <w:r>
        <w:t>Job search requirements were tightened in March 2021</w:t>
      </w:r>
    </w:p>
    <w:p w14:paraId="336F3CFD" w14:textId="53C5E0A3" w:rsidR="003A5AF1" w:rsidRDefault="003A5AF1" w:rsidP="003A5AF1">
      <w:r>
        <w:t xml:space="preserve">The government announced in March 2021 tighter job search rules, </w:t>
      </w:r>
      <w:r w:rsidR="002755BD">
        <w:t>to enforce an existing rule</w:t>
      </w:r>
      <w:r>
        <w:t xml:space="preserve"> that people must search for jobs at a variety of skill levels using a variety of methods</w:t>
      </w:r>
      <w:r w:rsidR="00BE129E">
        <w:t>.</w:t>
      </w:r>
      <w:r w:rsidR="002755BD" w:rsidRPr="00BE129E">
        <w:rPr>
          <w:rStyle w:val="FootnoteReference"/>
          <w:vertAlign w:val="superscript"/>
        </w:rPr>
        <w:footnoteReference w:id="3"/>
      </w:r>
      <w:r>
        <w:t xml:space="preserve"> This new rule is very difficult to enforce fairly and consistently, and it increases the time </w:t>
      </w:r>
      <w:r w:rsidR="00D631F2">
        <w:t>p</w:t>
      </w:r>
      <w:r>
        <w:t xml:space="preserve">eople </w:t>
      </w:r>
      <w:r w:rsidR="00D631F2">
        <w:t>can</w:t>
      </w:r>
      <w:r>
        <w:t xml:space="preserve"> devote to searching for the relevant number of jobs. At the least, the default requirement of 20 applications should have been reduced when this rule was </w:t>
      </w:r>
      <w:r w:rsidR="00BE129E">
        <w:t>introduced</w:t>
      </w:r>
      <w:r>
        <w:t>.</w:t>
      </w:r>
    </w:p>
    <w:p w14:paraId="0E399CA1" w14:textId="77777777" w:rsidR="00363545" w:rsidRDefault="00363545" w:rsidP="00363545">
      <w:r>
        <w:t>In addition, it announced that:</w:t>
      </w:r>
    </w:p>
    <w:p w14:paraId="533A9768" w14:textId="77777777" w:rsidR="00363545" w:rsidRDefault="00363545" w:rsidP="00363545">
      <w:r>
        <w:t>•</w:t>
      </w:r>
      <w:r>
        <w:tab/>
        <w:t>Employment service providers will be audited regularly to ensure they check compliance with job search requirements</w:t>
      </w:r>
    </w:p>
    <w:p w14:paraId="09CF53F4" w14:textId="77777777" w:rsidR="00363545" w:rsidRDefault="00363545" w:rsidP="00363545">
      <w:r>
        <w:t>•</w:t>
      </w:r>
      <w:r>
        <w:tab/>
        <w:t>A ‘dob-in’ line would be established for employers to report when they believe a person has not met the job search requirements.</w:t>
      </w:r>
    </w:p>
    <w:bookmarkEnd w:id="1"/>
    <w:p w14:paraId="4A686F74" w14:textId="18E080A9" w:rsidR="00363545" w:rsidRDefault="00363545" w:rsidP="00295CC5">
      <w:pPr>
        <w:keepNext/>
        <w:spacing w:before="240"/>
      </w:pPr>
    </w:p>
    <w:sectPr w:rsidR="00363545" w:rsidSect="00062B49">
      <w:headerReference w:type="default" r:id="rId19"/>
      <w:footerReference w:type="default" r:id="rId20"/>
      <w:headerReference w:type="first" r:id="rId21"/>
      <w:footerReference w:type="first" r:id="rId22"/>
      <w:pgSz w:w="11907" w:h="16839" w:code="9"/>
      <w:pgMar w:top="1843" w:right="1440" w:bottom="1440" w:left="1440" w:header="68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52DAF" w14:textId="77777777" w:rsidR="00064BAA" w:rsidRDefault="00064BAA" w:rsidP="00261645">
      <w:r>
        <w:separator/>
      </w:r>
    </w:p>
  </w:endnote>
  <w:endnote w:type="continuationSeparator" w:id="0">
    <w:p w14:paraId="5A7EBD50" w14:textId="77777777" w:rsidR="00064BAA" w:rsidRDefault="00064BAA" w:rsidP="00261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EastAsia" w:hAnsiTheme="minorHAnsi" w:cs="Times New Roman"/>
      </w:rPr>
      <w:id w:val="1409814203"/>
      <w:docPartObj>
        <w:docPartGallery w:val="Page Numbers (Bottom of Page)"/>
        <w:docPartUnique/>
      </w:docPartObj>
    </w:sdtPr>
    <w:sdtEndPr>
      <w:rPr>
        <w:rFonts w:ascii="Palatino Linotype" w:eastAsiaTheme="majorEastAsia" w:hAnsi="Palatino Linotype" w:cstheme="majorBidi"/>
        <w:sz w:val="40"/>
        <w:szCs w:val="40"/>
      </w:rPr>
    </w:sdtEndPr>
    <w:sdtContent>
      <w:p w14:paraId="46F00F3F" w14:textId="754DCB8E" w:rsidR="001A39D3" w:rsidRPr="009064BC" w:rsidRDefault="00DD56F7" w:rsidP="00DD56F7">
        <w:pPr>
          <w:pStyle w:val="Heading3"/>
          <w:rPr>
            <w:sz w:val="40"/>
            <w:szCs w:val="40"/>
          </w:rPr>
        </w:pPr>
        <w:r>
          <w:rPr>
            <w:rFonts w:asciiTheme="minorHAnsi" w:eastAsiaTheme="minorEastAsia" w:hAnsiTheme="minorHAnsi" w:cs="Times New Roman"/>
          </w:rPr>
          <w:t xml:space="preserve">Job searching </w:t>
        </w:r>
        <w:r>
          <w:t>after lockdown 2021</w:t>
        </w:r>
        <w:r>
          <w:tab/>
        </w:r>
        <w:r>
          <w:tab/>
        </w:r>
        <w:r>
          <w:tab/>
        </w:r>
        <w:r w:rsidR="001A39D3" w:rsidRPr="00C10CA9">
          <w:rPr>
            <w:rFonts w:eastAsiaTheme="minorEastAsia" w:cs="Times New Roman"/>
          </w:rPr>
          <w:fldChar w:fldCharType="begin"/>
        </w:r>
        <w:r w:rsidR="001A39D3" w:rsidRPr="00C10CA9">
          <w:instrText xml:space="preserve"> PAGE   \* MERGEFORMAT </w:instrText>
        </w:r>
        <w:r w:rsidR="001A39D3" w:rsidRPr="00C10CA9">
          <w:rPr>
            <w:rFonts w:eastAsiaTheme="minorEastAsia" w:cs="Times New Roman"/>
          </w:rPr>
          <w:fldChar w:fldCharType="separate"/>
        </w:r>
        <w:r w:rsidR="00862279">
          <w:rPr>
            <w:noProof/>
          </w:rPr>
          <w:t>6</w:t>
        </w:r>
        <w:r w:rsidR="001A39D3" w:rsidRPr="00C10CA9">
          <w:fldChar w:fldCharType="end"/>
        </w:r>
      </w:p>
    </w:sdtContent>
  </w:sdt>
  <w:p w14:paraId="0285CD8A" w14:textId="77777777" w:rsidR="001A39D3" w:rsidRPr="00B16A1F" w:rsidRDefault="001A39D3" w:rsidP="00C10CA9">
    <w:pPr>
      <w:pStyle w:val="Footer"/>
      <w:tabs>
        <w:tab w:val="clear" w:pos="4680"/>
        <w:tab w:val="clear" w:pos="9360"/>
        <w:tab w:val="left" w:pos="3277"/>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E04B3" w14:textId="77777777" w:rsidR="001A39D3" w:rsidRPr="004032F1" w:rsidRDefault="001A39D3" w:rsidP="00A04ECE">
    <w:pPr>
      <w:pStyle w:val="Footer"/>
      <w:jc w:val="center"/>
      <w:rPr>
        <w:sz w:val="18"/>
        <w:szCs w:val="18"/>
      </w:rPr>
    </w:pPr>
    <w:r w:rsidRPr="004032F1">
      <w:rPr>
        <w:sz w:val="18"/>
        <w:szCs w:val="18"/>
      </w:rPr>
      <w:t>© ACOSS 2020, Locked Bag 4777 Strawberry Hills NSW 2012</w:t>
    </w:r>
    <w:r w:rsidRPr="004032F1">
      <w:rPr>
        <w:sz w:val="18"/>
        <w:szCs w:val="18"/>
      </w:rPr>
      <w:br/>
      <w:t xml:space="preserve">Ph (02) 9310 6200 E: </w:t>
    </w:r>
    <w:hyperlink r:id="rId1" w:history="1">
      <w:r w:rsidRPr="004032F1">
        <w:rPr>
          <w:rStyle w:val="Hyperlink"/>
          <w:b/>
          <w:sz w:val="18"/>
          <w:szCs w:val="18"/>
        </w:rPr>
        <w:t>info@acoss.org.au</w:t>
      </w:r>
    </w:hyperlink>
    <w:r w:rsidRPr="004032F1">
      <w:rPr>
        <w:sz w:val="18"/>
        <w:szCs w:val="18"/>
      </w:rPr>
      <w:br/>
    </w:r>
    <w:hyperlink r:id="rId2" w:history="1">
      <w:r w:rsidRPr="004032F1">
        <w:rPr>
          <w:rStyle w:val="Hyperlink"/>
          <w:b/>
          <w:sz w:val="18"/>
          <w:szCs w:val="18"/>
        </w:rPr>
        <w:t>www.acoss.org.au</w:t>
      </w:r>
    </w:hyperlink>
  </w:p>
  <w:p w14:paraId="03A753E6" w14:textId="77777777" w:rsidR="001A39D3" w:rsidRPr="001A479C" w:rsidRDefault="001A39D3" w:rsidP="00A04ECE">
    <w:pPr>
      <w:pStyle w:val="Footer"/>
      <w:spacing w:before="0" w:after="0"/>
      <w:ind w:left="0" w:right="-45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F694B" w14:textId="77777777" w:rsidR="00064BAA" w:rsidRDefault="00064BAA" w:rsidP="00261645">
      <w:r>
        <w:separator/>
      </w:r>
    </w:p>
  </w:footnote>
  <w:footnote w:type="continuationSeparator" w:id="0">
    <w:p w14:paraId="37CFA23D" w14:textId="77777777" w:rsidR="00064BAA" w:rsidRDefault="00064BAA" w:rsidP="00261645">
      <w:r>
        <w:continuationSeparator/>
      </w:r>
    </w:p>
  </w:footnote>
  <w:footnote w:id="1">
    <w:p w14:paraId="621B6CCF" w14:textId="653C8A79" w:rsidR="00B9346C" w:rsidRPr="00857CAC" w:rsidRDefault="00B9346C" w:rsidP="00566AED">
      <w:pPr>
        <w:pStyle w:val="Footnote1"/>
        <w:rPr>
          <w:lang w:val="en-US"/>
        </w:rPr>
      </w:pPr>
      <w:r>
        <w:rPr>
          <w:rStyle w:val="FootnoteReference"/>
        </w:rPr>
        <w:footnoteRef/>
      </w:r>
      <w:r>
        <w:t xml:space="preserve"> Payment suspensions last an average of 4.3 days, but can go for longer, and after 28 days result in outright payment cancellations.</w:t>
      </w:r>
    </w:p>
  </w:footnote>
  <w:footnote w:id="2">
    <w:p w14:paraId="45D07BA4" w14:textId="0D7A69F9" w:rsidR="00566AED" w:rsidRPr="00566AED" w:rsidRDefault="00566AED" w:rsidP="00566AED">
      <w:pPr>
        <w:pStyle w:val="Footnote1"/>
      </w:pPr>
      <w:r>
        <w:rPr>
          <w:rStyle w:val="FootnoteReference"/>
        </w:rPr>
        <w:footnoteRef/>
      </w:r>
      <w:r>
        <w:t xml:space="preserve"> S</w:t>
      </w:r>
      <w:r w:rsidRPr="00857CAC">
        <w:t xml:space="preserve">ource: </w:t>
      </w:r>
      <w:r>
        <w:t>Response to Employment p</w:t>
      </w:r>
      <w:r w:rsidRPr="00857CAC">
        <w:t xml:space="preserve">ortfolio question number: SQ21-000851 </w:t>
      </w:r>
      <w:r>
        <w:t xml:space="preserve">Senate </w:t>
      </w:r>
      <w:r w:rsidRPr="00857CAC">
        <w:t>2021-22 Budget estimates, May 2021.</w:t>
      </w:r>
    </w:p>
  </w:footnote>
  <w:footnote w:id="3">
    <w:p w14:paraId="01C357AC" w14:textId="1027D620" w:rsidR="002755BD" w:rsidRPr="00C271A3" w:rsidRDefault="002755BD">
      <w:pPr>
        <w:pStyle w:val="FootnoteText"/>
        <w:rPr>
          <w:lang w:val="en-US"/>
        </w:rPr>
      </w:pPr>
      <w:r>
        <w:rPr>
          <w:rStyle w:val="FootnoteReference"/>
        </w:rPr>
        <w:footnoteRef/>
      </w:r>
      <w:r>
        <w:t xml:space="preserve"> </w:t>
      </w:r>
      <w:r w:rsidRPr="002755BD">
        <w:t>Social Security (Administration) (Job Search Efforts) Determination 2018</w:t>
      </w:r>
      <w:r>
        <w:t xml:space="preserve"> </w:t>
      </w:r>
      <w:hyperlink r:id="rId1" w:history="1">
        <w:r w:rsidRPr="00925710">
          <w:rPr>
            <w:rStyle w:val="Hyperlink"/>
          </w:rPr>
          <w:t>https://www.legislation.gov.au/Series/F2018L00776</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5913F" w14:textId="0B668472" w:rsidR="001A39D3" w:rsidRDefault="00DA0DCE" w:rsidP="001804FE">
    <w:pPr>
      <w:pStyle w:val="Header"/>
      <w:tabs>
        <w:tab w:val="clear" w:pos="4680"/>
        <w:tab w:val="clear" w:pos="9360"/>
        <w:tab w:val="right" w:pos="9027"/>
      </w:tabs>
    </w:pPr>
    <w:sdt>
      <w:sdtPr>
        <w:id w:val="-303629288"/>
        <w:docPartObj>
          <w:docPartGallery w:val="Watermarks"/>
          <w:docPartUnique/>
        </w:docPartObj>
      </w:sdtPr>
      <w:sdtEndPr/>
      <w:sdtContent>
        <w:r>
          <w:rPr>
            <w:noProof/>
          </w:rPr>
          <w:pict w14:anchorId="7D3B8A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left:0;text-align:left;margin-left:0;margin-top:0;width:527.85pt;height:131.95pt;rotation:315;z-index:-251657728;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r w:rsidR="001A39D3">
      <w:rPr>
        <w:noProof/>
        <w:lang w:eastAsia="en-AU"/>
      </w:rPr>
      <w:drawing>
        <wp:anchor distT="0" distB="0" distL="114300" distR="114300" simplePos="0" relativeHeight="251656704" behindDoc="1" locked="0" layoutInCell="1" allowOverlap="1" wp14:anchorId="3F19AA05" wp14:editId="569C603A">
          <wp:simplePos x="0" y="0"/>
          <wp:positionH relativeFrom="rightMargin">
            <wp:align>left</wp:align>
          </wp:positionH>
          <wp:positionV relativeFrom="page">
            <wp:align>top</wp:align>
          </wp:positionV>
          <wp:extent cx="908343" cy="908343"/>
          <wp:effectExtent l="0" t="0" r="0" b="0"/>
          <wp:wrapNone/>
          <wp:docPr id="2" name="Picture 2" descr="Decorative Logo in Heading&#10;" title="ACOSS Head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Communications\Design\DesignElements\Logo\png\ACOSS_Logo-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343" cy="9083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39D3">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81CD9" w14:textId="77777777" w:rsidR="001A39D3" w:rsidRPr="00A04ECE" w:rsidRDefault="001A39D3" w:rsidP="00A04ECE">
    <w:pPr>
      <w:pStyle w:val="Header"/>
      <w:jc w:val="right"/>
    </w:pPr>
    <w:r>
      <w:rPr>
        <w:noProof/>
        <w:lang w:eastAsia="en-AU"/>
      </w:rPr>
      <w:drawing>
        <wp:anchor distT="0" distB="0" distL="114300" distR="114300" simplePos="0" relativeHeight="251657728" behindDoc="0" locked="0" layoutInCell="1" allowOverlap="1" wp14:anchorId="482465D0" wp14:editId="7169C152">
          <wp:simplePos x="0" y="0"/>
          <wp:positionH relativeFrom="column">
            <wp:posOffset>2881630</wp:posOffset>
          </wp:positionH>
          <wp:positionV relativeFrom="paragraph">
            <wp:posOffset>-190500</wp:posOffset>
          </wp:positionV>
          <wp:extent cx="3194050" cy="798513"/>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ort Document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94050" cy="79851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AFA6F70"/>
    <w:lvl w:ilvl="0">
      <w:start w:val="1"/>
      <w:numFmt w:val="decimal"/>
      <w:pStyle w:val="ListNumber"/>
      <w:lvlText w:val="%1."/>
      <w:lvlJc w:val="left"/>
      <w:pPr>
        <w:tabs>
          <w:tab w:val="num" w:pos="502"/>
        </w:tabs>
        <w:ind w:left="502" w:hanging="360"/>
      </w:pPr>
    </w:lvl>
  </w:abstractNum>
  <w:abstractNum w:abstractNumId="1" w15:restartNumberingAfterBreak="0">
    <w:nsid w:val="FFFFFF89"/>
    <w:multiLevelType w:val="singleLevel"/>
    <w:tmpl w:val="97A2CDA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BCC4ABD"/>
    <w:multiLevelType w:val="hybridMultilevel"/>
    <w:tmpl w:val="113C7AB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ED52B5F"/>
    <w:multiLevelType w:val="hybridMultilevel"/>
    <w:tmpl w:val="22600E6E"/>
    <w:lvl w:ilvl="0" w:tplc="B7CED29C">
      <w:numFmt w:val="bullet"/>
      <w:lvlText w:val="•"/>
      <w:lvlJc w:val="left"/>
      <w:pPr>
        <w:ind w:left="722" w:hanging="552"/>
      </w:pPr>
      <w:rPr>
        <w:rFonts w:ascii="Verdana" w:eastAsiaTheme="minorHAnsi" w:hAnsi="Verdana"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A430776"/>
    <w:multiLevelType w:val="hybridMultilevel"/>
    <w:tmpl w:val="FED6DCDE"/>
    <w:lvl w:ilvl="0" w:tplc="D86079A6">
      <w:start w:val="1"/>
      <w:numFmt w:val="decimal"/>
      <w:pStyle w:val="ListParagraph"/>
      <w:lvlText w:val="(%1)"/>
      <w:lvlJc w:val="left"/>
      <w:pPr>
        <w:ind w:left="890" w:hanging="720"/>
      </w:pPr>
      <w:rPr>
        <w:rFonts w:hint="default"/>
      </w:rPr>
    </w:lvl>
    <w:lvl w:ilvl="1" w:tplc="0C090019" w:tentative="1">
      <w:start w:val="1"/>
      <w:numFmt w:val="lowerLetter"/>
      <w:lvlText w:val="%2."/>
      <w:lvlJc w:val="left"/>
      <w:pPr>
        <w:ind w:left="1250" w:hanging="360"/>
      </w:pPr>
    </w:lvl>
    <w:lvl w:ilvl="2" w:tplc="0C09001B" w:tentative="1">
      <w:start w:val="1"/>
      <w:numFmt w:val="lowerRoman"/>
      <w:lvlText w:val="%3."/>
      <w:lvlJc w:val="right"/>
      <w:pPr>
        <w:ind w:left="1970" w:hanging="180"/>
      </w:pPr>
    </w:lvl>
    <w:lvl w:ilvl="3" w:tplc="0C09000F" w:tentative="1">
      <w:start w:val="1"/>
      <w:numFmt w:val="decimal"/>
      <w:lvlText w:val="%4."/>
      <w:lvlJc w:val="left"/>
      <w:pPr>
        <w:ind w:left="2690" w:hanging="360"/>
      </w:pPr>
    </w:lvl>
    <w:lvl w:ilvl="4" w:tplc="0C090019" w:tentative="1">
      <w:start w:val="1"/>
      <w:numFmt w:val="lowerLetter"/>
      <w:lvlText w:val="%5."/>
      <w:lvlJc w:val="left"/>
      <w:pPr>
        <w:ind w:left="3410" w:hanging="360"/>
      </w:pPr>
    </w:lvl>
    <w:lvl w:ilvl="5" w:tplc="0C09001B" w:tentative="1">
      <w:start w:val="1"/>
      <w:numFmt w:val="lowerRoman"/>
      <w:lvlText w:val="%6."/>
      <w:lvlJc w:val="right"/>
      <w:pPr>
        <w:ind w:left="4130" w:hanging="180"/>
      </w:pPr>
    </w:lvl>
    <w:lvl w:ilvl="6" w:tplc="0C09000F" w:tentative="1">
      <w:start w:val="1"/>
      <w:numFmt w:val="decimal"/>
      <w:lvlText w:val="%7."/>
      <w:lvlJc w:val="left"/>
      <w:pPr>
        <w:ind w:left="4850" w:hanging="360"/>
      </w:pPr>
    </w:lvl>
    <w:lvl w:ilvl="7" w:tplc="0C090019" w:tentative="1">
      <w:start w:val="1"/>
      <w:numFmt w:val="lowerLetter"/>
      <w:lvlText w:val="%8."/>
      <w:lvlJc w:val="left"/>
      <w:pPr>
        <w:ind w:left="5570" w:hanging="360"/>
      </w:pPr>
    </w:lvl>
    <w:lvl w:ilvl="8" w:tplc="0C09001B" w:tentative="1">
      <w:start w:val="1"/>
      <w:numFmt w:val="lowerRoman"/>
      <w:lvlText w:val="%9."/>
      <w:lvlJc w:val="right"/>
      <w:pPr>
        <w:ind w:left="6290" w:hanging="180"/>
      </w:pPr>
    </w:lvl>
  </w:abstractNum>
  <w:abstractNum w:abstractNumId="5" w15:restartNumberingAfterBreak="0">
    <w:nsid w:val="3DAE796B"/>
    <w:multiLevelType w:val="hybridMultilevel"/>
    <w:tmpl w:val="58AAC4B2"/>
    <w:lvl w:ilvl="0" w:tplc="8A70558C">
      <w:start w:val="1"/>
      <w:numFmt w:val="decimal"/>
      <w:lvlText w:val="(%1)"/>
      <w:lvlJc w:val="left"/>
      <w:pPr>
        <w:ind w:left="890" w:hanging="720"/>
      </w:pPr>
      <w:rPr>
        <w:rFonts w:hint="default"/>
      </w:rPr>
    </w:lvl>
    <w:lvl w:ilvl="1" w:tplc="0C090019" w:tentative="1">
      <w:start w:val="1"/>
      <w:numFmt w:val="lowerLetter"/>
      <w:lvlText w:val="%2."/>
      <w:lvlJc w:val="left"/>
      <w:pPr>
        <w:ind w:left="1250" w:hanging="360"/>
      </w:pPr>
    </w:lvl>
    <w:lvl w:ilvl="2" w:tplc="0C09001B" w:tentative="1">
      <w:start w:val="1"/>
      <w:numFmt w:val="lowerRoman"/>
      <w:lvlText w:val="%3."/>
      <w:lvlJc w:val="right"/>
      <w:pPr>
        <w:ind w:left="1970" w:hanging="180"/>
      </w:pPr>
    </w:lvl>
    <w:lvl w:ilvl="3" w:tplc="0C09000F" w:tentative="1">
      <w:start w:val="1"/>
      <w:numFmt w:val="decimal"/>
      <w:lvlText w:val="%4."/>
      <w:lvlJc w:val="left"/>
      <w:pPr>
        <w:ind w:left="2690" w:hanging="360"/>
      </w:pPr>
    </w:lvl>
    <w:lvl w:ilvl="4" w:tplc="0C090019" w:tentative="1">
      <w:start w:val="1"/>
      <w:numFmt w:val="lowerLetter"/>
      <w:lvlText w:val="%5."/>
      <w:lvlJc w:val="left"/>
      <w:pPr>
        <w:ind w:left="3410" w:hanging="360"/>
      </w:pPr>
    </w:lvl>
    <w:lvl w:ilvl="5" w:tplc="0C09001B" w:tentative="1">
      <w:start w:val="1"/>
      <w:numFmt w:val="lowerRoman"/>
      <w:lvlText w:val="%6."/>
      <w:lvlJc w:val="right"/>
      <w:pPr>
        <w:ind w:left="4130" w:hanging="180"/>
      </w:pPr>
    </w:lvl>
    <w:lvl w:ilvl="6" w:tplc="0C09000F" w:tentative="1">
      <w:start w:val="1"/>
      <w:numFmt w:val="decimal"/>
      <w:lvlText w:val="%7."/>
      <w:lvlJc w:val="left"/>
      <w:pPr>
        <w:ind w:left="4850" w:hanging="360"/>
      </w:pPr>
    </w:lvl>
    <w:lvl w:ilvl="7" w:tplc="0C090019" w:tentative="1">
      <w:start w:val="1"/>
      <w:numFmt w:val="lowerLetter"/>
      <w:lvlText w:val="%8."/>
      <w:lvlJc w:val="left"/>
      <w:pPr>
        <w:ind w:left="5570" w:hanging="360"/>
      </w:pPr>
    </w:lvl>
    <w:lvl w:ilvl="8" w:tplc="0C09001B" w:tentative="1">
      <w:start w:val="1"/>
      <w:numFmt w:val="lowerRoman"/>
      <w:lvlText w:val="%9."/>
      <w:lvlJc w:val="right"/>
      <w:pPr>
        <w:ind w:left="6290" w:hanging="180"/>
      </w:pPr>
    </w:lvl>
  </w:abstractNum>
  <w:abstractNum w:abstractNumId="6" w15:restartNumberingAfterBreak="0">
    <w:nsid w:val="48E53E93"/>
    <w:multiLevelType w:val="hybridMultilevel"/>
    <w:tmpl w:val="92CE59F2"/>
    <w:lvl w:ilvl="0" w:tplc="B7CED29C">
      <w:numFmt w:val="bullet"/>
      <w:lvlText w:val="•"/>
      <w:lvlJc w:val="left"/>
      <w:pPr>
        <w:ind w:left="892" w:hanging="552"/>
      </w:pPr>
      <w:rPr>
        <w:rFonts w:ascii="Verdana" w:eastAsiaTheme="minorHAnsi" w:hAnsi="Verdana" w:cstheme="minorBidi"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7" w15:restartNumberingAfterBreak="0">
    <w:nsid w:val="62C57CD8"/>
    <w:multiLevelType w:val="hybridMultilevel"/>
    <w:tmpl w:val="B976525A"/>
    <w:lvl w:ilvl="0" w:tplc="86084CC0">
      <w:start w:val="1"/>
      <w:numFmt w:val="decimal"/>
      <w:lvlText w:val="(%1)"/>
      <w:lvlJc w:val="left"/>
      <w:pPr>
        <w:ind w:left="890" w:hanging="720"/>
      </w:pPr>
      <w:rPr>
        <w:rFonts w:hint="default"/>
      </w:rPr>
    </w:lvl>
    <w:lvl w:ilvl="1" w:tplc="0C090019" w:tentative="1">
      <w:start w:val="1"/>
      <w:numFmt w:val="lowerLetter"/>
      <w:lvlText w:val="%2."/>
      <w:lvlJc w:val="left"/>
      <w:pPr>
        <w:ind w:left="1250" w:hanging="360"/>
      </w:pPr>
    </w:lvl>
    <w:lvl w:ilvl="2" w:tplc="0C09001B" w:tentative="1">
      <w:start w:val="1"/>
      <w:numFmt w:val="lowerRoman"/>
      <w:lvlText w:val="%3."/>
      <w:lvlJc w:val="right"/>
      <w:pPr>
        <w:ind w:left="1970" w:hanging="180"/>
      </w:pPr>
    </w:lvl>
    <w:lvl w:ilvl="3" w:tplc="0C09000F" w:tentative="1">
      <w:start w:val="1"/>
      <w:numFmt w:val="decimal"/>
      <w:lvlText w:val="%4."/>
      <w:lvlJc w:val="left"/>
      <w:pPr>
        <w:ind w:left="2690" w:hanging="360"/>
      </w:pPr>
    </w:lvl>
    <w:lvl w:ilvl="4" w:tplc="0C090019" w:tentative="1">
      <w:start w:val="1"/>
      <w:numFmt w:val="lowerLetter"/>
      <w:lvlText w:val="%5."/>
      <w:lvlJc w:val="left"/>
      <w:pPr>
        <w:ind w:left="3410" w:hanging="360"/>
      </w:pPr>
    </w:lvl>
    <w:lvl w:ilvl="5" w:tplc="0C09001B" w:tentative="1">
      <w:start w:val="1"/>
      <w:numFmt w:val="lowerRoman"/>
      <w:lvlText w:val="%6."/>
      <w:lvlJc w:val="right"/>
      <w:pPr>
        <w:ind w:left="4130" w:hanging="180"/>
      </w:pPr>
    </w:lvl>
    <w:lvl w:ilvl="6" w:tplc="0C09000F" w:tentative="1">
      <w:start w:val="1"/>
      <w:numFmt w:val="decimal"/>
      <w:lvlText w:val="%7."/>
      <w:lvlJc w:val="left"/>
      <w:pPr>
        <w:ind w:left="4850" w:hanging="360"/>
      </w:pPr>
    </w:lvl>
    <w:lvl w:ilvl="7" w:tplc="0C090019" w:tentative="1">
      <w:start w:val="1"/>
      <w:numFmt w:val="lowerLetter"/>
      <w:lvlText w:val="%8."/>
      <w:lvlJc w:val="left"/>
      <w:pPr>
        <w:ind w:left="5570" w:hanging="360"/>
      </w:pPr>
    </w:lvl>
    <w:lvl w:ilvl="8" w:tplc="0C09001B" w:tentative="1">
      <w:start w:val="1"/>
      <w:numFmt w:val="lowerRoman"/>
      <w:lvlText w:val="%9."/>
      <w:lvlJc w:val="right"/>
      <w:pPr>
        <w:ind w:left="6290" w:hanging="180"/>
      </w:pPr>
    </w:lvl>
  </w:abstractNum>
  <w:abstractNum w:abstractNumId="8" w15:restartNumberingAfterBreak="0">
    <w:nsid w:val="663E1C09"/>
    <w:multiLevelType w:val="hybridMultilevel"/>
    <w:tmpl w:val="77521012"/>
    <w:lvl w:ilvl="0" w:tplc="E76806DC">
      <w:start w:val="1"/>
      <w:numFmt w:val="decimal"/>
      <w:lvlText w:val="%1."/>
      <w:lvlJc w:val="left"/>
      <w:pPr>
        <w:ind w:left="530" w:hanging="360"/>
      </w:pPr>
      <w:rPr>
        <w:rFonts w:hint="default"/>
      </w:rPr>
    </w:lvl>
    <w:lvl w:ilvl="1" w:tplc="0C090019" w:tentative="1">
      <w:start w:val="1"/>
      <w:numFmt w:val="lowerLetter"/>
      <w:lvlText w:val="%2."/>
      <w:lvlJc w:val="left"/>
      <w:pPr>
        <w:ind w:left="1250" w:hanging="360"/>
      </w:pPr>
    </w:lvl>
    <w:lvl w:ilvl="2" w:tplc="0C09001B" w:tentative="1">
      <w:start w:val="1"/>
      <w:numFmt w:val="lowerRoman"/>
      <w:lvlText w:val="%3."/>
      <w:lvlJc w:val="right"/>
      <w:pPr>
        <w:ind w:left="1970" w:hanging="180"/>
      </w:pPr>
    </w:lvl>
    <w:lvl w:ilvl="3" w:tplc="0C09000F" w:tentative="1">
      <w:start w:val="1"/>
      <w:numFmt w:val="decimal"/>
      <w:lvlText w:val="%4."/>
      <w:lvlJc w:val="left"/>
      <w:pPr>
        <w:ind w:left="2690" w:hanging="360"/>
      </w:pPr>
    </w:lvl>
    <w:lvl w:ilvl="4" w:tplc="0C090019" w:tentative="1">
      <w:start w:val="1"/>
      <w:numFmt w:val="lowerLetter"/>
      <w:lvlText w:val="%5."/>
      <w:lvlJc w:val="left"/>
      <w:pPr>
        <w:ind w:left="3410" w:hanging="360"/>
      </w:pPr>
    </w:lvl>
    <w:lvl w:ilvl="5" w:tplc="0C09001B" w:tentative="1">
      <w:start w:val="1"/>
      <w:numFmt w:val="lowerRoman"/>
      <w:lvlText w:val="%6."/>
      <w:lvlJc w:val="right"/>
      <w:pPr>
        <w:ind w:left="4130" w:hanging="180"/>
      </w:pPr>
    </w:lvl>
    <w:lvl w:ilvl="6" w:tplc="0C09000F" w:tentative="1">
      <w:start w:val="1"/>
      <w:numFmt w:val="decimal"/>
      <w:lvlText w:val="%7."/>
      <w:lvlJc w:val="left"/>
      <w:pPr>
        <w:ind w:left="4850" w:hanging="360"/>
      </w:pPr>
    </w:lvl>
    <w:lvl w:ilvl="7" w:tplc="0C090019" w:tentative="1">
      <w:start w:val="1"/>
      <w:numFmt w:val="lowerLetter"/>
      <w:lvlText w:val="%8."/>
      <w:lvlJc w:val="left"/>
      <w:pPr>
        <w:ind w:left="5570" w:hanging="360"/>
      </w:pPr>
    </w:lvl>
    <w:lvl w:ilvl="8" w:tplc="0C09001B" w:tentative="1">
      <w:start w:val="1"/>
      <w:numFmt w:val="lowerRoman"/>
      <w:lvlText w:val="%9."/>
      <w:lvlJc w:val="right"/>
      <w:pPr>
        <w:ind w:left="6290" w:hanging="180"/>
      </w:pPr>
    </w:lvl>
  </w:abstractNum>
  <w:num w:numId="1">
    <w:abstractNumId w:val="0"/>
  </w:num>
  <w:num w:numId="2">
    <w:abstractNumId w:val="1"/>
  </w:num>
  <w:num w:numId="3">
    <w:abstractNumId w:val="7"/>
  </w:num>
  <w:num w:numId="4">
    <w:abstractNumId w:val="4"/>
  </w:num>
  <w:num w:numId="5">
    <w:abstractNumId w:val="5"/>
  </w:num>
  <w:num w:numId="6">
    <w:abstractNumId w:val="2"/>
  </w:num>
  <w:num w:numId="7">
    <w:abstractNumId w:val="3"/>
  </w:num>
  <w:num w:numId="8">
    <w:abstractNumId w:val="6"/>
  </w:num>
  <w:num w:numId="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DF3"/>
    <w:rsid w:val="0000234B"/>
    <w:rsid w:val="000149F4"/>
    <w:rsid w:val="00043D48"/>
    <w:rsid w:val="00045515"/>
    <w:rsid w:val="00050924"/>
    <w:rsid w:val="00061CAE"/>
    <w:rsid w:val="00062B49"/>
    <w:rsid w:val="00064BAA"/>
    <w:rsid w:val="00081B30"/>
    <w:rsid w:val="000A1BCC"/>
    <w:rsid w:val="000C705E"/>
    <w:rsid w:val="000E2811"/>
    <w:rsid w:val="000E5126"/>
    <w:rsid w:val="000E6CD3"/>
    <w:rsid w:val="00103109"/>
    <w:rsid w:val="001240A1"/>
    <w:rsid w:val="00145745"/>
    <w:rsid w:val="00150BC0"/>
    <w:rsid w:val="00150C96"/>
    <w:rsid w:val="001804FE"/>
    <w:rsid w:val="00183631"/>
    <w:rsid w:val="001873A9"/>
    <w:rsid w:val="001A39D3"/>
    <w:rsid w:val="001A479C"/>
    <w:rsid w:val="001B737C"/>
    <w:rsid w:val="001E3F1D"/>
    <w:rsid w:val="001E599C"/>
    <w:rsid w:val="001F2C1D"/>
    <w:rsid w:val="00221DC0"/>
    <w:rsid w:val="00233BBA"/>
    <w:rsid w:val="00235DBF"/>
    <w:rsid w:val="00240EFA"/>
    <w:rsid w:val="00246866"/>
    <w:rsid w:val="00260216"/>
    <w:rsid w:val="00261645"/>
    <w:rsid w:val="002639D1"/>
    <w:rsid w:val="002755BD"/>
    <w:rsid w:val="00277516"/>
    <w:rsid w:val="00284284"/>
    <w:rsid w:val="00295CC5"/>
    <w:rsid w:val="002A0487"/>
    <w:rsid w:val="002B61D2"/>
    <w:rsid w:val="002C60F8"/>
    <w:rsid w:val="002E5F8E"/>
    <w:rsid w:val="002F3DD8"/>
    <w:rsid w:val="0030414A"/>
    <w:rsid w:val="0030542B"/>
    <w:rsid w:val="003340D8"/>
    <w:rsid w:val="00336A0E"/>
    <w:rsid w:val="00360D7E"/>
    <w:rsid w:val="00363545"/>
    <w:rsid w:val="003932E4"/>
    <w:rsid w:val="003A5AF1"/>
    <w:rsid w:val="003B75A4"/>
    <w:rsid w:val="003E0907"/>
    <w:rsid w:val="003F3923"/>
    <w:rsid w:val="003F4E97"/>
    <w:rsid w:val="003F6065"/>
    <w:rsid w:val="004032F1"/>
    <w:rsid w:val="00406077"/>
    <w:rsid w:val="0041187F"/>
    <w:rsid w:val="00427F48"/>
    <w:rsid w:val="00445A38"/>
    <w:rsid w:val="004C2320"/>
    <w:rsid w:val="004D09F6"/>
    <w:rsid w:val="004E67A5"/>
    <w:rsid w:val="004F3391"/>
    <w:rsid w:val="0050124F"/>
    <w:rsid w:val="00523BE1"/>
    <w:rsid w:val="00537255"/>
    <w:rsid w:val="00537B3E"/>
    <w:rsid w:val="005527F1"/>
    <w:rsid w:val="00565F46"/>
    <w:rsid w:val="00566AED"/>
    <w:rsid w:val="00584CEF"/>
    <w:rsid w:val="00585BD7"/>
    <w:rsid w:val="005913DD"/>
    <w:rsid w:val="005A2275"/>
    <w:rsid w:val="005C3062"/>
    <w:rsid w:val="005E2700"/>
    <w:rsid w:val="005E35FD"/>
    <w:rsid w:val="00620742"/>
    <w:rsid w:val="00624DF3"/>
    <w:rsid w:val="006352F6"/>
    <w:rsid w:val="00640AF3"/>
    <w:rsid w:val="00643340"/>
    <w:rsid w:val="006453DB"/>
    <w:rsid w:val="0068658D"/>
    <w:rsid w:val="006909A6"/>
    <w:rsid w:val="00693175"/>
    <w:rsid w:val="00696783"/>
    <w:rsid w:val="006A0C52"/>
    <w:rsid w:val="006A4C0D"/>
    <w:rsid w:val="006E5FFB"/>
    <w:rsid w:val="006F639C"/>
    <w:rsid w:val="00702DCB"/>
    <w:rsid w:val="0072102B"/>
    <w:rsid w:val="007263AB"/>
    <w:rsid w:val="00743E16"/>
    <w:rsid w:val="00745998"/>
    <w:rsid w:val="0074724B"/>
    <w:rsid w:val="007534A5"/>
    <w:rsid w:val="007610E2"/>
    <w:rsid w:val="007648F3"/>
    <w:rsid w:val="0077236F"/>
    <w:rsid w:val="00784EF2"/>
    <w:rsid w:val="00796644"/>
    <w:rsid w:val="007B0D82"/>
    <w:rsid w:val="007C61BA"/>
    <w:rsid w:val="007E0C74"/>
    <w:rsid w:val="007F5DD0"/>
    <w:rsid w:val="00817E80"/>
    <w:rsid w:val="00862279"/>
    <w:rsid w:val="00872600"/>
    <w:rsid w:val="0089275F"/>
    <w:rsid w:val="008A43DD"/>
    <w:rsid w:val="008B171A"/>
    <w:rsid w:val="009009EA"/>
    <w:rsid w:val="009064BC"/>
    <w:rsid w:val="00907B76"/>
    <w:rsid w:val="00910E71"/>
    <w:rsid w:val="00926BAB"/>
    <w:rsid w:val="00927BAE"/>
    <w:rsid w:val="00937A7C"/>
    <w:rsid w:val="0096238D"/>
    <w:rsid w:val="00977174"/>
    <w:rsid w:val="0099144D"/>
    <w:rsid w:val="009C3B40"/>
    <w:rsid w:val="009D633F"/>
    <w:rsid w:val="009E18D1"/>
    <w:rsid w:val="009F4F39"/>
    <w:rsid w:val="00A03709"/>
    <w:rsid w:val="00A04125"/>
    <w:rsid w:val="00A04ECE"/>
    <w:rsid w:val="00A15A7F"/>
    <w:rsid w:val="00A17B9C"/>
    <w:rsid w:val="00A226A7"/>
    <w:rsid w:val="00A42C30"/>
    <w:rsid w:val="00A456C5"/>
    <w:rsid w:val="00A712C3"/>
    <w:rsid w:val="00A76F5B"/>
    <w:rsid w:val="00A80B3F"/>
    <w:rsid w:val="00A92E5F"/>
    <w:rsid w:val="00AC1EFC"/>
    <w:rsid w:val="00AE133A"/>
    <w:rsid w:val="00B07C04"/>
    <w:rsid w:val="00B16A1F"/>
    <w:rsid w:val="00B260D3"/>
    <w:rsid w:val="00B33590"/>
    <w:rsid w:val="00B617FC"/>
    <w:rsid w:val="00B707A5"/>
    <w:rsid w:val="00B76A20"/>
    <w:rsid w:val="00B810D4"/>
    <w:rsid w:val="00B9346C"/>
    <w:rsid w:val="00B95E8A"/>
    <w:rsid w:val="00B96F4F"/>
    <w:rsid w:val="00BA2E57"/>
    <w:rsid w:val="00BA3618"/>
    <w:rsid w:val="00BA6C1E"/>
    <w:rsid w:val="00BA7F33"/>
    <w:rsid w:val="00BC67E3"/>
    <w:rsid w:val="00BD1233"/>
    <w:rsid w:val="00BD5A36"/>
    <w:rsid w:val="00BD73D8"/>
    <w:rsid w:val="00BE129E"/>
    <w:rsid w:val="00BE45E1"/>
    <w:rsid w:val="00C0614D"/>
    <w:rsid w:val="00C106F1"/>
    <w:rsid w:val="00C10CA9"/>
    <w:rsid w:val="00C2216F"/>
    <w:rsid w:val="00C271A3"/>
    <w:rsid w:val="00C3618D"/>
    <w:rsid w:val="00C43281"/>
    <w:rsid w:val="00C5273E"/>
    <w:rsid w:val="00C7222D"/>
    <w:rsid w:val="00C74807"/>
    <w:rsid w:val="00C80365"/>
    <w:rsid w:val="00C8598A"/>
    <w:rsid w:val="00C95E83"/>
    <w:rsid w:val="00CA48DA"/>
    <w:rsid w:val="00CB07DE"/>
    <w:rsid w:val="00CB5BA0"/>
    <w:rsid w:val="00CD205D"/>
    <w:rsid w:val="00CD2D26"/>
    <w:rsid w:val="00CE64B1"/>
    <w:rsid w:val="00CE7DE6"/>
    <w:rsid w:val="00D002CD"/>
    <w:rsid w:val="00D013FD"/>
    <w:rsid w:val="00D0401B"/>
    <w:rsid w:val="00D10AC1"/>
    <w:rsid w:val="00D239AA"/>
    <w:rsid w:val="00D25CBA"/>
    <w:rsid w:val="00D34BFE"/>
    <w:rsid w:val="00D631F2"/>
    <w:rsid w:val="00D711F7"/>
    <w:rsid w:val="00D74A7F"/>
    <w:rsid w:val="00D93A80"/>
    <w:rsid w:val="00D93D63"/>
    <w:rsid w:val="00DA0DCE"/>
    <w:rsid w:val="00DB35BA"/>
    <w:rsid w:val="00DB3A92"/>
    <w:rsid w:val="00DB6008"/>
    <w:rsid w:val="00DB632B"/>
    <w:rsid w:val="00DB7C4A"/>
    <w:rsid w:val="00DD4E95"/>
    <w:rsid w:val="00DD56F7"/>
    <w:rsid w:val="00E04A21"/>
    <w:rsid w:val="00E05F17"/>
    <w:rsid w:val="00E10E0F"/>
    <w:rsid w:val="00E40F99"/>
    <w:rsid w:val="00E414C1"/>
    <w:rsid w:val="00E47FB0"/>
    <w:rsid w:val="00E74AE5"/>
    <w:rsid w:val="00E85FEE"/>
    <w:rsid w:val="00E9513F"/>
    <w:rsid w:val="00E97246"/>
    <w:rsid w:val="00EA0B1A"/>
    <w:rsid w:val="00EA2464"/>
    <w:rsid w:val="00EB2EF8"/>
    <w:rsid w:val="00EB62D1"/>
    <w:rsid w:val="00EE17C1"/>
    <w:rsid w:val="00EE2EBE"/>
    <w:rsid w:val="00EE7C1A"/>
    <w:rsid w:val="00F211A2"/>
    <w:rsid w:val="00F22ED9"/>
    <w:rsid w:val="00F7307D"/>
    <w:rsid w:val="00F745C6"/>
    <w:rsid w:val="00F905C0"/>
    <w:rsid w:val="00F979AF"/>
    <w:rsid w:val="00FA298E"/>
    <w:rsid w:val="00FA4D3B"/>
    <w:rsid w:val="00FB005F"/>
    <w:rsid w:val="00FC2CD4"/>
    <w:rsid w:val="00FD7DBC"/>
    <w:rsid w:val="00FF2EEE"/>
    <w:rsid w:val="00FF7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C2F0C5D"/>
  <w15:chartTrackingRefBased/>
  <w15:docId w15:val="{4F71E7B0-D425-457C-A03C-485126443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645"/>
    <w:pPr>
      <w:spacing w:before="120" w:after="120" w:line="259" w:lineRule="auto"/>
      <w:ind w:left="170"/>
      <w:jc w:val="left"/>
    </w:pPr>
    <w:rPr>
      <w:rFonts w:ascii="Verdana" w:hAnsi="Verdana"/>
      <w:lang w:val="en-AU"/>
    </w:rPr>
  </w:style>
  <w:style w:type="paragraph" w:styleId="Heading1">
    <w:name w:val="heading 1"/>
    <w:basedOn w:val="Normal"/>
    <w:next w:val="Normal"/>
    <w:link w:val="Heading1Char"/>
    <w:uiPriority w:val="9"/>
    <w:qFormat/>
    <w:rsid w:val="00C8598A"/>
    <w:pPr>
      <w:keepNext/>
      <w:keepLines/>
      <w:spacing w:before="240"/>
      <w:outlineLvl w:val="0"/>
    </w:pPr>
    <w:rPr>
      <w:rFonts w:ascii="Palatino Linotype" w:eastAsiaTheme="majorEastAsia" w:hAnsi="Palatino Linotype" w:cstheme="majorBidi"/>
      <w:b/>
      <w:color w:val="143156"/>
      <w:sz w:val="48"/>
      <w:szCs w:val="32"/>
    </w:rPr>
  </w:style>
  <w:style w:type="paragraph" w:styleId="Heading2">
    <w:name w:val="heading 2"/>
    <w:basedOn w:val="Normal"/>
    <w:next w:val="Normal"/>
    <w:link w:val="Heading2Char"/>
    <w:uiPriority w:val="9"/>
    <w:unhideWhenUsed/>
    <w:qFormat/>
    <w:rsid w:val="00A04ECE"/>
    <w:pPr>
      <w:keepNext/>
      <w:keepLines/>
      <w:spacing w:before="240" w:after="0"/>
      <w:outlineLvl w:val="1"/>
    </w:pPr>
    <w:rPr>
      <w:rFonts w:ascii="Palatino Linotype" w:eastAsiaTheme="majorEastAsia" w:hAnsi="Palatino Linotype" w:cstheme="majorBidi"/>
      <w:color w:val="143156"/>
      <w:sz w:val="44"/>
      <w:szCs w:val="26"/>
    </w:rPr>
  </w:style>
  <w:style w:type="paragraph" w:styleId="Heading3">
    <w:name w:val="heading 3"/>
    <w:basedOn w:val="Normal"/>
    <w:next w:val="Normal"/>
    <w:link w:val="Heading3Char"/>
    <w:uiPriority w:val="9"/>
    <w:unhideWhenUsed/>
    <w:qFormat/>
    <w:rsid w:val="00A04ECE"/>
    <w:pPr>
      <w:keepNext/>
      <w:keepLines/>
      <w:spacing w:before="240" w:after="0"/>
      <w:outlineLvl w:val="2"/>
    </w:pPr>
    <w:rPr>
      <w:rFonts w:ascii="Palatino Linotype" w:eastAsiaTheme="majorEastAsia" w:hAnsi="Palatino Linotype" w:cstheme="majorBidi"/>
      <w:b/>
      <w:color w:val="143156"/>
      <w:sz w:val="32"/>
      <w:szCs w:val="24"/>
    </w:rPr>
  </w:style>
  <w:style w:type="paragraph" w:styleId="Heading4">
    <w:name w:val="heading 4"/>
    <w:basedOn w:val="Normal"/>
    <w:next w:val="Normal"/>
    <w:link w:val="Heading4Char"/>
    <w:uiPriority w:val="9"/>
    <w:unhideWhenUsed/>
    <w:qFormat/>
    <w:rsid w:val="00221DC0"/>
    <w:pPr>
      <w:keepNext/>
      <w:keepLines/>
      <w:spacing w:before="40"/>
      <w:outlineLvl w:val="3"/>
    </w:pPr>
    <w:rPr>
      <w:rFonts w:ascii="Palatino Linotype" w:eastAsiaTheme="majorEastAsia" w:hAnsi="Palatino Linotype" w:cstheme="majorBidi"/>
      <w:b/>
      <w:iCs/>
      <w:color w:val="143156"/>
      <w:sz w:val="28"/>
    </w:rPr>
  </w:style>
  <w:style w:type="paragraph" w:styleId="Heading5">
    <w:name w:val="heading 5"/>
    <w:basedOn w:val="Normal"/>
    <w:next w:val="Normal"/>
    <w:link w:val="Heading5Char"/>
    <w:uiPriority w:val="9"/>
    <w:unhideWhenUsed/>
    <w:qFormat/>
    <w:rsid w:val="00221DC0"/>
    <w:pPr>
      <w:keepNext/>
      <w:keepLines/>
      <w:spacing w:before="40"/>
      <w:outlineLvl w:val="4"/>
    </w:pPr>
    <w:rPr>
      <w:rFonts w:eastAsiaTheme="majorEastAsia" w:cstheme="majorBidi"/>
      <w:b/>
      <w:color w:val="CE20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14A"/>
    <w:pPr>
      <w:tabs>
        <w:tab w:val="center" w:pos="4680"/>
        <w:tab w:val="right" w:pos="9360"/>
      </w:tabs>
    </w:pPr>
  </w:style>
  <w:style w:type="character" w:customStyle="1" w:styleId="HeaderChar">
    <w:name w:val="Header Char"/>
    <w:basedOn w:val="DefaultParagraphFont"/>
    <w:link w:val="Header"/>
    <w:uiPriority w:val="99"/>
    <w:rsid w:val="0030414A"/>
  </w:style>
  <w:style w:type="paragraph" w:styleId="Footer">
    <w:name w:val="footer"/>
    <w:basedOn w:val="Normal"/>
    <w:link w:val="FooterChar"/>
    <w:uiPriority w:val="99"/>
    <w:unhideWhenUsed/>
    <w:rsid w:val="0030414A"/>
    <w:pPr>
      <w:tabs>
        <w:tab w:val="center" w:pos="4680"/>
        <w:tab w:val="right" w:pos="9360"/>
      </w:tabs>
    </w:pPr>
  </w:style>
  <w:style w:type="character" w:customStyle="1" w:styleId="FooterChar">
    <w:name w:val="Footer Char"/>
    <w:basedOn w:val="DefaultParagraphFont"/>
    <w:link w:val="Footer"/>
    <w:uiPriority w:val="99"/>
    <w:rsid w:val="0030414A"/>
  </w:style>
  <w:style w:type="paragraph" w:styleId="Title">
    <w:name w:val="Title"/>
    <w:basedOn w:val="Normal"/>
    <w:next w:val="Normal"/>
    <w:link w:val="TitleChar"/>
    <w:uiPriority w:val="10"/>
    <w:qFormat/>
    <w:rsid w:val="007B0D82"/>
    <w:pPr>
      <w:contextualSpacing/>
    </w:pPr>
    <w:rPr>
      <w:rFonts w:ascii="Palatino Linotype" w:eastAsiaTheme="majorEastAsia" w:hAnsi="Palatino Linotype" w:cstheme="majorBidi"/>
      <w:b/>
      <w:color w:val="143156"/>
      <w:spacing w:val="-10"/>
      <w:kern w:val="28"/>
      <w:sz w:val="56"/>
      <w:szCs w:val="56"/>
    </w:rPr>
  </w:style>
  <w:style w:type="character" w:customStyle="1" w:styleId="TitleChar">
    <w:name w:val="Title Char"/>
    <w:basedOn w:val="DefaultParagraphFont"/>
    <w:link w:val="Title"/>
    <w:uiPriority w:val="10"/>
    <w:rsid w:val="007B0D82"/>
    <w:rPr>
      <w:rFonts w:ascii="Palatino Linotype" w:eastAsiaTheme="majorEastAsia" w:hAnsi="Palatino Linotype" w:cstheme="majorBidi"/>
      <w:b/>
      <w:color w:val="143156"/>
      <w:spacing w:val="-10"/>
      <w:kern w:val="28"/>
      <w:sz w:val="56"/>
      <w:szCs w:val="56"/>
    </w:rPr>
  </w:style>
  <w:style w:type="paragraph" w:styleId="Subtitle">
    <w:name w:val="Subtitle"/>
    <w:basedOn w:val="Normal"/>
    <w:next w:val="Normal"/>
    <w:link w:val="SubtitleChar"/>
    <w:uiPriority w:val="11"/>
    <w:qFormat/>
    <w:rsid w:val="00050924"/>
    <w:pPr>
      <w:numPr>
        <w:ilvl w:val="1"/>
      </w:numPr>
      <w:ind w:left="170"/>
    </w:pPr>
    <w:rPr>
      <w:rFonts w:ascii="Palatino Linotype" w:eastAsiaTheme="minorEastAsia" w:hAnsi="Palatino Linotype"/>
      <w:color w:val="143156"/>
      <w:spacing w:val="15"/>
      <w:sz w:val="40"/>
    </w:rPr>
  </w:style>
  <w:style w:type="character" w:customStyle="1" w:styleId="SubtitleChar">
    <w:name w:val="Subtitle Char"/>
    <w:basedOn w:val="DefaultParagraphFont"/>
    <w:link w:val="Subtitle"/>
    <w:uiPriority w:val="11"/>
    <w:rsid w:val="00050924"/>
    <w:rPr>
      <w:rFonts w:ascii="Palatino Linotype" w:eastAsiaTheme="minorEastAsia" w:hAnsi="Palatino Linotype"/>
      <w:color w:val="143156"/>
      <w:spacing w:val="15"/>
      <w:sz w:val="40"/>
    </w:rPr>
  </w:style>
  <w:style w:type="character" w:customStyle="1" w:styleId="Heading1Char">
    <w:name w:val="Heading 1 Char"/>
    <w:basedOn w:val="DefaultParagraphFont"/>
    <w:link w:val="Heading1"/>
    <w:uiPriority w:val="9"/>
    <w:rsid w:val="00C8598A"/>
    <w:rPr>
      <w:rFonts w:ascii="Palatino Linotype" w:eastAsiaTheme="majorEastAsia" w:hAnsi="Palatino Linotype" w:cstheme="majorBidi"/>
      <w:b/>
      <w:noProof/>
      <w:color w:val="143156"/>
      <w:sz w:val="48"/>
      <w:szCs w:val="32"/>
      <w:lang w:val="en-AU"/>
    </w:rPr>
  </w:style>
  <w:style w:type="character" w:customStyle="1" w:styleId="Heading2Char">
    <w:name w:val="Heading 2 Char"/>
    <w:basedOn w:val="DefaultParagraphFont"/>
    <w:link w:val="Heading2"/>
    <w:uiPriority w:val="9"/>
    <w:rsid w:val="00A04ECE"/>
    <w:rPr>
      <w:rFonts w:ascii="Palatino Linotype" w:eastAsiaTheme="majorEastAsia" w:hAnsi="Palatino Linotype" w:cstheme="majorBidi"/>
      <w:noProof/>
      <w:color w:val="143156"/>
      <w:sz w:val="44"/>
      <w:szCs w:val="26"/>
      <w:lang w:val="en-AU"/>
    </w:rPr>
  </w:style>
  <w:style w:type="character" w:styleId="SubtleEmphasis">
    <w:name w:val="Subtle Emphasis"/>
    <w:basedOn w:val="SubtitleChar"/>
    <w:uiPriority w:val="19"/>
    <w:rsid w:val="00050924"/>
    <w:rPr>
      <w:rFonts w:ascii="Palatino Linotype" w:eastAsiaTheme="minorEastAsia" w:hAnsi="Palatino Linotype"/>
      <w:i w:val="0"/>
      <w:iCs/>
      <w:color w:val="143156"/>
      <w:spacing w:val="15"/>
      <w:sz w:val="3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Table text,列"/>
    <w:basedOn w:val="List"/>
    <w:next w:val="List3"/>
    <w:link w:val="ListParagraphChar"/>
    <w:autoRedefine/>
    <w:uiPriority w:val="34"/>
    <w:qFormat/>
    <w:rsid w:val="001F2C1D"/>
    <w:pPr>
      <w:keepNext/>
      <w:numPr>
        <w:numId w:val="4"/>
      </w:numPr>
    </w:pPr>
  </w:style>
  <w:style w:type="paragraph" w:styleId="FootnoteText">
    <w:name w:val="footnote text"/>
    <w:aliases w:val="Footnote Text Char Char Char,Footnote Text Char Char,Footnote Text Char1,Footnote Text Char2 Char,Footnote Text Char1 Char Char1,Footnote Text Char Char Char Char1,Footnote Text Char Char1 Char1,Footnote Text Char1 Char"/>
    <w:basedOn w:val="Normal"/>
    <w:link w:val="FootnoteTextChar"/>
    <w:uiPriority w:val="99"/>
    <w:unhideWhenUsed/>
    <w:qFormat/>
    <w:rsid w:val="00050924"/>
    <w:rPr>
      <w:sz w:val="16"/>
      <w:szCs w:val="20"/>
    </w:rPr>
  </w:style>
  <w:style w:type="character" w:customStyle="1" w:styleId="FootnoteTextChar">
    <w:name w:val="Footnote Text Char"/>
    <w:aliases w:val="Footnote Text Char Char Char Char,Footnote Text Char Char Char1,Footnote Text Char1 Char1,Footnote Text Char2 Char Char,Footnote Text Char1 Char Char1 Char,Footnote Text Char Char Char Char1 Char,Footnote Text Char Char1 Char1 Char"/>
    <w:basedOn w:val="DefaultParagraphFont"/>
    <w:link w:val="FootnoteText"/>
    <w:uiPriority w:val="99"/>
    <w:rsid w:val="00050924"/>
    <w:rPr>
      <w:rFonts w:ascii="Verdana" w:hAnsi="Verdana"/>
      <w:color w:val="000000" w:themeColor="text1"/>
      <w:sz w:val="16"/>
      <w:szCs w:val="20"/>
    </w:rPr>
  </w:style>
  <w:style w:type="character" w:styleId="FootnoteReference">
    <w:name w:val="footnote reference"/>
    <w:uiPriority w:val="99"/>
    <w:unhideWhenUsed/>
    <w:rsid w:val="0074724B"/>
  </w:style>
  <w:style w:type="character" w:styleId="Hyperlink">
    <w:name w:val="Hyperlink"/>
    <w:basedOn w:val="DefaultParagraphFont"/>
    <w:uiPriority w:val="99"/>
    <w:unhideWhenUsed/>
    <w:rsid w:val="007C61BA"/>
    <w:rPr>
      <w:color w:val="0563C1"/>
      <w:u w:val="single"/>
    </w:rPr>
  </w:style>
  <w:style w:type="character" w:styleId="Strong">
    <w:name w:val="Strong"/>
    <w:basedOn w:val="DefaultParagraphFont"/>
    <w:uiPriority w:val="22"/>
    <w:rsid w:val="00050924"/>
    <w:rPr>
      <w:b/>
      <w:bCs/>
    </w:rPr>
  </w:style>
  <w:style w:type="table" w:styleId="TableGrid">
    <w:name w:val="Table Grid"/>
    <w:basedOn w:val="TableNormal"/>
    <w:uiPriority w:val="39"/>
    <w:rsid w:val="007C61B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7C61BA"/>
    <w:rPr>
      <w:szCs w:val="20"/>
    </w:rPr>
  </w:style>
  <w:style w:type="character" w:customStyle="1" w:styleId="CommentTextChar">
    <w:name w:val="Comment Text Char"/>
    <w:basedOn w:val="DefaultParagraphFont"/>
    <w:link w:val="CommentText"/>
    <w:uiPriority w:val="99"/>
    <w:rsid w:val="007C61BA"/>
    <w:rPr>
      <w:rFonts w:ascii="Verdana" w:hAnsi="Verdana"/>
      <w:color w:val="000000" w:themeColor="text1"/>
      <w:sz w:val="20"/>
      <w:szCs w:val="20"/>
    </w:rPr>
  </w:style>
  <w:style w:type="character" w:customStyle="1" w:styleId="Heading3Char">
    <w:name w:val="Heading 3 Char"/>
    <w:basedOn w:val="DefaultParagraphFont"/>
    <w:link w:val="Heading3"/>
    <w:uiPriority w:val="9"/>
    <w:rsid w:val="00A04ECE"/>
    <w:rPr>
      <w:rFonts w:ascii="Palatino Linotype" w:eastAsiaTheme="majorEastAsia" w:hAnsi="Palatino Linotype" w:cstheme="majorBidi"/>
      <w:b/>
      <w:noProof/>
      <w:color w:val="143156"/>
      <w:sz w:val="32"/>
      <w:szCs w:val="24"/>
      <w:lang w:val="en-AU"/>
    </w:rPr>
  </w:style>
  <w:style w:type="character" w:customStyle="1" w:styleId="Heading4Char">
    <w:name w:val="Heading 4 Char"/>
    <w:basedOn w:val="DefaultParagraphFont"/>
    <w:link w:val="Heading4"/>
    <w:uiPriority w:val="9"/>
    <w:rsid w:val="00221DC0"/>
    <w:rPr>
      <w:rFonts w:ascii="Palatino Linotype" w:eastAsiaTheme="majorEastAsia" w:hAnsi="Palatino Linotype" w:cstheme="majorBidi"/>
      <w:b/>
      <w:iCs/>
      <w:color w:val="143156"/>
      <w:sz w:val="28"/>
    </w:rPr>
  </w:style>
  <w:style w:type="character" w:customStyle="1" w:styleId="Heading5Char">
    <w:name w:val="Heading 5 Char"/>
    <w:basedOn w:val="DefaultParagraphFont"/>
    <w:link w:val="Heading5"/>
    <w:uiPriority w:val="9"/>
    <w:rsid w:val="00221DC0"/>
    <w:rPr>
      <w:rFonts w:ascii="Verdana" w:eastAsiaTheme="majorEastAsia" w:hAnsi="Verdana" w:cstheme="majorBidi"/>
      <w:b/>
      <w:color w:val="CE2028"/>
    </w:rPr>
  </w:style>
  <w:style w:type="character" w:styleId="Emphasis">
    <w:name w:val="Emphasis"/>
    <w:aliases w:val="Recommendations"/>
    <w:basedOn w:val="DefaultParagraphFont"/>
    <w:uiPriority w:val="20"/>
    <w:rsid w:val="00050924"/>
    <w:rPr>
      <w:rFonts w:ascii="Verdana" w:hAnsi="Verdana"/>
      <w:b/>
      <w:i w:val="0"/>
      <w:iCs/>
      <w:color w:val="CE2028"/>
      <w:sz w:val="24"/>
    </w:rPr>
  </w:style>
  <w:style w:type="paragraph" w:customStyle="1" w:styleId="Recommendation">
    <w:name w:val="Recommendation"/>
    <w:basedOn w:val="Normal"/>
    <w:next w:val="ListNumber"/>
    <w:link w:val="RecommendationChar"/>
    <w:autoRedefine/>
    <w:qFormat/>
    <w:rsid w:val="00640AF3"/>
    <w:pPr>
      <w:keepNext/>
      <w:spacing w:before="240"/>
    </w:pPr>
    <w:rPr>
      <w:b/>
      <w:color w:val="CE2028"/>
    </w:rPr>
  </w:style>
  <w:style w:type="table" w:customStyle="1" w:styleId="ACOSSTable">
    <w:name w:val="ACOSS Table"/>
    <w:basedOn w:val="TableNormal"/>
    <w:uiPriority w:val="99"/>
    <w:rsid w:val="00EB2EF8"/>
    <w:pPr>
      <w:spacing w:after="0"/>
    </w:pPr>
    <w:tblPr>
      <w:tblStyleRowBandSize w:val="1"/>
      <w:tblBorders>
        <w:top w:val="single" w:sz="2" w:space="0" w:color="707070"/>
        <w:left w:val="single" w:sz="2" w:space="0" w:color="707070"/>
        <w:bottom w:val="single" w:sz="2" w:space="0" w:color="707070"/>
        <w:right w:val="single" w:sz="2" w:space="0" w:color="707070"/>
        <w:insideH w:val="single" w:sz="2" w:space="0" w:color="707070"/>
        <w:insideV w:val="single" w:sz="2" w:space="0" w:color="707070"/>
      </w:tblBorders>
    </w:tblPr>
    <w:tblStylePr w:type="firstRow">
      <w:pPr>
        <w:jc w:val="center"/>
      </w:pPr>
      <w:rPr>
        <w:rFonts w:ascii="Verdana" w:hAnsi="Verdana"/>
        <w:color w:val="000000" w:themeColor="text1"/>
        <w:sz w:val="20"/>
      </w:rPr>
      <w:tblPr/>
      <w:tcPr>
        <w:shd w:val="clear" w:color="auto" w:fill="B8DDE1"/>
        <w:vAlign w:val="center"/>
      </w:tcPr>
    </w:tblStylePr>
    <w:tblStylePr w:type="lastRow">
      <w:pPr>
        <w:jc w:val="center"/>
      </w:pPr>
      <w:rPr>
        <w:rFonts w:ascii="Verdana" w:hAnsi="Verdana"/>
        <w:b/>
        <w:sz w:val="20"/>
      </w:rPr>
      <w:tblPr/>
      <w:tcPr>
        <w:shd w:val="clear" w:color="auto" w:fill="D9D9D9" w:themeFill="background1" w:themeFillShade="D9"/>
        <w:vAlign w:val="center"/>
      </w:tcPr>
    </w:tblStylePr>
    <w:tblStylePr w:type="firstCol">
      <w:pPr>
        <w:jc w:val="left"/>
      </w:pPr>
      <w:rPr>
        <w:rFonts w:ascii="Verdana" w:hAnsi="Verdana"/>
        <w:sz w:val="18"/>
      </w:rPr>
      <w:tblPr/>
      <w:tcPr>
        <w:shd w:val="clear" w:color="auto" w:fill="F2F2F2" w:themeFill="background1" w:themeFillShade="F2"/>
        <w:vAlign w:val="center"/>
      </w:tcPr>
    </w:tblStylePr>
    <w:tblStylePr w:type="band1Horz">
      <w:pPr>
        <w:jc w:val="center"/>
      </w:pPr>
      <w:rPr>
        <w:rFonts w:ascii="Verdana" w:hAnsi="Verdana"/>
        <w:color w:val="000000" w:themeColor="text1"/>
        <w:sz w:val="18"/>
      </w:rPr>
      <w:tblPr/>
      <w:tcPr>
        <w:shd w:val="clear" w:color="auto" w:fill="FFFFFF" w:themeFill="background1"/>
        <w:vAlign w:val="center"/>
      </w:tcPr>
    </w:tblStylePr>
    <w:tblStylePr w:type="band2Horz">
      <w:pPr>
        <w:jc w:val="center"/>
      </w:pPr>
      <w:rPr>
        <w:rFonts w:ascii="Verdana" w:hAnsi="Verdana"/>
        <w:sz w:val="18"/>
      </w:rPr>
      <w:tblPr/>
      <w:tcPr>
        <w:shd w:val="clear" w:color="auto" w:fill="EEF7F8"/>
        <w:vAlign w:val="center"/>
      </w:tcPr>
    </w:tblStylePr>
  </w:style>
  <w:style w:type="table" w:styleId="TableGridLight">
    <w:name w:val="Grid Table Light"/>
    <w:basedOn w:val="TableNormal"/>
    <w:uiPriority w:val="40"/>
    <w:rsid w:val="00A712C3"/>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A712C3"/>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A712C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712C3"/>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ummary">
    <w:name w:val="Summary"/>
    <w:basedOn w:val="Normal"/>
    <w:next w:val="List2"/>
    <w:link w:val="SummaryChar"/>
    <w:autoRedefine/>
    <w:qFormat/>
    <w:rsid w:val="00B9346C"/>
    <w:pPr>
      <w:keepNext/>
      <w:spacing w:before="240"/>
    </w:pPr>
    <w:rPr>
      <w:b/>
      <w:color w:val="CE2028"/>
    </w:rPr>
  </w:style>
  <w:style w:type="character" w:customStyle="1" w:styleId="RecommendationChar">
    <w:name w:val="Recommendation Char"/>
    <w:basedOn w:val="DefaultParagraphFont"/>
    <w:link w:val="Recommendation"/>
    <w:rsid w:val="00640AF3"/>
    <w:rPr>
      <w:rFonts w:ascii="Verdana" w:hAnsi="Verdana"/>
      <w:b/>
      <w:noProof/>
      <w:color w:val="CE2028"/>
    </w:rPr>
  </w:style>
  <w:style w:type="character" w:customStyle="1" w:styleId="SummaryChar">
    <w:name w:val="Summary Char"/>
    <w:basedOn w:val="RecommendationChar"/>
    <w:link w:val="Summary"/>
    <w:rsid w:val="00B9346C"/>
    <w:rPr>
      <w:rFonts w:ascii="Verdana" w:hAnsi="Verdana"/>
      <w:b/>
      <w:noProof/>
      <w:color w:val="CE2028"/>
      <w:lang w:val="en-AU"/>
    </w:rPr>
  </w:style>
  <w:style w:type="paragraph" w:styleId="List">
    <w:name w:val="List"/>
    <w:basedOn w:val="Normal"/>
    <w:uiPriority w:val="99"/>
    <w:semiHidden/>
    <w:unhideWhenUsed/>
    <w:rsid w:val="00D239AA"/>
    <w:pPr>
      <w:ind w:left="283" w:hanging="283"/>
      <w:contextualSpacing/>
    </w:pPr>
  </w:style>
  <w:style w:type="paragraph" w:styleId="ListNumber">
    <w:name w:val="List Number"/>
    <w:basedOn w:val="Normal"/>
    <w:uiPriority w:val="99"/>
    <w:unhideWhenUsed/>
    <w:rsid w:val="000C705E"/>
    <w:pPr>
      <w:numPr>
        <w:numId w:val="1"/>
      </w:numPr>
      <w:tabs>
        <w:tab w:val="clear" w:pos="502"/>
        <w:tab w:val="num" w:pos="360"/>
      </w:tabs>
      <w:ind w:left="360"/>
      <w:contextualSpacing/>
    </w:pPr>
  </w:style>
  <w:style w:type="paragraph" w:styleId="ListBullet">
    <w:name w:val="List Bullet"/>
    <w:basedOn w:val="Normal"/>
    <w:uiPriority w:val="99"/>
    <w:semiHidden/>
    <w:unhideWhenUsed/>
    <w:rsid w:val="005C3062"/>
    <w:pPr>
      <w:numPr>
        <w:numId w:val="2"/>
      </w:numPr>
      <w:contextualSpacing/>
    </w:pPr>
  </w:style>
  <w:style w:type="paragraph" w:styleId="List5">
    <w:name w:val="List 5"/>
    <w:basedOn w:val="Normal"/>
    <w:uiPriority w:val="99"/>
    <w:semiHidden/>
    <w:unhideWhenUsed/>
    <w:rsid w:val="005C3062"/>
    <w:pPr>
      <w:ind w:left="1415" w:hanging="283"/>
      <w:contextualSpacing/>
    </w:pPr>
  </w:style>
  <w:style w:type="paragraph" w:styleId="List3">
    <w:name w:val="List 3"/>
    <w:basedOn w:val="Normal"/>
    <w:uiPriority w:val="99"/>
    <w:unhideWhenUsed/>
    <w:rsid w:val="005C3062"/>
    <w:pPr>
      <w:ind w:left="849" w:hanging="283"/>
      <w:contextualSpacing/>
    </w:pPr>
  </w:style>
  <w:style w:type="paragraph" w:styleId="List2">
    <w:name w:val="List 2"/>
    <w:basedOn w:val="Normal"/>
    <w:uiPriority w:val="99"/>
    <w:unhideWhenUsed/>
    <w:rsid w:val="00BC67E3"/>
    <w:pPr>
      <w:ind w:left="566" w:hanging="283"/>
      <w:contextualSpacing/>
    </w:pPr>
  </w:style>
  <w:style w:type="character" w:styleId="CommentReference">
    <w:name w:val="annotation reference"/>
    <w:basedOn w:val="DefaultParagraphFont"/>
    <w:uiPriority w:val="99"/>
    <w:semiHidden/>
    <w:unhideWhenUsed/>
    <w:rsid w:val="00C0614D"/>
    <w:rPr>
      <w:sz w:val="16"/>
      <w:szCs w:val="16"/>
    </w:rPr>
  </w:style>
  <w:style w:type="paragraph" w:styleId="BalloonText">
    <w:name w:val="Balloon Text"/>
    <w:basedOn w:val="Normal"/>
    <w:link w:val="BalloonTextChar"/>
    <w:uiPriority w:val="99"/>
    <w:semiHidden/>
    <w:unhideWhenUsed/>
    <w:rsid w:val="00C061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14D"/>
    <w:rPr>
      <w:rFonts w:ascii="Segoe UI" w:hAnsi="Segoe UI" w:cs="Segoe UI"/>
      <w:color w:val="000000" w:themeColor="text1"/>
      <w:sz w:val="18"/>
      <w:szCs w:val="18"/>
    </w:rPr>
  </w:style>
  <w:style w:type="paragraph" w:customStyle="1" w:styleId="Footnote1">
    <w:name w:val="Footnote1"/>
    <w:basedOn w:val="FootnoteText"/>
    <w:link w:val="Footnote1Char"/>
    <w:qFormat/>
    <w:rsid w:val="00AE133A"/>
    <w:pPr>
      <w:spacing w:after="60" w:line="240" w:lineRule="auto"/>
      <w:ind w:left="0"/>
    </w:pPr>
    <w:rPr>
      <w:rFonts w:eastAsia="Times New Roman" w:cstheme="minorHAnsi"/>
      <w:bCs/>
      <w:color w:val="000000" w:themeColor="text1"/>
      <w:szCs w:val="16"/>
    </w:rPr>
  </w:style>
  <w:style w:type="character" w:customStyle="1" w:styleId="Footnote1Char">
    <w:name w:val="Footnote1 Char"/>
    <w:basedOn w:val="FootnoteTextChar"/>
    <w:link w:val="Footnote1"/>
    <w:rsid w:val="00AE133A"/>
    <w:rPr>
      <w:rFonts w:ascii="Verdana" w:eastAsia="Times New Roman" w:hAnsi="Verdana" w:cstheme="minorHAnsi"/>
      <w:bCs/>
      <w:color w:val="000000" w:themeColor="text1"/>
      <w:sz w:val="16"/>
      <w:szCs w:val="16"/>
      <w:lang w:val="en-AU"/>
    </w:rPr>
  </w:style>
  <w:style w:type="character" w:customStyle="1" w:styleId="epub-state">
    <w:name w:val="epub-state"/>
    <w:basedOn w:val="DefaultParagraphFont"/>
    <w:rsid w:val="008B171A"/>
  </w:style>
  <w:style w:type="character" w:customStyle="1" w:styleId="epub-date">
    <w:name w:val="epub-date"/>
    <w:basedOn w:val="DefaultParagraphFont"/>
    <w:rsid w:val="008B171A"/>
  </w:style>
  <w:style w:type="character" w:styleId="EndnoteReference">
    <w:name w:val="endnote reference"/>
    <w:basedOn w:val="DefaultParagraphFont"/>
    <w:uiPriority w:val="99"/>
    <w:semiHidden/>
    <w:unhideWhenUsed/>
    <w:rsid w:val="0074724B"/>
    <w:rPr>
      <w:vertAlign w:val="superscript"/>
    </w:rPr>
  </w:style>
  <w:style w:type="paragraph" w:styleId="NormalWeb">
    <w:name w:val="Normal (Web)"/>
    <w:basedOn w:val="Normal"/>
    <w:uiPriority w:val="99"/>
    <w:unhideWhenUsed/>
    <w:rsid w:val="003340D8"/>
    <w:pPr>
      <w:spacing w:before="100" w:beforeAutospacing="1" w:after="100" w:afterAutospacing="1" w:line="240" w:lineRule="auto"/>
      <w:ind w:left="0"/>
    </w:pPr>
    <w:rPr>
      <w:rFonts w:ascii="Times New Roman" w:eastAsia="Times New Roman" w:hAnsi="Times New Roman" w:cs="Times New Roman"/>
      <w:sz w:val="24"/>
      <w:szCs w:val="24"/>
      <w:lang w:val="en-US"/>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1F2C1D"/>
    <w:rPr>
      <w:rFonts w:ascii="Verdana" w:hAnsi="Verdana"/>
      <w:lang w:val="en-AU"/>
    </w:rPr>
  </w:style>
  <w:style w:type="paragraph" w:customStyle="1" w:styleId="xxmsonormal">
    <w:name w:val="xxmsonormal"/>
    <w:basedOn w:val="Normal"/>
    <w:rsid w:val="00DD56F7"/>
    <w:pPr>
      <w:spacing w:before="0" w:after="0" w:line="240" w:lineRule="auto"/>
      <w:ind w:left="0"/>
    </w:pPr>
    <w:rPr>
      <w:rFonts w:ascii="Calibri" w:hAnsi="Calibri" w:cs="Calibri"/>
      <w:lang w:val="en-US"/>
    </w:rPr>
  </w:style>
  <w:style w:type="paragraph" w:styleId="CommentSubject">
    <w:name w:val="annotation subject"/>
    <w:basedOn w:val="CommentText"/>
    <w:next w:val="CommentText"/>
    <w:link w:val="CommentSubjectChar"/>
    <w:uiPriority w:val="99"/>
    <w:semiHidden/>
    <w:unhideWhenUsed/>
    <w:rsid w:val="00DB3A92"/>
    <w:pPr>
      <w:spacing w:line="240" w:lineRule="auto"/>
    </w:pPr>
    <w:rPr>
      <w:b/>
      <w:bCs/>
      <w:sz w:val="20"/>
    </w:rPr>
  </w:style>
  <w:style w:type="character" w:customStyle="1" w:styleId="CommentSubjectChar">
    <w:name w:val="Comment Subject Char"/>
    <w:basedOn w:val="CommentTextChar"/>
    <w:link w:val="CommentSubject"/>
    <w:uiPriority w:val="99"/>
    <w:semiHidden/>
    <w:rsid w:val="00DB3A92"/>
    <w:rPr>
      <w:rFonts w:ascii="Verdana" w:hAnsi="Verdana"/>
      <w:b/>
      <w:bCs/>
      <w:color w:val="000000" w:themeColor="text1"/>
      <w:sz w:val="20"/>
      <w:szCs w:val="20"/>
      <w:lang w:val="en-AU"/>
    </w:rPr>
  </w:style>
  <w:style w:type="paragraph" w:styleId="Revision">
    <w:name w:val="Revision"/>
    <w:hidden/>
    <w:uiPriority w:val="99"/>
    <w:semiHidden/>
    <w:rsid w:val="00DB3A92"/>
    <w:pPr>
      <w:spacing w:after="0"/>
      <w:jc w:val="left"/>
    </w:pPr>
    <w:rPr>
      <w:rFonts w:ascii="Verdana" w:hAnsi="Verdana"/>
      <w:lang w:val="en-AU"/>
    </w:rPr>
  </w:style>
  <w:style w:type="character" w:customStyle="1" w:styleId="UnresolvedMention1">
    <w:name w:val="Unresolved Mention1"/>
    <w:basedOn w:val="DefaultParagraphFont"/>
    <w:uiPriority w:val="99"/>
    <w:semiHidden/>
    <w:unhideWhenUsed/>
    <w:rsid w:val="002755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72455">
      <w:bodyDiv w:val="1"/>
      <w:marLeft w:val="0"/>
      <w:marRight w:val="0"/>
      <w:marTop w:val="0"/>
      <w:marBottom w:val="0"/>
      <w:divBdr>
        <w:top w:val="none" w:sz="0" w:space="0" w:color="auto"/>
        <w:left w:val="none" w:sz="0" w:space="0" w:color="auto"/>
        <w:bottom w:val="none" w:sz="0" w:space="0" w:color="auto"/>
        <w:right w:val="none" w:sz="0" w:space="0" w:color="auto"/>
      </w:divBdr>
    </w:div>
    <w:div w:id="327484150">
      <w:bodyDiv w:val="1"/>
      <w:marLeft w:val="0"/>
      <w:marRight w:val="0"/>
      <w:marTop w:val="0"/>
      <w:marBottom w:val="0"/>
      <w:divBdr>
        <w:top w:val="none" w:sz="0" w:space="0" w:color="auto"/>
        <w:left w:val="none" w:sz="0" w:space="0" w:color="auto"/>
        <w:bottom w:val="none" w:sz="0" w:space="0" w:color="auto"/>
        <w:right w:val="none" w:sz="0" w:space="0" w:color="auto"/>
      </w:divBdr>
    </w:div>
    <w:div w:id="441581950">
      <w:bodyDiv w:val="1"/>
      <w:marLeft w:val="0"/>
      <w:marRight w:val="0"/>
      <w:marTop w:val="0"/>
      <w:marBottom w:val="0"/>
      <w:divBdr>
        <w:top w:val="none" w:sz="0" w:space="0" w:color="auto"/>
        <w:left w:val="none" w:sz="0" w:space="0" w:color="auto"/>
        <w:bottom w:val="none" w:sz="0" w:space="0" w:color="auto"/>
        <w:right w:val="none" w:sz="0" w:space="0" w:color="auto"/>
      </w:divBdr>
    </w:div>
    <w:div w:id="737292514">
      <w:bodyDiv w:val="1"/>
      <w:marLeft w:val="0"/>
      <w:marRight w:val="0"/>
      <w:marTop w:val="0"/>
      <w:marBottom w:val="0"/>
      <w:divBdr>
        <w:top w:val="none" w:sz="0" w:space="0" w:color="auto"/>
        <w:left w:val="none" w:sz="0" w:space="0" w:color="auto"/>
        <w:bottom w:val="none" w:sz="0" w:space="0" w:color="auto"/>
        <w:right w:val="none" w:sz="0" w:space="0" w:color="auto"/>
      </w:divBdr>
    </w:div>
    <w:div w:id="1004748707">
      <w:bodyDiv w:val="1"/>
      <w:marLeft w:val="0"/>
      <w:marRight w:val="0"/>
      <w:marTop w:val="0"/>
      <w:marBottom w:val="0"/>
      <w:divBdr>
        <w:top w:val="none" w:sz="0" w:space="0" w:color="auto"/>
        <w:left w:val="none" w:sz="0" w:space="0" w:color="auto"/>
        <w:bottom w:val="none" w:sz="0" w:space="0" w:color="auto"/>
        <w:right w:val="none" w:sz="0" w:space="0" w:color="auto"/>
      </w:divBdr>
    </w:div>
    <w:div w:id="1109013554">
      <w:bodyDiv w:val="1"/>
      <w:marLeft w:val="0"/>
      <w:marRight w:val="0"/>
      <w:marTop w:val="0"/>
      <w:marBottom w:val="0"/>
      <w:divBdr>
        <w:top w:val="none" w:sz="0" w:space="0" w:color="auto"/>
        <w:left w:val="none" w:sz="0" w:space="0" w:color="auto"/>
        <w:bottom w:val="none" w:sz="0" w:space="0" w:color="auto"/>
        <w:right w:val="none" w:sz="0" w:space="0" w:color="auto"/>
      </w:divBdr>
    </w:div>
    <w:div w:id="1333603293">
      <w:bodyDiv w:val="1"/>
      <w:marLeft w:val="0"/>
      <w:marRight w:val="0"/>
      <w:marTop w:val="0"/>
      <w:marBottom w:val="0"/>
      <w:divBdr>
        <w:top w:val="none" w:sz="0" w:space="0" w:color="auto"/>
        <w:left w:val="none" w:sz="0" w:space="0" w:color="auto"/>
        <w:bottom w:val="none" w:sz="0" w:space="0" w:color="auto"/>
        <w:right w:val="none" w:sz="0" w:space="0" w:color="auto"/>
      </w:divBdr>
      <w:divsChild>
        <w:div w:id="960375984">
          <w:marLeft w:val="0"/>
          <w:marRight w:val="0"/>
          <w:marTop w:val="225"/>
          <w:marBottom w:val="225"/>
          <w:divBdr>
            <w:top w:val="none" w:sz="0" w:space="0" w:color="auto"/>
            <w:left w:val="none" w:sz="0" w:space="0" w:color="auto"/>
            <w:bottom w:val="none" w:sz="0" w:space="0" w:color="auto"/>
            <w:right w:val="none" w:sz="0" w:space="0" w:color="auto"/>
          </w:divBdr>
          <w:divsChild>
            <w:div w:id="1963413471">
              <w:marLeft w:val="0"/>
              <w:marRight w:val="0"/>
              <w:marTop w:val="0"/>
              <w:marBottom w:val="0"/>
              <w:divBdr>
                <w:top w:val="none" w:sz="0" w:space="0" w:color="auto"/>
                <w:left w:val="none" w:sz="0" w:space="0" w:color="auto"/>
                <w:bottom w:val="none" w:sz="0" w:space="0" w:color="auto"/>
                <w:right w:val="none" w:sz="0" w:space="0" w:color="auto"/>
              </w:divBdr>
              <w:divsChild>
                <w:div w:id="883954922">
                  <w:marLeft w:val="0"/>
                  <w:marRight w:val="0"/>
                  <w:marTop w:val="0"/>
                  <w:marBottom w:val="0"/>
                  <w:divBdr>
                    <w:top w:val="none" w:sz="0" w:space="0" w:color="auto"/>
                    <w:left w:val="none" w:sz="0" w:space="0" w:color="auto"/>
                    <w:bottom w:val="none" w:sz="0" w:space="0" w:color="auto"/>
                    <w:right w:val="none" w:sz="0" w:space="0" w:color="auto"/>
                  </w:divBdr>
                  <w:divsChild>
                    <w:div w:id="119160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98539">
          <w:marLeft w:val="0"/>
          <w:marRight w:val="0"/>
          <w:marTop w:val="225"/>
          <w:marBottom w:val="225"/>
          <w:divBdr>
            <w:top w:val="none" w:sz="0" w:space="0" w:color="auto"/>
            <w:left w:val="none" w:sz="0" w:space="0" w:color="auto"/>
            <w:bottom w:val="none" w:sz="0" w:space="0" w:color="auto"/>
            <w:right w:val="none" w:sz="0" w:space="0" w:color="auto"/>
          </w:divBdr>
          <w:divsChild>
            <w:div w:id="1772360409">
              <w:marLeft w:val="0"/>
              <w:marRight w:val="0"/>
              <w:marTop w:val="0"/>
              <w:marBottom w:val="0"/>
              <w:divBdr>
                <w:top w:val="none" w:sz="0" w:space="0" w:color="auto"/>
                <w:left w:val="none" w:sz="0" w:space="0" w:color="auto"/>
                <w:bottom w:val="none" w:sz="0" w:space="0" w:color="auto"/>
                <w:right w:val="none" w:sz="0" w:space="0" w:color="auto"/>
              </w:divBdr>
            </w:div>
            <w:div w:id="37743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344949">
      <w:bodyDiv w:val="1"/>
      <w:marLeft w:val="0"/>
      <w:marRight w:val="0"/>
      <w:marTop w:val="0"/>
      <w:marBottom w:val="0"/>
      <w:divBdr>
        <w:top w:val="none" w:sz="0" w:space="0" w:color="auto"/>
        <w:left w:val="none" w:sz="0" w:space="0" w:color="auto"/>
        <w:bottom w:val="none" w:sz="0" w:space="0" w:color="auto"/>
        <w:right w:val="none" w:sz="0" w:space="0" w:color="auto"/>
      </w:divBdr>
    </w:div>
    <w:div w:id="1909924618">
      <w:bodyDiv w:val="1"/>
      <w:marLeft w:val="0"/>
      <w:marRight w:val="0"/>
      <w:marTop w:val="0"/>
      <w:marBottom w:val="0"/>
      <w:divBdr>
        <w:top w:val="none" w:sz="0" w:space="0" w:color="auto"/>
        <w:left w:val="none" w:sz="0" w:space="0" w:color="auto"/>
        <w:bottom w:val="none" w:sz="0" w:space="0" w:color="auto"/>
        <w:right w:val="none" w:sz="0" w:space="0" w:color="auto"/>
      </w:divBdr>
    </w:div>
    <w:div w:id="1940985460">
      <w:bodyDiv w:val="1"/>
      <w:marLeft w:val="0"/>
      <w:marRight w:val="0"/>
      <w:marTop w:val="0"/>
      <w:marBottom w:val="0"/>
      <w:divBdr>
        <w:top w:val="none" w:sz="0" w:space="0" w:color="auto"/>
        <w:left w:val="none" w:sz="0" w:space="0" w:color="auto"/>
        <w:bottom w:val="none" w:sz="0" w:space="0" w:color="auto"/>
        <w:right w:val="none" w:sz="0" w:space="0" w:color="auto"/>
      </w:divBdr>
    </w:div>
    <w:div w:id="202107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t.co/50oti9XEcM?amp=1" TargetMode="External"/><Relationship Id="rId18"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https://jobsearch.gov.au/mor" TargetMode="External"/><Relationship Id="rId17" Type="http://schemas.openxmlformats.org/officeDocument/2006/relationships/hyperlink" Target="https://jobsearch.gov.au/mor" TargetMode="Externa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aihw.gov.au/getmedia/a69ee08a-857f-412b-b617-a29acb66a475/aihw-phe-287.pdf.aspx?inline=true"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coss.org.au/media-releases/?media_release=acoss-backs-call-for-vaccination-gap-for-people-with-disability-to-be-closed-before-easing-covid-restrictions-as-well-as-for-other-high-risk-groups"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acoss.org.au" TargetMode="External"/><Relationship Id="rId1" Type="http://schemas.openxmlformats.org/officeDocument/2006/relationships/hyperlink" Target="mailto:info@acoss.org.a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legislation.gov.au/Series/F2018L0077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304C6C0664CB47B27B9B2CC4605539" ma:contentTypeVersion="4" ma:contentTypeDescription="Create a new document." ma:contentTypeScope="" ma:versionID="fed88751282336296bc0083263e028cc">
  <xsd:schema xmlns:xsd="http://www.w3.org/2001/XMLSchema" xmlns:xs="http://www.w3.org/2001/XMLSchema" xmlns:p="http://schemas.microsoft.com/office/2006/metadata/properties" xmlns:ns3="7127328a-8d49-4169-974e-8df3a5153922" targetNamespace="http://schemas.microsoft.com/office/2006/metadata/properties" ma:root="true" ma:fieldsID="4c1dafc06a91902ab8ecbd92ffcb2d4e" ns3:_="">
    <xsd:import namespace="7127328a-8d49-4169-974e-8df3a515392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27328a-8d49-4169-974e-8df3a51539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2DD53-08AD-4F65-A2FC-2A9C07B03B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78C4F1A-7193-416C-9EAA-B55AC6B267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27328a-8d49-4169-974e-8df3a51539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3B8CFF-C441-4AD1-A6AB-BBCCD682A69E}">
  <ds:schemaRefs>
    <ds:schemaRef ds:uri="http://schemas.microsoft.com/sharepoint/v3/contenttype/forms"/>
  </ds:schemaRefs>
</ds:datastoreItem>
</file>

<file path=customXml/itemProps4.xml><?xml version="1.0" encoding="utf-8"?>
<ds:datastoreItem xmlns:ds="http://schemas.openxmlformats.org/officeDocument/2006/customXml" ds:itemID="{80BD3DA2-ECBE-4A15-BB8C-812691241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3098</Words>
  <Characters>17659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20716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Casey</dc:creator>
  <cp:keywords/>
  <dc:description/>
  <cp:lastModifiedBy>Peter Davidson</cp:lastModifiedBy>
  <cp:revision>2</cp:revision>
  <dcterms:created xsi:type="dcterms:W3CDTF">2021-10-12T01:27:00Z</dcterms:created>
  <dcterms:modified xsi:type="dcterms:W3CDTF">2021-10-12T01:27:00Z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0x0101003D304C6C0664CB47B27B9B2CC4605539</vt:lpwstr>
  </property>
</Properties>
</file>