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14C92" w14:textId="37B94A71" w:rsidR="000F20F9" w:rsidRPr="00195153" w:rsidRDefault="0018750D" w:rsidP="000F20F9">
      <w:pPr>
        <w:pStyle w:val="Subtitle"/>
        <w:rPr>
          <w:rFonts w:eastAsiaTheme="majorEastAsia" w:cstheme="majorBidi"/>
          <w:spacing w:val="-10"/>
          <w:kern w:val="28"/>
          <w:sz w:val="56"/>
          <w:szCs w:val="56"/>
          <w:lang w:val="en-AU"/>
        </w:rPr>
      </w:pPr>
      <w:r>
        <w:rPr>
          <w:rFonts w:eastAsiaTheme="majorEastAsia" w:cstheme="majorBidi"/>
          <w:spacing w:val="-10"/>
          <w:kern w:val="28"/>
          <w:sz w:val="56"/>
          <w:szCs w:val="56"/>
          <w:lang w:val="en-AU"/>
        </w:rPr>
        <w:t xml:space="preserve">Why </w:t>
      </w:r>
      <w:r w:rsidR="00A85972">
        <w:rPr>
          <w:rFonts w:eastAsiaTheme="majorEastAsia" w:cstheme="majorBidi"/>
          <w:spacing w:val="-10"/>
          <w:kern w:val="28"/>
          <w:sz w:val="56"/>
          <w:szCs w:val="56"/>
          <w:lang w:val="en-AU"/>
        </w:rPr>
        <w:t>parliament must op</w:t>
      </w:r>
      <w:r w:rsidR="0021337C">
        <w:rPr>
          <w:rFonts w:eastAsiaTheme="majorEastAsia" w:cstheme="majorBidi"/>
          <w:spacing w:val="-10"/>
          <w:kern w:val="28"/>
          <w:sz w:val="56"/>
          <w:szCs w:val="56"/>
          <w:lang w:val="en-AU"/>
        </w:rPr>
        <w:t>pose the Newly Arrived Resident</w:t>
      </w:r>
      <w:r w:rsidR="00A85972">
        <w:rPr>
          <w:rFonts w:eastAsiaTheme="majorEastAsia" w:cstheme="majorBidi"/>
          <w:spacing w:val="-10"/>
          <w:kern w:val="28"/>
          <w:sz w:val="56"/>
          <w:szCs w:val="56"/>
          <w:lang w:val="en-AU"/>
        </w:rPr>
        <w:t xml:space="preserve"> budget cut</w:t>
      </w:r>
    </w:p>
    <w:p w14:paraId="780CBF6B" w14:textId="09A1BDAA" w:rsidR="007C61BA" w:rsidRPr="00621F78" w:rsidRDefault="00C841A5" w:rsidP="000164F1">
      <w:pPr>
        <w:pStyle w:val="Title"/>
        <w:rPr>
          <w:rStyle w:val="Strong"/>
          <w:b w:val="0"/>
          <w:bCs w:val="0"/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May</w:t>
      </w:r>
      <w:r w:rsidR="008E1591">
        <w:rPr>
          <w:sz w:val="28"/>
          <w:szCs w:val="28"/>
          <w:lang w:val="en-AU"/>
        </w:rPr>
        <w:t xml:space="preserve"> 2021</w:t>
      </w:r>
      <w:r w:rsidR="00F97877" w:rsidRPr="00195153">
        <w:rPr>
          <w:sz w:val="28"/>
          <w:szCs w:val="28"/>
          <w:lang w:val="en-AU"/>
        </w:rPr>
        <w:br/>
      </w:r>
      <w:r w:rsidR="007C61BA" w:rsidRPr="00621F78">
        <w:rPr>
          <w:noProof/>
        </w:rPr>
        <w:drawing>
          <wp:inline distT="0" distB="0" distL="0" distR="0" wp14:anchorId="759E83E8" wp14:editId="5D3749A6">
            <wp:extent cx="359664" cy="359664"/>
            <wp:effectExtent l="0" t="0" r="2540" b="2540"/>
            <wp:docPr id="1" name="Picture 1" descr="Simple Yellow Line Graphic" title="Titl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Divi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68B73" w14:textId="66583479" w:rsidR="007E7D10" w:rsidRDefault="007E7D10" w:rsidP="005F1CD6">
      <w:pPr>
        <w:pStyle w:val="Heading1"/>
        <w:rPr>
          <w:lang w:val="en-AU"/>
        </w:rPr>
      </w:pPr>
      <w:r>
        <w:rPr>
          <w:lang w:val="en-AU"/>
        </w:rPr>
        <w:t xml:space="preserve">What is this cut and why does it matter?  </w:t>
      </w:r>
    </w:p>
    <w:p w14:paraId="3C4517BE" w14:textId="5134D3C3" w:rsidR="007E7D10" w:rsidRPr="007E7D10" w:rsidRDefault="007E7D10" w:rsidP="005F1CD6">
      <w:pPr>
        <w:rPr>
          <w:lang w:val="en-AU"/>
        </w:rPr>
      </w:pPr>
      <w:r>
        <w:rPr>
          <w:lang w:val="en-AU"/>
        </w:rPr>
        <w:t xml:space="preserve">The government </w:t>
      </w:r>
      <w:r w:rsidR="0018750D">
        <w:rPr>
          <w:lang w:val="en-AU"/>
        </w:rPr>
        <w:t>announced it would apply a four-</w:t>
      </w:r>
      <w:r>
        <w:rPr>
          <w:lang w:val="en-AU"/>
        </w:rPr>
        <w:t xml:space="preserve">year wait to family and carer social security payments, as well as Paid Parental Leave for people who are </w:t>
      </w:r>
      <w:r w:rsidR="0021337C">
        <w:rPr>
          <w:lang w:val="en-AU"/>
        </w:rPr>
        <w:t>granted a permanent visa from 1 January 2022</w:t>
      </w:r>
      <w:r>
        <w:rPr>
          <w:lang w:val="en-AU"/>
        </w:rPr>
        <w:t>.</w:t>
      </w:r>
    </w:p>
    <w:p w14:paraId="41ACA505" w14:textId="65FBB60D" w:rsidR="007E7D10" w:rsidRPr="00C72DA2" w:rsidRDefault="007E7D10" w:rsidP="005F1CD6">
      <w:pPr>
        <w:rPr>
          <w:b/>
        </w:rPr>
      </w:pPr>
      <w:r w:rsidRPr="00C72DA2">
        <w:rPr>
          <w:b/>
        </w:rPr>
        <w:t>The following waiting periods currently apply to new residents</w:t>
      </w:r>
      <w:r w:rsidR="0021337C">
        <w:rPr>
          <w:b/>
        </w:rPr>
        <w:t xml:space="preserve"> under the Newly Arrived Resident’s Waiting Period</w:t>
      </w:r>
      <w:r w:rsidRPr="00C72DA2">
        <w:rPr>
          <w:b/>
        </w:rPr>
        <w:t>:</w:t>
      </w:r>
    </w:p>
    <w:p w14:paraId="7124240C" w14:textId="409051A5" w:rsidR="007E7D10" w:rsidRPr="005F1CD6" w:rsidRDefault="007E7D10" w:rsidP="005F1CD6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5F1CD6">
        <w:rPr>
          <w:rFonts w:ascii="Verdana" w:hAnsi="Verdana"/>
        </w:rPr>
        <w:t xml:space="preserve">No wait for Family Tax Benefit Part B </w:t>
      </w:r>
    </w:p>
    <w:p w14:paraId="1E8B53A3" w14:textId="3569E53B" w:rsidR="00B44468" w:rsidRPr="005F1CD6" w:rsidRDefault="00B44468" w:rsidP="005F1CD6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5F1CD6">
        <w:rPr>
          <w:rFonts w:ascii="Verdana" w:hAnsi="Verdana"/>
        </w:rPr>
        <w:t>One-year wait for Family Tax Benefit Part A, Carer Allowance</w:t>
      </w:r>
    </w:p>
    <w:p w14:paraId="7B98F131" w14:textId="4D9E066A" w:rsidR="00B44468" w:rsidRPr="005F1CD6" w:rsidRDefault="00B44468" w:rsidP="005F1CD6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5F1CD6">
        <w:rPr>
          <w:rFonts w:ascii="Verdana" w:hAnsi="Verdana"/>
        </w:rPr>
        <w:t>Two-year wait for Carer Payment</w:t>
      </w:r>
      <w:r w:rsidR="005E0DF2" w:rsidRPr="005F1CD6">
        <w:rPr>
          <w:rFonts w:ascii="Verdana" w:hAnsi="Verdana"/>
        </w:rPr>
        <w:t>, Paid Parental Leave, Dad and Partner Pay</w:t>
      </w:r>
    </w:p>
    <w:p w14:paraId="7CE8496F" w14:textId="746059FC" w:rsidR="00C72DA2" w:rsidRPr="005F1CD6" w:rsidRDefault="005E0DF2" w:rsidP="005F1CD6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5F1CD6">
        <w:rPr>
          <w:rFonts w:ascii="Verdana" w:hAnsi="Verdana"/>
        </w:rPr>
        <w:t>Four-year wait for JobSeeker Payment, Youth Allowance, Special Benefit and Parenting Payment.</w:t>
      </w:r>
    </w:p>
    <w:p w14:paraId="62107FEB" w14:textId="3AE08A08" w:rsidR="00C72DA2" w:rsidRDefault="00C72DA2" w:rsidP="005F1CD6">
      <w:pPr>
        <w:rPr>
          <w:b/>
        </w:rPr>
      </w:pPr>
      <w:r w:rsidRPr="005F1CD6">
        <w:rPr>
          <w:b/>
        </w:rPr>
        <w:t xml:space="preserve">The government wants to apply a four-year wait to Family Tax Benefit Parts A &amp; B, </w:t>
      </w:r>
      <w:proofErr w:type="spellStart"/>
      <w:r w:rsidRPr="005F1CD6">
        <w:rPr>
          <w:b/>
        </w:rPr>
        <w:t>Carer</w:t>
      </w:r>
      <w:proofErr w:type="spellEnd"/>
      <w:r w:rsidRPr="005F1CD6">
        <w:rPr>
          <w:b/>
        </w:rPr>
        <w:t xml:space="preserve"> Allowance, </w:t>
      </w:r>
      <w:proofErr w:type="spellStart"/>
      <w:r w:rsidRPr="005F1CD6">
        <w:rPr>
          <w:b/>
        </w:rPr>
        <w:t>Carer</w:t>
      </w:r>
      <w:proofErr w:type="spellEnd"/>
      <w:r w:rsidRPr="005F1CD6">
        <w:rPr>
          <w:b/>
        </w:rPr>
        <w:t xml:space="preserve"> Payment, Paid Parental Leave and Dad and Partner Pay. </w:t>
      </w:r>
    </w:p>
    <w:p w14:paraId="0B87AFC1" w14:textId="04508904" w:rsidR="0018750D" w:rsidRDefault="0018750D" w:rsidP="005F1CD6">
      <w:r>
        <w:t xml:space="preserve">This will cut $671m from the social security budget over five years.  </w:t>
      </w:r>
    </w:p>
    <w:p w14:paraId="713CC111" w14:textId="42C79692" w:rsidR="0018750D" w:rsidRPr="0018750D" w:rsidRDefault="0018750D" w:rsidP="005F1CD6">
      <w:pPr>
        <w:rPr>
          <w:b/>
        </w:rPr>
      </w:pPr>
      <w:r w:rsidRPr="0018750D">
        <w:rPr>
          <w:b/>
        </w:rPr>
        <w:t xml:space="preserve">ACOSS strongly opposes this cut because it will deny people in need essential support to raise children and care for loved ones. </w:t>
      </w:r>
    </w:p>
    <w:p w14:paraId="345BE27D" w14:textId="58658F76" w:rsidR="00A85972" w:rsidRPr="00A85972" w:rsidRDefault="008E1591" w:rsidP="005F1CD6">
      <w:pPr>
        <w:pStyle w:val="Heading1"/>
        <w:rPr>
          <w:lang w:val="en-AU"/>
        </w:rPr>
      </w:pPr>
      <w:r>
        <w:rPr>
          <w:lang w:val="en-AU"/>
        </w:rPr>
        <w:t xml:space="preserve">How many people </w:t>
      </w:r>
      <w:r w:rsidR="00A85972">
        <w:rPr>
          <w:lang w:val="en-AU"/>
        </w:rPr>
        <w:t>will be affected?</w:t>
      </w:r>
    </w:p>
    <w:p w14:paraId="1677FF75" w14:textId="36A4AEEE" w:rsidR="00B03020" w:rsidRDefault="00B03020" w:rsidP="005F1CD6">
      <w:pPr>
        <w:rPr>
          <w:lang w:val="en-AU"/>
        </w:rPr>
      </w:pPr>
      <w:r>
        <w:rPr>
          <w:lang w:val="en-AU"/>
        </w:rPr>
        <w:t xml:space="preserve">The Department of Social Services expects </w:t>
      </w:r>
      <w:r w:rsidR="00A85972" w:rsidRPr="009479C8">
        <w:rPr>
          <w:b/>
          <w:lang w:val="en-AU"/>
        </w:rPr>
        <w:t>45,000 families</w:t>
      </w:r>
      <w:r w:rsidR="0032726B" w:rsidRPr="009479C8">
        <w:rPr>
          <w:b/>
          <w:lang w:val="en-AU"/>
        </w:rPr>
        <w:t xml:space="preserve"> </w:t>
      </w:r>
      <w:r w:rsidRPr="009479C8">
        <w:rPr>
          <w:b/>
          <w:lang w:val="en-AU"/>
        </w:rPr>
        <w:t>and 13,200 individuals</w:t>
      </w:r>
      <w:r w:rsidR="00514968">
        <w:rPr>
          <w:b/>
          <w:lang w:val="en-AU"/>
        </w:rPr>
        <w:t xml:space="preserve"> who are granted a permanent visa on or after 1 January 2022</w:t>
      </w:r>
      <w:r>
        <w:rPr>
          <w:lang w:val="en-AU"/>
        </w:rPr>
        <w:t xml:space="preserve"> to </w:t>
      </w:r>
      <w:r w:rsidR="009479C8">
        <w:rPr>
          <w:lang w:val="en-AU"/>
        </w:rPr>
        <w:t>lose</w:t>
      </w:r>
      <w:r>
        <w:rPr>
          <w:lang w:val="en-AU"/>
        </w:rPr>
        <w:t xml:space="preserve"> social security that they would otherwise be eligible for.</w:t>
      </w:r>
      <w:r w:rsidR="009479C8">
        <w:rPr>
          <w:lang w:val="en-AU"/>
        </w:rPr>
        <w:t xml:space="preserve"> ACOSS expects that the vast majority of people affected will be women </w:t>
      </w:r>
      <w:r w:rsidR="0018750D">
        <w:rPr>
          <w:lang w:val="en-AU"/>
        </w:rPr>
        <w:t xml:space="preserve">and children </w:t>
      </w:r>
      <w:r w:rsidR="00F112D2">
        <w:rPr>
          <w:lang w:val="en-AU"/>
        </w:rPr>
        <w:t>as</w:t>
      </w:r>
      <w:r w:rsidR="009479C8">
        <w:rPr>
          <w:lang w:val="en-AU"/>
        </w:rPr>
        <w:t xml:space="preserve"> the payments affected are provided to people providing care. The people affected would also likely be in low-paid employment.  </w:t>
      </w:r>
    </w:p>
    <w:p w14:paraId="5129C798" w14:textId="7EDB16FE" w:rsidR="0018750D" w:rsidRDefault="0018750D" w:rsidP="005F1CD6">
      <w:pPr>
        <w:rPr>
          <w:lang w:val="en-AU"/>
        </w:rPr>
      </w:pPr>
      <w:r>
        <w:rPr>
          <w:lang w:val="en-AU"/>
        </w:rPr>
        <w:t>Humanitarian visa holders are exempt from serving the Newly Arrived Resident</w:t>
      </w:r>
      <w:r w:rsidR="0021337C">
        <w:rPr>
          <w:lang w:val="en-AU"/>
        </w:rPr>
        <w:t>’</w:t>
      </w:r>
      <w:r>
        <w:rPr>
          <w:lang w:val="en-AU"/>
        </w:rPr>
        <w:t xml:space="preserve">s Waiting Period. </w:t>
      </w:r>
    </w:p>
    <w:p w14:paraId="5395A05D" w14:textId="0A244E47" w:rsidR="008E1591" w:rsidRDefault="009479C8" w:rsidP="005F1CD6">
      <w:pPr>
        <w:pStyle w:val="Heading1"/>
        <w:rPr>
          <w:lang w:val="en-AU"/>
        </w:rPr>
      </w:pPr>
      <w:r>
        <w:rPr>
          <w:lang w:val="en-AU"/>
        </w:rPr>
        <w:lastRenderedPageBreak/>
        <w:t xml:space="preserve">Shouldn’t migrants support themselves? </w:t>
      </w:r>
      <w:r w:rsidR="0032726B">
        <w:rPr>
          <w:lang w:val="en-AU"/>
        </w:rPr>
        <w:t xml:space="preserve"> </w:t>
      </w:r>
    </w:p>
    <w:p w14:paraId="11475785" w14:textId="746B384D" w:rsidR="005F1CD6" w:rsidRDefault="00F112D2" w:rsidP="005F1CD6">
      <w:pPr>
        <w:rPr>
          <w:lang w:val="en-AU"/>
        </w:rPr>
      </w:pPr>
      <w:r>
        <w:rPr>
          <w:lang w:val="en-AU"/>
        </w:rPr>
        <w:t>As Economic Justice Australia has highlighted, many migrants spend years working in Australia before they can access permanent residency.</w:t>
      </w:r>
      <w:r>
        <w:rPr>
          <w:rStyle w:val="FootnoteReference"/>
          <w:lang w:val="en-AU"/>
        </w:rPr>
        <w:footnoteReference w:id="1"/>
      </w:r>
      <w:r>
        <w:rPr>
          <w:lang w:val="en-AU"/>
        </w:rPr>
        <w:t xml:space="preserve"> </w:t>
      </w:r>
      <w:r w:rsidR="005F1CD6">
        <w:rPr>
          <w:lang w:val="en-AU"/>
        </w:rPr>
        <w:t>The denial of Family Tax Benefit for four years</w:t>
      </w:r>
      <w:r w:rsidR="00D13713">
        <w:rPr>
          <w:lang w:val="en-AU"/>
        </w:rPr>
        <w:t xml:space="preserve"> from when a permanent visa is granted</w:t>
      </w:r>
      <w:r w:rsidR="005F1CD6">
        <w:rPr>
          <w:lang w:val="en-AU"/>
        </w:rPr>
        <w:t xml:space="preserve"> will hurt children born in Australia who have migrant parents. FTB Part A is paid per child, and FTB Part B is paid to single-income families (many of whom are single parents). These children will likely be living in poverty as a result, as FTB is a critical payment for low-income families, including families in low-paid work. </w:t>
      </w:r>
    </w:p>
    <w:p w14:paraId="6DEA1D2D" w14:textId="223FA2C0" w:rsidR="009479C8" w:rsidRPr="0018750D" w:rsidRDefault="005F1CD6" w:rsidP="005F1CD6">
      <w:r>
        <w:t xml:space="preserve">As </w:t>
      </w:r>
      <w:proofErr w:type="spellStart"/>
      <w:r>
        <w:t>Carer</w:t>
      </w:r>
      <w:proofErr w:type="spellEnd"/>
      <w:r>
        <w:t xml:space="preserve"> Payment and Allowance would also be subjected to </w:t>
      </w:r>
      <w:bookmarkStart w:id="0" w:name="_GoBack"/>
      <w:bookmarkEnd w:id="0"/>
      <w:r>
        <w:t xml:space="preserve">a four-year wait if </w:t>
      </w:r>
      <w:r w:rsidR="0018750D">
        <w:t xml:space="preserve">the </w:t>
      </w:r>
      <w:r>
        <w:t>legislation passes parliament, migrants who end up taking on a caring role will be denied support to do so.</w:t>
      </w:r>
      <w:r w:rsidR="00AE4E04">
        <w:t xml:space="preserve"> This will likely end up costing governments more as people end up in formal care settings like residential aged care. </w:t>
      </w:r>
      <w:r>
        <w:t xml:space="preserve"> </w:t>
      </w:r>
    </w:p>
    <w:p w14:paraId="63BA68C4" w14:textId="5F9B137F" w:rsidR="00E57451" w:rsidRPr="009479C8" w:rsidRDefault="0018750D" w:rsidP="005F1CD6">
      <w:pPr>
        <w:pStyle w:val="Heading1"/>
        <w:rPr>
          <w:lang w:val="en-AU"/>
        </w:rPr>
      </w:pPr>
      <w:r>
        <w:rPr>
          <w:lang w:val="en-AU"/>
        </w:rPr>
        <w:t>What parliament must do</w:t>
      </w:r>
      <w:r w:rsidR="00E57451">
        <w:rPr>
          <w:lang w:val="en-AU"/>
        </w:rPr>
        <w:t xml:space="preserve">  </w:t>
      </w:r>
    </w:p>
    <w:p w14:paraId="42BE04F4" w14:textId="66D7B80D" w:rsidR="0018750D" w:rsidRPr="00950844" w:rsidRDefault="0018750D" w:rsidP="0018750D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ACOSS is urging the Federal Parliament to oppose these cuts, which only serve to deny </w:t>
      </w:r>
      <w:r w:rsidR="006C0FE0">
        <w:t xml:space="preserve">migrants, especially </w:t>
      </w:r>
      <w:r>
        <w:t>women and</w:t>
      </w:r>
      <w:r w:rsidR="006C0FE0">
        <w:t xml:space="preserve"> their</w:t>
      </w:r>
      <w:r>
        <w:t xml:space="preserve"> children essential payments that help prevent poverty.</w:t>
      </w:r>
      <w:r w:rsidR="006C0FE0">
        <w:t xml:space="preserve"> It will also undermine efforts elsewhere in the budget to improve the safety</w:t>
      </w:r>
      <w:r w:rsidR="00950844">
        <w:t xml:space="preserve"> and economic security</w:t>
      </w:r>
      <w:r w:rsidR="006C0FE0">
        <w:t xml:space="preserve"> of migrant women</w:t>
      </w:r>
      <w:r w:rsidR="00950844" w:rsidRPr="00950844">
        <w:t xml:space="preserve"> (</w:t>
      </w:r>
      <w:r w:rsidR="00514968">
        <w:t xml:space="preserve">such as </w:t>
      </w:r>
      <w:r w:rsidR="00950844" w:rsidRPr="00950844">
        <w:t>the $29.3m</w:t>
      </w:r>
      <w:r w:rsidR="00950844">
        <w:t xml:space="preserve"> over three years</w:t>
      </w:r>
      <w:r w:rsidR="00950844" w:rsidRPr="00950844">
        <w:rPr>
          <w:rFonts w:eastAsia="Times New Roman"/>
        </w:rPr>
        <w:t xml:space="preserve"> </w:t>
      </w:r>
      <w:r w:rsidR="00950844" w:rsidRPr="00950844">
        <w:rPr>
          <w:rFonts w:eastAsia="Times New Roman" w:cs="Times New Roman"/>
          <w:color w:val="auto"/>
        </w:rPr>
        <w:t>to support refugee women and other migrant women's safety and social economic inclusion).</w:t>
      </w:r>
      <w:r w:rsidR="00F112D2">
        <w:rPr>
          <w:rStyle w:val="FootnoteReference"/>
          <w:rFonts w:eastAsia="Times New Roman" w:cs="Times New Roman"/>
          <w:color w:val="auto"/>
        </w:rPr>
        <w:footnoteReference w:id="2"/>
      </w:r>
    </w:p>
    <w:p w14:paraId="04335D24" w14:textId="21873951" w:rsidR="000B30AB" w:rsidRPr="00621F78" w:rsidRDefault="00560B9F" w:rsidP="005F1CD6">
      <w:pPr>
        <w:rPr>
          <w:lang w:val="en-AU"/>
        </w:rPr>
      </w:pPr>
      <w:r w:rsidRPr="00621F78">
        <w:rPr>
          <w:noProof/>
        </w:rPr>
        <w:drawing>
          <wp:inline distT="0" distB="0" distL="0" distR="0" wp14:anchorId="0BF96389" wp14:editId="796C486C">
            <wp:extent cx="359664" cy="359664"/>
            <wp:effectExtent l="0" t="0" r="2540" b="2540"/>
            <wp:docPr id="7" name="Picture 7" descr="Simple Yellow Line Graphic" title="Titl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Divi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0AB" w:rsidRPr="00621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D88AE" w14:textId="77777777" w:rsidR="00D70A96" w:rsidRDefault="00D70A96" w:rsidP="0030414A">
      <w:pPr>
        <w:spacing w:after="0" w:line="240" w:lineRule="auto"/>
      </w:pPr>
      <w:r>
        <w:separator/>
      </w:r>
    </w:p>
  </w:endnote>
  <w:endnote w:type="continuationSeparator" w:id="0">
    <w:p w14:paraId="7C92F634" w14:textId="77777777" w:rsidR="00D70A96" w:rsidRDefault="00D70A96" w:rsidP="0030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7B0750" w14:textId="77777777" w:rsidR="00393F36" w:rsidRDefault="00393F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1155496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335A6" w14:textId="01D57B58" w:rsidR="00E10E0F" w:rsidRDefault="00E10E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E13B8" w14:textId="77777777" w:rsidR="0030414A" w:rsidRDefault="00D14896" w:rsidP="00D14896">
    <w:pPr>
      <w:pStyle w:val="Footer"/>
      <w:tabs>
        <w:tab w:val="clear" w:pos="4680"/>
        <w:tab w:val="clear" w:pos="9360"/>
        <w:tab w:val="left" w:pos="5205"/>
      </w:tabs>
      <w:jc w:val="center"/>
    </w:pPr>
    <w:r>
      <w:rPr>
        <w:sz w:val="16"/>
      </w:rPr>
      <w:t xml:space="preserve">© </w:t>
    </w:r>
    <w:r w:rsidRPr="00BD087C">
      <w:rPr>
        <w:sz w:val="16"/>
      </w:rPr>
      <w:t>ACOSS</w:t>
    </w:r>
    <w:r>
      <w:rPr>
        <w:sz w:val="16"/>
      </w:rPr>
      <w:t xml:space="preserve"> 2020, </w:t>
    </w:r>
    <w:r w:rsidRPr="00BD087C">
      <w:rPr>
        <w:sz w:val="16"/>
      </w:rPr>
      <w:t>Locked Bag</w:t>
    </w:r>
    <w:r>
      <w:rPr>
        <w:sz w:val="16"/>
      </w:rPr>
      <w:t xml:space="preserve"> 4777 Strawberry Hills NSW 2012</w:t>
    </w:r>
    <w:r>
      <w:rPr>
        <w:sz w:val="16"/>
      </w:rPr>
      <w:br/>
    </w:r>
    <w:r w:rsidRPr="00BD087C">
      <w:rPr>
        <w:sz w:val="16"/>
      </w:rPr>
      <w:t>Ph (</w:t>
    </w:r>
    <w:r>
      <w:rPr>
        <w:sz w:val="16"/>
      </w:rPr>
      <w:t>02) 9310 6200</w:t>
    </w:r>
    <w:r w:rsidRPr="00BD087C">
      <w:rPr>
        <w:sz w:val="16"/>
      </w:rPr>
      <w:t xml:space="preserve"> </w:t>
    </w:r>
    <w:r>
      <w:rPr>
        <w:sz w:val="16"/>
      </w:rPr>
      <w:t xml:space="preserve">E: </w:t>
    </w:r>
    <w:hyperlink r:id="rId1" w:history="1">
      <w:r w:rsidRPr="00292056">
        <w:rPr>
          <w:rStyle w:val="Hyperlink"/>
          <w:b/>
          <w:sz w:val="16"/>
        </w:rPr>
        <w:t>info@acoss.org.au</w:t>
      </w:r>
    </w:hyperlink>
    <w:r>
      <w:rPr>
        <w:b/>
        <w:sz w:val="16"/>
      </w:rPr>
      <w:br/>
    </w:r>
    <w:hyperlink r:id="rId2" w:history="1">
      <w:r w:rsidR="00916C48">
        <w:rPr>
          <w:rStyle w:val="Hyperlink"/>
          <w:b/>
          <w:sz w:val="16"/>
        </w:rPr>
        <w:t>ACOSS Website</w:t>
      </w:r>
    </w:hyperlink>
    <w:r>
      <w:rPr>
        <w:b/>
        <w:sz w:val="16"/>
      </w:rPr>
      <w:br/>
    </w:r>
    <w:r w:rsidRPr="00BD087C">
      <w:rPr>
        <w:sz w:val="16"/>
      </w:rPr>
      <w:t>ISSN</w:t>
    </w:r>
    <w:r>
      <w:rPr>
        <w:sz w:val="16"/>
      </w:rPr>
      <w:t>:</w:t>
    </w:r>
    <w:r w:rsidRPr="00BD087C">
      <w:rPr>
        <w:sz w:val="16"/>
      </w:rPr>
      <w:t xml:space="preserve"> 1326 7124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E598D2" w14:textId="77777777" w:rsidR="00393F36" w:rsidRDefault="00393F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5D1CD" w14:textId="77777777" w:rsidR="00D70A96" w:rsidRDefault="00D70A96" w:rsidP="0030414A">
      <w:pPr>
        <w:spacing w:after="0" w:line="240" w:lineRule="auto"/>
      </w:pPr>
      <w:r>
        <w:separator/>
      </w:r>
    </w:p>
  </w:footnote>
  <w:footnote w:type="continuationSeparator" w:id="0">
    <w:p w14:paraId="3055BCEA" w14:textId="77777777" w:rsidR="00D70A96" w:rsidRDefault="00D70A96" w:rsidP="0030414A">
      <w:pPr>
        <w:spacing w:after="0" w:line="240" w:lineRule="auto"/>
      </w:pPr>
      <w:r>
        <w:continuationSeparator/>
      </w:r>
    </w:p>
  </w:footnote>
  <w:footnote w:id="1">
    <w:p w14:paraId="54A0F3E5" w14:textId="77777777" w:rsidR="00F112D2" w:rsidRPr="00E9204E" w:rsidRDefault="00F112D2" w:rsidP="00F112D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Economic Justice Australia (2021) ‘Briefing: Budget 2021 Social Security Measures’  </w:t>
      </w:r>
      <w:hyperlink r:id="rId1" w:history="1">
        <w:r w:rsidRPr="00BC4326">
          <w:rPr>
            <w:rStyle w:val="Hyperlink"/>
            <w:lang w:val="en-AU"/>
          </w:rPr>
          <w:t>https://www.ejaustralia.org.au/wp/wp-content/uploads/EJA-Budget-Briefing_2021-2022-V3.pdf</w:t>
        </w:r>
      </w:hyperlink>
      <w:r>
        <w:rPr>
          <w:lang w:val="en-AU"/>
        </w:rPr>
        <w:t xml:space="preserve"> </w:t>
      </w:r>
    </w:p>
  </w:footnote>
  <w:footnote w:id="2">
    <w:p w14:paraId="6C54052B" w14:textId="274C5EA8" w:rsidR="00F112D2" w:rsidRPr="00F112D2" w:rsidRDefault="00F112D2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Treasury (2021) ‘</w:t>
      </w:r>
      <w:r>
        <w:rPr>
          <w:lang w:val="en-AU"/>
        </w:rPr>
        <w:t xml:space="preserve">Budget Paper No. 2’ </w:t>
      </w:r>
      <w:hyperlink r:id="rId2" w:history="1">
        <w:r w:rsidRPr="00BC4326">
          <w:rPr>
            <w:rStyle w:val="Hyperlink"/>
            <w:lang w:val="en-AU"/>
          </w:rPr>
          <w:t>https://budget.gov.au/2021-22/content/bp2/download/bp2_2021-22.pdf</w:t>
        </w:r>
      </w:hyperlink>
      <w:r>
        <w:rPr>
          <w:lang w:val="en-AU"/>
        </w:rPr>
        <w:t xml:space="preserve"> p.83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7ACD1A" w14:textId="430F7A09" w:rsidR="00E21FB4" w:rsidRDefault="00D70A96">
    <w:pPr>
      <w:pStyle w:val="Header"/>
    </w:pPr>
    <w:r>
      <w:rPr>
        <w:noProof/>
      </w:rPr>
      <w:pict w14:anchorId="20D963E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68pt;height:93.6pt;z-index:-251644928;mso-position-horizontal:center;mso-position-horizontal-relative:margin;mso-position-vertical:center;mso-position-vertical-relative:margin" o:allowincell="f" fillcolor="silver" stroked="f">
          <v:textpath style="font-family:&quot;Verdana&quot;;font-size:1pt" string="DRAFT NF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6D18BD" w14:textId="006972DB" w:rsidR="0030414A" w:rsidRDefault="00EE2EB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7437B9" wp14:editId="6B8A7C36">
          <wp:simplePos x="0" y="0"/>
          <wp:positionH relativeFrom="column">
            <wp:posOffset>5991860</wp:posOffset>
          </wp:positionH>
          <wp:positionV relativeFrom="page">
            <wp:posOffset>56515</wp:posOffset>
          </wp:positionV>
          <wp:extent cx="820800" cy="820800"/>
          <wp:effectExtent l="0" t="0" r="0" b="0"/>
          <wp:wrapNone/>
          <wp:docPr id="2" name="Picture 2" descr="Decorative Logo in Heading&#10;" title="ACOSS Hea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Communications\Design\DesignElements\Logo\png\ACOS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0E0F">
      <w:rPr>
        <w:noProof/>
      </w:rPr>
      <w:drawing>
        <wp:anchor distT="0" distB="0" distL="114300" distR="114300" simplePos="0" relativeHeight="251660288" behindDoc="1" locked="1" layoutInCell="1" allowOverlap="1" wp14:anchorId="3ACC12D0" wp14:editId="2444D9E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5200" cy="10051200"/>
          <wp:effectExtent l="0" t="0" r="7620" b="7620"/>
          <wp:wrapNone/>
          <wp:docPr id="3" name="Picture 3" descr="ACOSS Background Pattern - opaque green curve behind text" title="Background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BackgroundTe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200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F36"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919987" w14:textId="6F5FCC2E" w:rsidR="00E21FB4" w:rsidRDefault="00D70A96">
    <w:pPr>
      <w:pStyle w:val="Header"/>
    </w:pPr>
    <w:r>
      <w:rPr>
        <w:noProof/>
      </w:rPr>
      <w:pict w14:anchorId="2A54CF94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68pt;height:93.6pt;z-index:-251642880;mso-position-horizontal:center;mso-position-horizontal-relative:margin;mso-position-vertical:center;mso-position-vertical-relative:margin" o:allowincell="f" fillcolor="silver" stroked="f">
          <v:textpath style="font-family:&quot;Verdana&quot;;font-size:1pt" string="DRAFT NF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E322E"/>
    <w:multiLevelType w:val="hybridMultilevel"/>
    <w:tmpl w:val="7344748C"/>
    <w:lvl w:ilvl="0" w:tplc="FC4A3A32">
      <w:numFmt w:val="bullet"/>
      <w:lvlText w:val="-"/>
      <w:lvlJc w:val="left"/>
      <w:pPr>
        <w:ind w:left="108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637C02"/>
    <w:multiLevelType w:val="hybridMultilevel"/>
    <w:tmpl w:val="C4B28CD4"/>
    <w:lvl w:ilvl="0" w:tplc="9092B9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31E76"/>
    <w:multiLevelType w:val="hybridMultilevel"/>
    <w:tmpl w:val="711E0DF2"/>
    <w:lvl w:ilvl="0" w:tplc="8B1295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887"/>
    <w:multiLevelType w:val="hybridMultilevel"/>
    <w:tmpl w:val="50FA03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2A2E92"/>
    <w:multiLevelType w:val="hybridMultilevel"/>
    <w:tmpl w:val="A60C9E00"/>
    <w:lvl w:ilvl="0" w:tplc="AAC600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23156"/>
    <w:multiLevelType w:val="hybridMultilevel"/>
    <w:tmpl w:val="2EF00F62"/>
    <w:lvl w:ilvl="0" w:tplc="AAC600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34071"/>
    <w:multiLevelType w:val="hybridMultilevel"/>
    <w:tmpl w:val="C14A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97AE2"/>
    <w:multiLevelType w:val="hybridMultilevel"/>
    <w:tmpl w:val="26A4ACA2"/>
    <w:lvl w:ilvl="0" w:tplc="ABEAC034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152FA"/>
    <w:multiLevelType w:val="hybridMultilevel"/>
    <w:tmpl w:val="1C5AF5C4"/>
    <w:lvl w:ilvl="0" w:tplc="9092B93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79"/>
    <w:rsid w:val="000043D6"/>
    <w:rsid w:val="000164F1"/>
    <w:rsid w:val="00016998"/>
    <w:rsid w:val="00017F87"/>
    <w:rsid w:val="000365FD"/>
    <w:rsid w:val="000678CA"/>
    <w:rsid w:val="00076072"/>
    <w:rsid w:val="00081339"/>
    <w:rsid w:val="00094E62"/>
    <w:rsid w:val="000954EB"/>
    <w:rsid w:val="000B30AB"/>
    <w:rsid w:val="000B4673"/>
    <w:rsid w:val="000B4C5B"/>
    <w:rsid w:val="000B7D0B"/>
    <w:rsid w:val="000C12B2"/>
    <w:rsid w:val="000C1C46"/>
    <w:rsid w:val="000E4419"/>
    <w:rsid w:val="000E533B"/>
    <w:rsid w:val="000E5513"/>
    <w:rsid w:val="000E6A7C"/>
    <w:rsid w:val="000F20F9"/>
    <w:rsid w:val="000F71F8"/>
    <w:rsid w:val="000F78FB"/>
    <w:rsid w:val="001019FB"/>
    <w:rsid w:val="001043F6"/>
    <w:rsid w:val="0011342E"/>
    <w:rsid w:val="0011438F"/>
    <w:rsid w:val="00114DA0"/>
    <w:rsid w:val="0012170D"/>
    <w:rsid w:val="0012233B"/>
    <w:rsid w:val="00123255"/>
    <w:rsid w:val="00124581"/>
    <w:rsid w:val="00124B5C"/>
    <w:rsid w:val="001305BD"/>
    <w:rsid w:val="00133542"/>
    <w:rsid w:val="00150BC0"/>
    <w:rsid w:val="001510D6"/>
    <w:rsid w:val="001516C5"/>
    <w:rsid w:val="00154325"/>
    <w:rsid w:val="00161E01"/>
    <w:rsid w:val="00163000"/>
    <w:rsid w:val="00175BB3"/>
    <w:rsid w:val="00176AA0"/>
    <w:rsid w:val="00186341"/>
    <w:rsid w:val="0018750D"/>
    <w:rsid w:val="00195153"/>
    <w:rsid w:val="001A43D8"/>
    <w:rsid w:val="001A53F0"/>
    <w:rsid w:val="001A58F3"/>
    <w:rsid w:val="001B0B1E"/>
    <w:rsid w:val="001B5518"/>
    <w:rsid w:val="001C36C2"/>
    <w:rsid w:val="001D03D7"/>
    <w:rsid w:val="001D4864"/>
    <w:rsid w:val="001D5F58"/>
    <w:rsid w:val="001E0D97"/>
    <w:rsid w:val="001E2ED3"/>
    <w:rsid w:val="001E41EC"/>
    <w:rsid w:val="001E5791"/>
    <w:rsid w:val="001E5C22"/>
    <w:rsid w:val="0021337C"/>
    <w:rsid w:val="002137BC"/>
    <w:rsid w:val="00214C43"/>
    <w:rsid w:val="0022085E"/>
    <w:rsid w:val="00225E85"/>
    <w:rsid w:val="00226A12"/>
    <w:rsid w:val="00230322"/>
    <w:rsid w:val="0024258A"/>
    <w:rsid w:val="00243E29"/>
    <w:rsid w:val="00255F2B"/>
    <w:rsid w:val="00257A2D"/>
    <w:rsid w:val="002618D7"/>
    <w:rsid w:val="0026453A"/>
    <w:rsid w:val="00264599"/>
    <w:rsid w:val="0026681C"/>
    <w:rsid w:val="00267288"/>
    <w:rsid w:val="00270BF8"/>
    <w:rsid w:val="002778C2"/>
    <w:rsid w:val="00281932"/>
    <w:rsid w:val="00283EDA"/>
    <w:rsid w:val="00296843"/>
    <w:rsid w:val="00296AC3"/>
    <w:rsid w:val="002B1C25"/>
    <w:rsid w:val="002B200C"/>
    <w:rsid w:val="002C5599"/>
    <w:rsid w:val="002C682A"/>
    <w:rsid w:val="002D206F"/>
    <w:rsid w:val="002D31B5"/>
    <w:rsid w:val="002F1D7C"/>
    <w:rsid w:val="002F28F6"/>
    <w:rsid w:val="002F4921"/>
    <w:rsid w:val="002F6DC7"/>
    <w:rsid w:val="003003F3"/>
    <w:rsid w:val="0030414A"/>
    <w:rsid w:val="0030419D"/>
    <w:rsid w:val="00304F5B"/>
    <w:rsid w:val="00307CF7"/>
    <w:rsid w:val="00311C44"/>
    <w:rsid w:val="003144BD"/>
    <w:rsid w:val="0031517D"/>
    <w:rsid w:val="003157C6"/>
    <w:rsid w:val="0031743B"/>
    <w:rsid w:val="0032726B"/>
    <w:rsid w:val="00334B48"/>
    <w:rsid w:val="003361F1"/>
    <w:rsid w:val="003379E1"/>
    <w:rsid w:val="003437C2"/>
    <w:rsid w:val="003440CE"/>
    <w:rsid w:val="00344351"/>
    <w:rsid w:val="00344E77"/>
    <w:rsid w:val="00354732"/>
    <w:rsid w:val="00355D75"/>
    <w:rsid w:val="00355E53"/>
    <w:rsid w:val="003617EF"/>
    <w:rsid w:val="00371548"/>
    <w:rsid w:val="00381567"/>
    <w:rsid w:val="00383A1F"/>
    <w:rsid w:val="00392880"/>
    <w:rsid w:val="00393F36"/>
    <w:rsid w:val="003974D8"/>
    <w:rsid w:val="003A416D"/>
    <w:rsid w:val="003B1E82"/>
    <w:rsid w:val="003B5E55"/>
    <w:rsid w:val="003B5F82"/>
    <w:rsid w:val="003D4FA5"/>
    <w:rsid w:val="00410982"/>
    <w:rsid w:val="00420683"/>
    <w:rsid w:val="00422F51"/>
    <w:rsid w:val="00424A0F"/>
    <w:rsid w:val="00426E1E"/>
    <w:rsid w:val="0043160C"/>
    <w:rsid w:val="004378D8"/>
    <w:rsid w:val="00437B50"/>
    <w:rsid w:val="00442238"/>
    <w:rsid w:val="0045321C"/>
    <w:rsid w:val="004565FF"/>
    <w:rsid w:val="00461644"/>
    <w:rsid w:val="0046406F"/>
    <w:rsid w:val="004679CC"/>
    <w:rsid w:val="00473D94"/>
    <w:rsid w:val="00474EA0"/>
    <w:rsid w:val="00475198"/>
    <w:rsid w:val="00475716"/>
    <w:rsid w:val="00481172"/>
    <w:rsid w:val="00493C79"/>
    <w:rsid w:val="004950D7"/>
    <w:rsid w:val="004A102B"/>
    <w:rsid w:val="004A4059"/>
    <w:rsid w:val="004A7B93"/>
    <w:rsid w:val="004B02A0"/>
    <w:rsid w:val="004B1503"/>
    <w:rsid w:val="004B39D0"/>
    <w:rsid w:val="004B4922"/>
    <w:rsid w:val="004C24E1"/>
    <w:rsid w:val="004C798A"/>
    <w:rsid w:val="004E0677"/>
    <w:rsid w:val="004E1DF1"/>
    <w:rsid w:val="004E6184"/>
    <w:rsid w:val="004F1C90"/>
    <w:rsid w:val="004F43DB"/>
    <w:rsid w:val="00500C34"/>
    <w:rsid w:val="0050124F"/>
    <w:rsid w:val="005060EC"/>
    <w:rsid w:val="00506D59"/>
    <w:rsid w:val="00507FB5"/>
    <w:rsid w:val="005116F1"/>
    <w:rsid w:val="00513481"/>
    <w:rsid w:val="00514968"/>
    <w:rsid w:val="0051628D"/>
    <w:rsid w:val="005162A7"/>
    <w:rsid w:val="0053306D"/>
    <w:rsid w:val="0053339E"/>
    <w:rsid w:val="00537255"/>
    <w:rsid w:val="005514E8"/>
    <w:rsid w:val="00560B9F"/>
    <w:rsid w:val="005706A9"/>
    <w:rsid w:val="005732AC"/>
    <w:rsid w:val="00576DF4"/>
    <w:rsid w:val="00581B45"/>
    <w:rsid w:val="005824AF"/>
    <w:rsid w:val="00584005"/>
    <w:rsid w:val="00584CEF"/>
    <w:rsid w:val="00587792"/>
    <w:rsid w:val="0059029D"/>
    <w:rsid w:val="00594D46"/>
    <w:rsid w:val="005A2EDC"/>
    <w:rsid w:val="005B1E59"/>
    <w:rsid w:val="005B2978"/>
    <w:rsid w:val="005B379D"/>
    <w:rsid w:val="005B3E36"/>
    <w:rsid w:val="005C2AA7"/>
    <w:rsid w:val="005D277D"/>
    <w:rsid w:val="005D53AD"/>
    <w:rsid w:val="005D58CD"/>
    <w:rsid w:val="005D618C"/>
    <w:rsid w:val="005D79FA"/>
    <w:rsid w:val="005E0DF2"/>
    <w:rsid w:val="005E6EC0"/>
    <w:rsid w:val="005F1CD6"/>
    <w:rsid w:val="006120A9"/>
    <w:rsid w:val="00612CEF"/>
    <w:rsid w:val="00616F1E"/>
    <w:rsid w:val="00620742"/>
    <w:rsid w:val="0062160E"/>
    <w:rsid w:val="00621F78"/>
    <w:rsid w:val="00624159"/>
    <w:rsid w:val="0062433A"/>
    <w:rsid w:val="00625B12"/>
    <w:rsid w:val="00640665"/>
    <w:rsid w:val="0064156B"/>
    <w:rsid w:val="00647DD3"/>
    <w:rsid w:val="00652392"/>
    <w:rsid w:val="00660073"/>
    <w:rsid w:val="00671124"/>
    <w:rsid w:val="00687FAF"/>
    <w:rsid w:val="00697BE4"/>
    <w:rsid w:val="006A189A"/>
    <w:rsid w:val="006A2D08"/>
    <w:rsid w:val="006C0FE0"/>
    <w:rsid w:val="006D00C9"/>
    <w:rsid w:val="006D11F2"/>
    <w:rsid w:val="006D2DF5"/>
    <w:rsid w:val="006E1B27"/>
    <w:rsid w:val="00700691"/>
    <w:rsid w:val="00701348"/>
    <w:rsid w:val="00702906"/>
    <w:rsid w:val="007035B4"/>
    <w:rsid w:val="00705465"/>
    <w:rsid w:val="007060B1"/>
    <w:rsid w:val="00717C8B"/>
    <w:rsid w:val="0072102B"/>
    <w:rsid w:val="007344CD"/>
    <w:rsid w:val="00742883"/>
    <w:rsid w:val="00746730"/>
    <w:rsid w:val="00751E4B"/>
    <w:rsid w:val="00752527"/>
    <w:rsid w:val="00763A54"/>
    <w:rsid w:val="0077001B"/>
    <w:rsid w:val="00781E67"/>
    <w:rsid w:val="00783979"/>
    <w:rsid w:val="007935FD"/>
    <w:rsid w:val="007937F0"/>
    <w:rsid w:val="0079664C"/>
    <w:rsid w:val="00796C1D"/>
    <w:rsid w:val="007A2CB3"/>
    <w:rsid w:val="007A3ACF"/>
    <w:rsid w:val="007A4EF2"/>
    <w:rsid w:val="007C3ADB"/>
    <w:rsid w:val="007C61BA"/>
    <w:rsid w:val="007C7655"/>
    <w:rsid w:val="007C79CF"/>
    <w:rsid w:val="007C7EC2"/>
    <w:rsid w:val="007D798E"/>
    <w:rsid w:val="007E0C74"/>
    <w:rsid w:val="007E0FE4"/>
    <w:rsid w:val="007E7B3D"/>
    <w:rsid w:val="007E7D10"/>
    <w:rsid w:val="007F33B9"/>
    <w:rsid w:val="007F7D7E"/>
    <w:rsid w:val="008147DD"/>
    <w:rsid w:val="00823A80"/>
    <w:rsid w:val="008327D8"/>
    <w:rsid w:val="00843091"/>
    <w:rsid w:val="0085416A"/>
    <w:rsid w:val="00867977"/>
    <w:rsid w:val="00872437"/>
    <w:rsid w:val="00874294"/>
    <w:rsid w:val="00882F28"/>
    <w:rsid w:val="0089479A"/>
    <w:rsid w:val="00894AF3"/>
    <w:rsid w:val="008A1F9C"/>
    <w:rsid w:val="008A2099"/>
    <w:rsid w:val="008A4E2C"/>
    <w:rsid w:val="008B264D"/>
    <w:rsid w:val="008B3824"/>
    <w:rsid w:val="008B5DB8"/>
    <w:rsid w:val="008B65F3"/>
    <w:rsid w:val="008C23D2"/>
    <w:rsid w:val="008C350B"/>
    <w:rsid w:val="008C6A0F"/>
    <w:rsid w:val="008D0FEB"/>
    <w:rsid w:val="008D4D6F"/>
    <w:rsid w:val="008E1591"/>
    <w:rsid w:val="008E1E74"/>
    <w:rsid w:val="008E54DE"/>
    <w:rsid w:val="008F0021"/>
    <w:rsid w:val="008F42F4"/>
    <w:rsid w:val="008F4F98"/>
    <w:rsid w:val="0090213B"/>
    <w:rsid w:val="00905439"/>
    <w:rsid w:val="009056F7"/>
    <w:rsid w:val="00907B76"/>
    <w:rsid w:val="00910E2E"/>
    <w:rsid w:val="00910E71"/>
    <w:rsid w:val="00916C48"/>
    <w:rsid w:val="0091768E"/>
    <w:rsid w:val="009212B2"/>
    <w:rsid w:val="0092152F"/>
    <w:rsid w:val="00937A7C"/>
    <w:rsid w:val="0094384B"/>
    <w:rsid w:val="009479C8"/>
    <w:rsid w:val="00950844"/>
    <w:rsid w:val="00974F27"/>
    <w:rsid w:val="009770BA"/>
    <w:rsid w:val="00977705"/>
    <w:rsid w:val="00977D2A"/>
    <w:rsid w:val="009862C1"/>
    <w:rsid w:val="00995E6A"/>
    <w:rsid w:val="00997D95"/>
    <w:rsid w:val="009A4D90"/>
    <w:rsid w:val="009B3314"/>
    <w:rsid w:val="009B38BD"/>
    <w:rsid w:val="009B75F9"/>
    <w:rsid w:val="009C1998"/>
    <w:rsid w:val="009C2B61"/>
    <w:rsid w:val="009D0855"/>
    <w:rsid w:val="009D633F"/>
    <w:rsid w:val="009D7F89"/>
    <w:rsid w:val="009E35D6"/>
    <w:rsid w:val="009F33B8"/>
    <w:rsid w:val="00A03137"/>
    <w:rsid w:val="00A03CE2"/>
    <w:rsid w:val="00A05A5A"/>
    <w:rsid w:val="00A15A30"/>
    <w:rsid w:val="00A16AA0"/>
    <w:rsid w:val="00A17B9C"/>
    <w:rsid w:val="00A21ACA"/>
    <w:rsid w:val="00A30E38"/>
    <w:rsid w:val="00A446FA"/>
    <w:rsid w:val="00A44B91"/>
    <w:rsid w:val="00A53CEB"/>
    <w:rsid w:val="00A70E27"/>
    <w:rsid w:val="00A7267E"/>
    <w:rsid w:val="00A7268C"/>
    <w:rsid w:val="00A751B0"/>
    <w:rsid w:val="00A76E35"/>
    <w:rsid w:val="00A82D9D"/>
    <w:rsid w:val="00A85972"/>
    <w:rsid w:val="00A91682"/>
    <w:rsid w:val="00A92206"/>
    <w:rsid w:val="00A939BE"/>
    <w:rsid w:val="00A95580"/>
    <w:rsid w:val="00AA7B3E"/>
    <w:rsid w:val="00AB2CEB"/>
    <w:rsid w:val="00AB5887"/>
    <w:rsid w:val="00AC1BFF"/>
    <w:rsid w:val="00AC5C12"/>
    <w:rsid w:val="00AD515B"/>
    <w:rsid w:val="00AE4E04"/>
    <w:rsid w:val="00AF06F4"/>
    <w:rsid w:val="00AF2E79"/>
    <w:rsid w:val="00AF47DD"/>
    <w:rsid w:val="00AF4C6B"/>
    <w:rsid w:val="00B00B19"/>
    <w:rsid w:val="00B025FE"/>
    <w:rsid w:val="00B03020"/>
    <w:rsid w:val="00B21091"/>
    <w:rsid w:val="00B21318"/>
    <w:rsid w:val="00B27220"/>
    <w:rsid w:val="00B370D9"/>
    <w:rsid w:val="00B43BA0"/>
    <w:rsid w:val="00B44468"/>
    <w:rsid w:val="00B44D4C"/>
    <w:rsid w:val="00B45CAB"/>
    <w:rsid w:val="00B46EDE"/>
    <w:rsid w:val="00B5202F"/>
    <w:rsid w:val="00B56ED8"/>
    <w:rsid w:val="00B60A70"/>
    <w:rsid w:val="00B64E06"/>
    <w:rsid w:val="00B751FA"/>
    <w:rsid w:val="00B76316"/>
    <w:rsid w:val="00B805FE"/>
    <w:rsid w:val="00B9407F"/>
    <w:rsid w:val="00BA36D7"/>
    <w:rsid w:val="00BA5CB6"/>
    <w:rsid w:val="00BB7C9B"/>
    <w:rsid w:val="00BC1DE5"/>
    <w:rsid w:val="00BC5242"/>
    <w:rsid w:val="00BD1FDB"/>
    <w:rsid w:val="00BD200E"/>
    <w:rsid w:val="00BD3B3E"/>
    <w:rsid w:val="00BD42CD"/>
    <w:rsid w:val="00BD717B"/>
    <w:rsid w:val="00BE7640"/>
    <w:rsid w:val="00BF5E7A"/>
    <w:rsid w:val="00C036F6"/>
    <w:rsid w:val="00C10C69"/>
    <w:rsid w:val="00C2453E"/>
    <w:rsid w:val="00C24E1F"/>
    <w:rsid w:val="00C24F0F"/>
    <w:rsid w:val="00C2771E"/>
    <w:rsid w:val="00C27833"/>
    <w:rsid w:val="00C3106D"/>
    <w:rsid w:val="00C35FE1"/>
    <w:rsid w:val="00C42A40"/>
    <w:rsid w:val="00C46221"/>
    <w:rsid w:val="00C52744"/>
    <w:rsid w:val="00C56D9D"/>
    <w:rsid w:val="00C6558B"/>
    <w:rsid w:val="00C65750"/>
    <w:rsid w:val="00C729D1"/>
    <w:rsid w:val="00C72AD9"/>
    <w:rsid w:val="00C72DA2"/>
    <w:rsid w:val="00C77D2E"/>
    <w:rsid w:val="00C841A5"/>
    <w:rsid w:val="00C84B49"/>
    <w:rsid w:val="00C92DC9"/>
    <w:rsid w:val="00C95B81"/>
    <w:rsid w:val="00CA17DA"/>
    <w:rsid w:val="00CA573C"/>
    <w:rsid w:val="00CB0E22"/>
    <w:rsid w:val="00CB5E3E"/>
    <w:rsid w:val="00CC61AE"/>
    <w:rsid w:val="00CC75C5"/>
    <w:rsid w:val="00CD348F"/>
    <w:rsid w:val="00CD6545"/>
    <w:rsid w:val="00CE13B4"/>
    <w:rsid w:val="00CE70D6"/>
    <w:rsid w:val="00D0538F"/>
    <w:rsid w:val="00D11FA9"/>
    <w:rsid w:val="00D13713"/>
    <w:rsid w:val="00D145C9"/>
    <w:rsid w:val="00D14896"/>
    <w:rsid w:val="00D20B0B"/>
    <w:rsid w:val="00D26AAE"/>
    <w:rsid w:val="00D324E8"/>
    <w:rsid w:val="00D346CA"/>
    <w:rsid w:val="00D351FE"/>
    <w:rsid w:val="00D55E78"/>
    <w:rsid w:val="00D57339"/>
    <w:rsid w:val="00D64C67"/>
    <w:rsid w:val="00D70A96"/>
    <w:rsid w:val="00D72F27"/>
    <w:rsid w:val="00D85502"/>
    <w:rsid w:val="00D90CD6"/>
    <w:rsid w:val="00D9158A"/>
    <w:rsid w:val="00DA4E12"/>
    <w:rsid w:val="00DB0A31"/>
    <w:rsid w:val="00DB1EF1"/>
    <w:rsid w:val="00DB4042"/>
    <w:rsid w:val="00DB55E1"/>
    <w:rsid w:val="00DB5A3E"/>
    <w:rsid w:val="00DD3DD2"/>
    <w:rsid w:val="00DD4691"/>
    <w:rsid w:val="00DE01E2"/>
    <w:rsid w:val="00DE2FF9"/>
    <w:rsid w:val="00DF2A88"/>
    <w:rsid w:val="00DF5368"/>
    <w:rsid w:val="00E03211"/>
    <w:rsid w:val="00E10E0F"/>
    <w:rsid w:val="00E13D21"/>
    <w:rsid w:val="00E1461B"/>
    <w:rsid w:val="00E21339"/>
    <w:rsid w:val="00E21FB4"/>
    <w:rsid w:val="00E232F3"/>
    <w:rsid w:val="00E242D7"/>
    <w:rsid w:val="00E27AF6"/>
    <w:rsid w:val="00E40F99"/>
    <w:rsid w:val="00E4620F"/>
    <w:rsid w:val="00E54FF7"/>
    <w:rsid w:val="00E57451"/>
    <w:rsid w:val="00E61E8C"/>
    <w:rsid w:val="00E62623"/>
    <w:rsid w:val="00E638D2"/>
    <w:rsid w:val="00E65F3F"/>
    <w:rsid w:val="00E74AE5"/>
    <w:rsid w:val="00E75B23"/>
    <w:rsid w:val="00E76314"/>
    <w:rsid w:val="00E76549"/>
    <w:rsid w:val="00E9204E"/>
    <w:rsid w:val="00E94D0F"/>
    <w:rsid w:val="00E9513F"/>
    <w:rsid w:val="00E95964"/>
    <w:rsid w:val="00EA0B1A"/>
    <w:rsid w:val="00EA170B"/>
    <w:rsid w:val="00EA223B"/>
    <w:rsid w:val="00EA2464"/>
    <w:rsid w:val="00EB05D4"/>
    <w:rsid w:val="00EB289D"/>
    <w:rsid w:val="00EB2E6A"/>
    <w:rsid w:val="00EB72FF"/>
    <w:rsid w:val="00EC0658"/>
    <w:rsid w:val="00EC384E"/>
    <w:rsid w:val="00EC3E43"/>
    <w:rsid w:val="00ED3B94"/>
    <w:rsid w:val="00ED4721"/>
    <w:rsid w:val="00EE2EBE"/>
    <w:rsid w:val="00EE318E"/>
    <w:rsid w:val="00EE439C"/>
    <w:rsid w:val="00EE783C"/>
    <w:rsid w:val="00EF3AB6"/>
    <w:rsid w:val="00EF4A2C"/>
    <w:rsid w:val="00EF5E29"/>
    <w:rsid w:val="00F006EE"/>
    <w:rsid w:val="00F11012"/>
    <w:rsid w:val="00F112D2"/>
    <w:rsid w:val="00F219AE"/>
    <w:rsid w:val="00F233CB"/>
    <w:rsid w:val="00F30101"/>
    <w:rsid w:val="00F33A40"/>
    <w:rsid w:val="00F45C81"/>
    <w:rsid w:val="00F57EC6"/>
    <w:rsid w:val="00F62A84"/>
    <w:rsid w:val="00F62DE4"/>
    <w:rsid w:val="00F7307D"/>
    <w:rsid w:val="00F758D0"/>
    <w:rsid w:val="00F76A5A"/>
    <w:rsid w:val="00F83047"/>
    <w:rsid w:val="00F871BA"/>
    <w:rsid w:val="00F92531"/>
    <w:rsid w:val="00F95B45"/>
    <w:rsid w:val="00F97877"/>
    <w:rsid w:val="00F97D01"/>
    <w:rsid w:val="00F97DB3"/>
    <w:rsid w:val="00FA0353"/>
    <w:rsid w:val="00FA2186"/>
    <w:rsid w:val="00FB4EB2"/>
    <w:rsid w:val="00FB7A4D"/>
    <w:rsid w:val="00FC25B1"/>
    <w:rsid w:val="00FC2CD4"/>
    <w:rsid w:val="00FC553F"/>
    <w:rsid w:val="00FD3C91"/>
    <w:rsid w:val="00FD4D40"/>
    <w:rsid w:val="00FE5421"/>
    <w:rsid w:val="00FE696B"/>
    <w:rsid w:val="00FF591B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790C4C5"/>
  <w15:chartTrackingRefBased/>
  <w15:docId w15:val="{1C6275A2-BC4D-4F8B-B9B5-E92E6F1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503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FE1"/>
    <w:pPr>
      <w:keepNext/>
      <w:keepLines/>
      <w:spacing w:before="240" w:after="0"/>
      <w:outlineLvl w:val="0"/>
    </w:pPr>
    <w:rPr>
      <w:rFonts w:ascii="Palatino Linotype" w:eastAsiaTheme="majorEastAsia" w:hAnsi="Palatino Linotype" w:cstheme="majorBidi"/>
      <w:color w:val="CE202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FE1"/>
    <w:pPr>
      <w:keepNext/>
      <w:keepLines/>
      <w:spacing w:before="40" w:after="0"/>
      <w:outlineLvl w:val="1"/>
    </w:pPr>
    <w:rPr>
      <w:rFonts w:ascii="Palatino Linotype" w:eastAsiaTheme="majorEastAsia" w:hAnsi="Palatino Linotype" w:cstheme="majorBidi"/>
      <w:color w:val="CE202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FE1"/>
    <w:pPr>
      <w:keepNext/>
      <w:keepLines/>
      <w:spacing w:before="40" w:after="0"/>
      <w:outlineLvl w:val="2"/>
    </w:pPr>
    <w:rPr>
      <w:rFonts w:eastAsiaTheme="majorEastAsia" w:cstheme="majorBidi"/>
      <w:color w:val="CE2028"/>
      <w:szCs w:val="24"/>
    </w:rPr>
  </w:style>
  <w:style w:type="paragraph" w:styleId="Heading4">
    <w:name w:val="heading 4"/>
    <w:aliases w:val="Recommendations"/>
    <w:basedOn w:val="Normal"/>
    <w:next w:val="Normal"/>
    <w:link w:val="Heading4Char"/>
    <w:autoRedefine/>
    <w:uiPriority w:val="9"/>
    <w:unhideWhenUsed/>
    <w:qFormat/>
    <w:rsid w:val="00500C3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CE20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4A"/>
  </w:style>
  <w:style w:type="paragraph" w:styleId="Footer">
    <w:name w:val="footer"/>
    <w:basedOn w:val="Normal"/>
    <w:link w:val="FooterChar"/>
    <w:uiPriority w:val="99"/>
    <w:unhideWhenUsed/>
    <w:rsid w:val="0030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4A"/>
  </w:style>
  <w:style w:type="paragraph" w:styleId="Title">
    <w:name w:val="Title"/>
    <w:basedOn w:val="Normal"/>
    <w:next w:val="Normal"/>
    <w:link w:val="TitleChar"/>
    <w:uiPriority w:val="10"/>
    <w:qFormat/>
    <w:rsid w:val="00E9513F"/>
    <w:pPr>
      <w:spacing w:after="0" w:line="240" w:lineRule="auto"/>
      <w:contextualSpacing/>
    </w:pPr>
    <w:rPr>
      <w:rFonts w:ascii="Palatino Linotype" w:eastAsiaTheme="majorEastAsia" w:hAnsi="Palatino Linotype" w:cstheme="majorBidi"/>
      <w:color w:val="14315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13F"/>
    <w:rPr>
      <w:rFonts w:ascii="Palatino Linotype" w:eastAsiaTheme="majorEastAsia" w:hAnsi="Palatino Linotype" w:cstheme="majorBidi"/>
      <w:color w:val="14315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13F"/>
    <w:pPr>
      <w:numPr>
        <w:ilvl w:val="1"/>
      </w:numPr>
    </w:pPr>
    <w:rPr>
      <w:rFonts w:ascii="Palatino Linotype" w:eastAsiaTheme="minorEastAsia" w:hAnsi="Palatino Linotype"/>
      <w:color w:val="14315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9513F"/>
    <w:rPr>
      <w:rFonts w:ascii="Palatino Linotype" w:eastAsiaTheme="minorEastAsia" w:hAnsi="Palatino Linotype"/>
      <w:color w:val="14315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35FE1"/>
    <w:rPr>
      <w:rFonts w:ascii="Palatino Linotype" w:eastAsiaTheme="majorEastAsia" w:hAnsi="Palatino Linotype" w:cstheme="majorBidi"/>
      <w:color w:val="CE202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5FE1"/>
    <w:rPr>
      <w:rFonts w:ascii="Palatino Linotype" w:eastAsiaTheme="majorEastAsia" w:hAnsi="Palatino Linotype" w:cstheme="majorBidi"/>
      <w:color w:val="CE2028"/>
      <w:sz w:val="32"/>
      <w:szCs w:val="26"/>
    </w:rPr>
  </w:style>
  <w:style w:type="character" w:styleId="SubtleEmphasis">
    <w:name w:val="Subtle Emphasis"/>
    <w:basedOn w:val="SubtitleChar"/>
    <w:uiPriority w:val="19"/>
    <w:qFormat/>
    <w:rsid w:val="00620742"/>
    <w:rPr>
      <w:rFonts w:ascii="Palatino Linotype" w:eastAsiaTheme="minorEastAsia" w:hAnsi="Palatino Linotype"/>
      <w:i w:val="0"/>
      <w:iCs/>
      <w:color w:val="143156"/>
      <w:spacing w:val="15"/>
      <w:sz w:val="36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537255"/>
    <w:pPr>
      <w:ind w:left="720"/>
      <w:contextualSpacing/>
    </w:pPr>
    <w:rPr>
      <w:rFonts w:asciiTheme="minorHAnsi" w:hAnsiTheme="minorHAnsi"/>
      <w:color w:val="auto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5372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7255"/>
    <w:rPr>
      <w:rFonts w:ascii="Verdana" w:hAnsi="Verdana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72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61B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C61BA"/>
    <w:rPr>
      <w:b/>
      <w:bCs/>
    </w:rPr>
  </w:style>
  <w:style w:type="table" w:styleId="TableGrid">
    <w:name w:val="Table Grid"/>
    <w:basedOn w:val="TableNormal"/>
    <w:uiPriority w:val="39"/>
    <w:rsid w:val="007C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7C6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1BA"/>
    <w:rPr>
      <w:rFonts w:ascii="Verdana" w:hAnsi="Verdana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493C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493C79"/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493C79"/>
    <w:rPr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C35FE1"/>
    <w:rPr>
      <w:rFonts w:ascii="Verdana" w:eastAsiaTheme="majorEastAsia" w:hAnsi="Verdana" w:cstheme="majorBidi"/>
      <w:color w:val="CE2028"/>
      <w:szCs w:val="24"/>
    </w:rPr>
  </w:style>
  <w:style w:type="character" w:customStyle="1" w:styleId="Heading4Char">
    <w:name w:val="Heading 4 Char"/>
    <w:aliases w:val="Recommendations Char"/>
    <w:basedOn w:val="DefaultParagraphFont"/>
    <w:link w:val="Heading4"/>
    <w:uiPriority w:val="9"/>
    <w:rsid w:val="00500C34"/>
    <w:rPr>
      <w:rFonts w:ascii="Verdana" w:eastAsiaTheme="majorEastAsia" w:hAnsi="Verdana" w:cstheme="majorBidi"/>
      <w:b/>
      <w:iCs/>
      <w:color w:val="CE2028"/>
      <w:sz w:val="20"/>
    </w:rPr>
  </w:style>
  <w:style w:type="paragraph" w:customStyle="1" w:styleId="Default">
    <w:name w:val="Default"/>
    <w:rsid w:val="00C92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xmsolistparagraph">
    <w:name w:val="x_msolistparagraph"/>
    <w:basedOn w:val="Normal"/>
    <w:uiPriority w:val="99"/>
    <w:rsid w:val="00C92DC9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msonormal">
    <w:name w:val="x_msonormal"/>
    <w:basedOn w:val="Normal"/>
    <w:rsid w:val="00C92DC9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16C4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D6"/>
    <w:rPr>
      <w:rFonts w:ascii="Segoe UI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41E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1EC"/>
    <w:rPr>
      <w:rFonts w:ascii="Verdana" w:hAnsi="Verdana"/>
      <w:b/>
      <w:bCs/>
      <w:color w:val="000000" w:themeColor="text1"/>
      <w:sz w:val="20"/>
      <w:szCs w:val="20"/>
    </w:rPr>
  </w:style>
  <w:style w:type="paragraph" w:styleId="NoSpacing">
    <w:name w:val="No Spacing"/>
    <w:uiPriority w:val="1"/>
    <w:qFormat/>
    <w:rsid w:val="00A30E38"/>
    <w:pPr>
      <w:spacing w:after="0" w:line="240" w:lineRule="auto"/>
    </w:pPr>
    <w:rPr>
      <w:rFonts w:ascii="Verdana" w:hAnsi="Verdana"/>
      <w:color w:val="000000" w:themeColor="text1"/>
    </w:rPr>
  </w:style>
  <w:style w:type="character" w:customStyle="1" w:styleId="highlight">
    <w:name w:val="highlight"/>
    <w:basedOn w:val="DefaultParagraphFont"/>
    <w:rsid w:val="0095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oss.org.au" TargetMode="External"/><Relationship Id="rId2" Type="http://schemas.openxmlformats.org/officeDocument/2006/relationships/hyperlink" Target="http://www.acoss.org.a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jaustralia.org.au/wp/wp-content/uploads/EJA-Budget-Briefing_2021-2022-V3.pdf" TargetMode="External"/><Relationship Id="rId2" Type="http://schemas.openxmlformats.org/officeDocument/2006/relationships/hyperlink" Target="https://budget.gov.au/2021-22/content/bp2/download/bp2_2021-2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8528-CA61-1941-A8B8-44E78513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Lum</dc:creator>
  <cp:keywords/>
  <dc:description/>
  <cp:lastModifiedBy>Charmaine Crowe</cp:lastModifiedBy>
  <cp:revision>5</cp:revision>
  <cp:lastPrinted>2020-08-24T06:01:00Z</cp:lastPrinted>
  <dcterms:created xsi:type="dcterms:W3CDTF">2021-05-21T04:35:00Z</dcterms:created>
  <dcterms:modified xsi:type="dcterms:W3CDTF">2021-05-21T04:43:00Z</dcterms:modified>
</cp:coreProperties>
</file>