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4" type="tile"/>
    </v:background>
  </w:background>
  <w:body>
    <w:p w14:paraId="7D9B391D" w14:textId="77777777" w:rsidR="00504DD5" w:rsidRDefault="00504DD5" w:rsidP="004C47B2">
      <w:pPr>
        <w:pStyle w:val="Title"/>
        <w:ind w:firstLine="0"/>
        <w:rPr>
          <w:noProof/>
        </w:rPr>
      </w:pPr>
    </w:p>
    <w:p w14:paraId="7ECBB9DE" w14:textId="135C4EEB" w:rsidR="00903AD8" w:rsidRDefault="004B5F8F" w:rsidP="004C47B2">
      <w:pPr>
        <w:pStyle w:val="Title"/>
        <w:ind w:firstLine="0"/>
      </w:pPr>
      <w:bookmarkStart w:id="0" w:name="_Toc62768224"/>
      <w:bookmarkStart w:id="1" w:name="_Toc63685902"/>
      <w:r>
        <w:rPr>
          <w:noProof/>
        </w:rPr>
        <w:t>Budget Priorities Statement</w:t>
      </w:r>
      <w:bookmarkEnd w:id="0"/>
      <w:bookmarkEnd w:id="1"/>
    </w:p>
    <w:p w14:paraId="3A09F3F7" w14:textId="5B2F6B6E" w:rsidR="00B40076" w:rsidRPr="00B40076" w:rsidRDefault="003520E9" w:rsidP="004C47B2">
      <w:pPr>
        <w:pStyle w:val="Subtitle"/>
        <w:ind w:left="720" w:firstLine="0"/>
        <w:sectPr w:rsidR="00B40076" w:rsidRPr="00B40076" w:rsidSect="008F6F9F">
          <w:headerReference w:type="default" r:id="rId9"/>
          <w:footerReference w:type="default" r:id="rId10"/>
          <w:footerReference w:type="first" r:id="rId11"/>
          <w:pgSz w:w="11907" w:h="16839" w:code="9"/>
          <w:pgMar w:top="1440" w:right="2886" w:bottom="1440" w:left="1440" w:header="709" w:footer="709" w:gutter="0"/>
          <w:cols w:space="708"/>
          <w:docGrid w:linePitch="360"/>
        </w:sectPr>
      </w:pPr>
      <w:bookmarkStart w:id="2" w:name="_Toc62768225"/>
      <w:bookmarkStart w:id="3" w:name="_Toc63685903"/>
      <w:r>
        <w:rPr>
          <w:noProof/>
        </w:rPr>
        <w:pict w14:anchorId="09195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pt;margin-top:267.95pt;width:601.3pt;height:423.95pt;z-index:-251658752;mso-position-horizontal-relative:text;mso-position-vertical-relative:text" wrapcoords="-82 0 -82 21479 21600 21479 21600 0 -82 0">
            <v:imagedata r:id="rId12" o:title="Hands helping"/>
          </v:shape>
        </w:pict>
      </w:r>
      <w:r w:rsidR="004B5F8F">
        <w:t>2021-2022</w:t>
      </w:r>
      <w:bookmarkEnd w:id="2"/>
      <w:bookmarkEnd w:id="3"/>
      <w:r w:rsidR="00B40076">
        <w:br/>
      </w:r>
    </w:p>
    <w:p w14:paraId="672A6659" w14:textId="77777777" w:rsidR="004B5F8F" w:rsidRDefault="004B5F8F" w:rsidP="004B5F8F"/>
    <w:p w14:paraId="0A37501D" w14:textId="77777777" w:rsidR="004B5F8F" w:rsidRDefault="004B5F8F" w:rsidP="004B5F8F"/>
    <w:p w14:paraId="5DAB6C7B" w14:textId="77777777" w:rsidR="004B5F8F" w:rsidRDefault="004B5F8F" w:rsidP="004B5F8F"/>
    <w:p w14:paraId="7B40EC19" w14:textId="77777777" w:rsidR="004B5F8F" w:rsidRDefault="004B5F8F" w:rsidP="003520E9">
      <w:pPr>
        <w:pStyle w:val="Heading2"/>
        <w:numPr>
          <w:ilvl w:val="0"/>
          <w:numId w:val="0"/>
        </w:numPr>
        <w:ind w:left="1276" w:hanging="916"/>
      </w:pPr>
      <w:bookmarkStart w:id="4" w:name="_Toc62768226"/>
      <w:bookmarkStart w:id="5" w:name="_Toc63685904"/>
      <w:r>
        <w:t>Who we are</w:t>
      </w:r>
      <w:bookmarkEnd w:id="4"/>
      <w:bookmarkEnd w:id="5"/>
      <w:r>
        <w:t xml:space="preserve"> </w:t>
      </w:r>
    </w:p>
    <w:p w14:paraId="030327D4" w14:textId="77777777" w:rsidR="004B5F8F" w:rsidRDefault="004B5F8F">
      <w:r>
        <w:t xml:space="preserve">ACOSS is the peak body of the community services and welfare sector and the national voice for the needs of people affected by poverty and inequality. </w:t>
      </w:r>
    </w:p>
    <w:p w14:paraId="13D9419F" w14:textId="77777777" w:rsidR="004B5F8F" w:rsidRDefault="004B5F8F">
      <w:r>
        <w:t xml:space="preserve">Our vision is for a fair, inclusive and sustainable Australia where all individuals and communities can participate in and benefit from social and economic life. </w:t>
      </w:r>
    </w:p>
    <w:p w14:paraId="02EB378F" w14:textId="77777777" w:rsidR="004B5F8F" w:rsidRDefault="004B5F8F"/>
    <w:p w14:paraId="38907B87" w14:textId="77777777" w:rsidR="004B5F8F" w:rsidRDefault="004B5F8F" w:rsidP="003520E9">
      <w:pPr>
        <w:pStyle w:val="Heading2"/>
        <w:numPr>
          <w:ilvl w:val="0"/>
          <w:numId w:val="0"/>
        </w:numPr>
        <w:ind w:left="1276" w:hanging="916"/>
      </w:pPr>
      <w:bookmarkStart w:id="6" w:name="_Toc62768227"/>
      <w:bookmarkStart w:id="7" w:name="_Toc63685905"/>
      <w:r>
        <w:t>What we do</w:t>
      </w:r>
      <w:bookmarkEnd w:id="6"/>
      <w:bookmarkEnd w:id="7"/>
      <w:r>
        <w:t xml:space="preserve"> </w:t>
      </w:r>
    </w:p>
    <w:p w14:paraId="74319E0E" w14:textId="77777777" w:rsidR="004B5F8F" w:rsidRDefault="004B5F8F">
      <w:r>
        <w:t>ACOSS leads and supports initiatives within the community services and welfare sector and acts as an independent non-party political voice.</w:t>
      </w:r>
    </w:p>
    <w:p w14:paraId="700FF2B1" w14:textId="77777777" w:rsidR="004B5F8F" w:rsidRDefault="004B5F8F">
      <w:r>
        <w:t xml:space="preserve">By drawing on the direct experiences of people affected by poverty and inequality and the expertise of its diverse member base, ACOSS develops and promotes socially and economically responsible public policy and action by government, community and business. </w:t>
      </w:r>
    </w:p>
    <w:p w14:paraId="6A05A809" w14:textId="77777777" w:rsidR="004B5F8F" w:rsidRDefault="004B5F8F"/>
    <w:p w14:paraId="3061B2CF" w14:textId="77777777" w:rsidR="00520BA8" w:rsidRDefault="00520BA8">
      <w:bookmarkStart w:id="8" w:name="_Toc62768228"/>
    </w:p>
    <w:bookmarkEnd w:id="8"/>
    <w:p w14:paraId="6AA17BA5" w14:textId="77777777" w:rsidR="004B5F8F" w:rsidRDefault="004B5F8F">
      <w:r>
        <w:t xml:space="preserve">First published in 2021 by the Australian Council of Social Service </w:t>
      </w:r>
    </w:p>
    <w:p w14:paraId="47CCEE54" w14:textId="77777777" w:rsidR="004B5F8F" w:rsidRDefault="004B5F8F">
      <w:r>
        <w:t xml:space="preserve">Locked Bag 4777 </w:t>
      </w:r>
      <w:r>
        <w:br/>
        <w:t>Strawberry Hills</w:t>
      </w:r>
      <w:r>
        <w:br/>
        <w:t>NSW, 2012 Australia</w:t>
      </w:r>
    </w:p>
    <w:p w14:paraId="24D55303" w14:textId="77777777" w:rsidR="004B5F8F" w:rsidRDefault="004B5F8F">
      <w:r>
        <w:t xml:space="preserve">Email: </w:t>
      </w:r>
      <w:hyperlink r:id="rId13" w:history="1">
        <w:r w:rsidRPr="00967B1A">
          <w:rPr>
            <w:rStyle w:val="Hyperlink"/>
          </w:rPr>
          <w:t>info@acoss.org.au</w:t>
        </w:r>
      </w:hyperlink>
      <w:r>
        <w:t xml:space="preserve">  </w:t>
      </w:r>
    </w:p>
    <w:p w14:paraId="6BBFB7E8" w14:textId="77777777" w:rsidR="004B5F8F" w:rsidRDefault="004B5F8F">
      <w:r>
        <w:t xml:space="preserve">Website: </w:t>
      </w:r>
      <w:hyperlink r:id="rId14" w:history="1">
        <w:r w:rsidRPr="00967B1A">
          <w:rPr>
            <w:rStyle w:val="Hyperlink"/>
          </w:rPr>
          <w:t>www.acoss.org.au</w:t>
        </w:r>
      </w:hyperlink>
      <w:r>
        <w:t xml:space="preserve"> </w:t>
      </w:r>
    </w:p>
    <w:p w14:paraId="345181A8" w14:textId="77777777" w:rsidR="004B5F8F" w:rsidRDefault="004B5F8F">
      <w:r>
        <w:t xml:space="preserve">ISSN: 1326 7124 </w:t>
      </w:r>
    </w:p>
    <w:p w14:paraId="021428DC" w14:textId="7F3FDB4F" w:rsidR="004B5F8F" w:rsidRDefault="004B5F8F">
      <w:r w:rsidRPr="003A57DB">
        <w:t xml:space="preserve">ISBN: </w:t>
      </w:r>
      <w:r w:rsidR="00442D27">
        <w:rPr>
          <w:rFonts w:ascii="Tahoma" w:hAnsi="Tahoma" w:cs="Tahoma"/>
          <w:color w:val="000000"/>
          <w:shd w:val="clear" w:color="auto" w:fill="FFFFFF"/>
        </w:rPr>
        <w:t> </w:t>
      </w:r>
      <w:r w:rsidR="00442D27" w:rsidRPr="003A57DB">
        <w:rPr>
          <w:rFonts w:cs="Tahoma"/>
          <w:color w:val="000000"/>
          <w:shd w:val="clear" w:color="auto" w:fill="FFFFFF"/>
        </w:rPr>
        <w:t>978-0-85871-032-0</w:t>
      </w:r>
    </w:p>
    <w:p w14:paraId="678C0B4D" w14:textId="77777777" w:rsidR="004B5F8F" w:rsidRDefault="004B5F8F">
      <w:r>
        <w:t>© Australian Council of Social Service</w:t>
      </w:r>
    </w:p>
    <w:p w14:paraId="11B0EEBC" w14:textId="744B3A15" w:rsidR="004B5F8F" w:rsidRPr="004B5F8F" w:rsidRDefault="004B5F8F">
      <w:r>
        <w:t xml:space="preserve">This publication is copyright. Apart from fair dealing for the purpose of private study, research, criticism, or review, as permitted under the Copyright Act, no part may be reproduced by any process without written permission. Enquiries should be addressed to the Publications Officer, Australian Council of Social Service. Copies are available from the address </w:t>
      </w:r>
      <w:r w:rsidR="00520BA8">
        <w:t>above</w:t>
      </w:r>
      <w:r>
        <w:t>.</w:t>
      </w:r>
    </w:p>
    <w:p w14:paraId="41C8F396" w14:textId="77777777" w:rsidR="004B5F8F" w:rsidRDefault="004B5F8F">
      <w:pPr>
        <w:rPr>
          <w:rFonts w:ascii="Palatino Linotype" w:eastAsiaTheme="majorEastAsia" w:hAnsi="Palatino Linotype" w:cstheme="majorBidi"/>
          <w:color w:val="143156"/>
          <w:sz w:val="48"/>
          <w:szCs w:val="32"/>
        </w:rPr>
      </w:pPr>
      <w:r>
        <w:br w:type="page"/>
      </w:r>
    </w:p>
    <w:p w14:paraId="29B0A2A4" w14:textId="7561ED00" w:rsidR="002C1DC0" w:rsidRDefault="002C1DC0" w:rsidP="004C47B2">
      <w:pPr>
        <w:pStyle w:val="Heading1"/>
        <w:numPr>
          <w:ilvl w:val="0"/>
          <w:numId w:val="0"/>
        </w:numPr>
        <w:ind w:left="360"/>
      </w:pPr>
      <w:bookmarkStart w:id="9" w:name="_Toc62768229"/>
      <w:bookmarkStart w:id="10" w:name="_Toc63685906"/>
      <w:r w:rsidRPr="00067EDC">
        <w:lastRenderedPageBreak/>
        <w:t>Contents</w:t>
      </w:r>
      <w:bookmarkEnd w:id="9"/>
      <w:bookmarkEnd w:id="10"/>
      <w:r w:rsidR="00924A6A" w:rsidRPr="00067EDC">
        <w:tab/>
      </w:r>
    </w:p>
    <w:sdt>
      <w:sdtPr>
        <w:id w:val="-133943165"/>
        <w:docPartObj>
          <w:docPartGallery w:val="Table of Contents"/>
          <w:docPartUnique/>
        </w:docPartObj>
      </w:sdtPr>
      <w:sdtEndPr>
        <w:rPr>
          <w:bCs/>
        </w:rPr>
      </w:sdtEndPr>
      <w:sdtContent>
        <w:p w14:paraId="262C8B58" w14:textId="76EC21F2" w:rsidR="000C6B7B" w:rsidRDefault="00977074" w:rsidP="000C6B7B">
          <w:pPr>
            <w:pStyle w:val="TOC1"/>
            <w:rPr>
              <w:rFonts w:asciiTheme="minorHAnsi" w:eastAsiaTheme="minorEastAsia" w:hAnsiTheme="minorHAnsi"/>
              <w:color w:val="auto"/>
              <w:sz w:val="22"/>
              <w:lang w:val="en-AU" w:eastAsia="en-AU"/>
            </w:rPr>
          </w:pPr>
          <w:r>
            <w:fldChar w:fldCharType="begin"/>
          </w:r>
          <w:r>
            <w:instrText xml:space="preserve"> TOC \o "1-3" \h \z \u </w:instrText>
          </w:r>
          <w:r>
            <w:fldChar w:fldCharType="separate"/>
          </w:r>
        </w:p>
        <w:p w14:paraId="15EA654B" w14:textId="76EC21F2" w:rsidR="000C6B7B" w:rsidRPr="000C6B7B" w:rsidRDefault="000C6B7B" w:rsidP="000C6B7B">
          <w:pPr>
            <w:pStyle w:val="TOC1"/>
            <w:rPr>
              <w:rFonts w:asciiTheme="minorHAnsi" w:eastAsiaTheme="minorEastAsia" w:hAnsiTheme="minorHAnsi"/>
              <w:b w:val="0"/>
              <w:color w:val="auto"/>
              <w:sz w:val="22"/>
              <w:lang w:val="en-AU" w:eastAsia="en-AU"/>
            </w:rPr>
          </w:pPr>
          <w:hyperlink w:anchor="_Toc63685907" w:history="1">
            <w:r w:rsidRPr="000C6B7B">
              <w:rPr>
                <w:rStyle w:val="Hyperlink"/>
              </w:rPr>
              <w:t>1.</w:t>
            </w:r>
            <w:r w:rsidRPr="000C6B7B">
              <w:rPr>
                <w:rFonts w:asciiTheme="minorHAnsi" w:eastAsiaTheme="minorEastAsia" w:hAnsiTheme="minorHAnsi"/>
                <w:color w:val="auto"/>
                <w:sz w:val="22"/>
                <w:lang w:val="en-AU" w:eastAsia="en-AU"/>
              </w:rPr>
              <w:tab/>
            </w:r>
            <w:r w:rsidRPr="000C6B7B">
              <w:rPr>
                <w:rStyle w:val="Hyperlink"/>
              </w:rPr>
              <w:t>Executive</w:t>
            </w:r>
            <w:r w:rsidRPr="000C6B7B">
              <w:rPr>
                <w:rStyle w:val="Hyperlink"/>
                <w:b w:val="0"/>
              </w:rPr>
              <w:t xml:space="preserve"> </w:t>
            </w:r>
            <w:r w:rsidRPr="000C6B7B">
              <w:rPr>
                <w:rStyle w:val="Hyperlink"/>
              </w:rPr>
              <w:t>Summary</w:t>
            </w:r>
            <w:r w:rsidRPr="000C6B7B">
              <w:rPr>
                <w:webHidden/>
              </w:rPr>
              <w:tab/>
            </w:r>
            <w:r w:rsidRPr="000C6B7B">
              <w:rPr>
                <w:webHidden/>
              </w:rPr>
              <w:fldChar w:fldCharType="begin"/>
            </w:r>
            <w:r w:rsidRPr="000C6B7B">
              <w:rPr>
                <w:webHidden/>
              </w:rPr>
              <w:instrText xml:space="preserve"> PAGEREF _Toc63685907 \h </w:instrText>
            </w:r>
            <w:r w:rsidRPr="000C6B7B">
              <w:rPr>
                <w:webHidden/>
              </w:rPr>
            </w:r>
            <w:r w:rsidRPr="000C6B7B">
              <w:rPr>
                <w:webHidden/>
              </w:rPr>
              <w:fldChar w:fldCharType="separate"/>
            </w:r>
            <w:r w:rsidRPr="000C6B7B">
              <w:rPr>
                <w:webHidden/>
              </w:rPr>
              <w:t>5</w:t>
            </w:r>
            <w:r w:rsidRPr="000C6B7B">
              <w:rPr>
                <w:webHidden/>
              </w:rPr>
              <w:fldChar w:fldCharType="end"/>
            </w:r>
          </w:hyperlink>
        </w:p>
        <w:p w14:paraId="5C3CBC2C"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08" w:history="1">
            <w:r w:rsidRPr="007F434A">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color w:val="auto"/>
                <w:sz w:val="22"/>
                <w:lang w:val="en-AU" w:eastAsia="en-AU"/>
              </w:rPr>
              <w:tab/>
            </w:r>
            <w:r w:rsidRPr="007F434A">
              <w:rPr>
                <w:rStyle w:val="Hyperlink"/>
                <w:noProof/>
              </w:rPr>
              <w:t>Six steps to recovery and renewal</w:t>
            </w:r>
            <w:r>
              <w:rPr>
                <w:noProof/>
                <w:webHidden/>
              </w:rPr>
              <w:tab/>
            </w:r>
            <w:r>
              <w:rPr>
                <w:noProof/>
                <w:webHidden/>
              </w:rPr>
              <w:fldChar w:fldCharType="begin"/>
            </w:r>
            <w:r>
              <w:rPr>
                <w:noProof/>
                <w:webHidden/>
              </w:rPr>
              <w:instrText xml:space="preserve"> PAGEREF _Toc63685908 \h </w:instrText>
            </w:r>
            <w:r>
              <w:rPr>
                <w:noProof/>
                <w:webHidden/>
              </w:rPr>
            </w:r>
            <w:r>
              <w:rPr>
                <w:noProof/>
                <w:webHidden/>
              </w:rPr>
              <w:fldChar w:fldCharType="separate"/>
            </w:r>
            <w:r>
              <w:rPr>
                <w:noProof/>
                <w:webHidden/>
              </w:rPr>
              <w:t>6</w:t>
            </w:r>
            <w:r>
              <w:rPr>
                <w:noProof/>
                <w:webHidden/>
              </w:rPr>
              <w:fldChar w:fldCharType="end"/>
            </w:r>
          </w:hyperlink>
        </w:p>
        <w:p w14:paraId="210BBA3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09" w:history="1">
            <w:r w:rsidRPr="007F434A">
              <w:rPr>
                <w:rStyle w:val="Hyperlink"/>
                <w:noProof/>
                <w14:scene3d>
                  <w14:camera w14:prst="orthographicFront"/>
                  <w14:lightRig w14:rig="threePt" w14:dir="t">
                    <w14:rot w14:lat="0" w14:lon="0" w14:rev="0"/>
                  </w14:lightRig>
                </w14:scene3d>
              </w:rPr>
              <w:t>1.2</w:t>
            </w:r>
            <w:r>
              <w:rPr>
                <w:rFonts w:asciiTheme="minorHAnsi" w:eastAsiaTheme="minorEastAsia" w:hAnsiTheme="minorHAnsi"/>
                <w:noProof/>
                <w:color w:val="auto"/>
                <w:sz w:val="22"/>
                <w:lang w:val="en-AU" w:eastAsia="en-AU"/>
              </w:rPr>
              <w:tab/>
            </w:r>
            <w:r w:rsidRPr="007F434A">
              <w:rPr>
                <w:rStyle w:val="Hyperlink"/>
                <w:noProof/>
              </w:rPr>
              <w:t>Budget impact of our proposals</w:t>
            </w:r>
            <w:r>
              <w:rPr>
                <w:noProof/>
                <w:webHidden/>
              </w:rPr>
              <w:tab/>
            </w:r>
            <w:r>
              <w:rPr>
                <w:noProof/>
                <w:webHidden/>
              </w:rPr>
              <w:fldChar w:fldCharType="begin"/>
            </w:r>
            <w:r>
              <w:rPr>
                <w:noProof/>
                <w:webHidden/>
              </w:rPr>
              <w:instrText xml:space="preserve"> PAGEREF _Toc63685909 \h </w:instrText>
            </w:r>
            <w:r>
              <w:rPr>
                <w:noProof/>
                <w:webHidden/>
              </w:rPr>
            </w:r>
            <w:r>
              <w:rPr>
                <w:noProof/>
                <w:webHidden/>
              </w:rPr>
              <w:fldChar w:fldCharType="separate"/>
            </w:r>
            <w:r>
              <w:rPr>
                <w:noProof/>
                <w:webHidden/>
              </w:rPr>
              <w:t>8</w:t>
            </w:r>
            <w:r>
              <w:rPr>
                <w:noProof/>
                <w:webHidden/>
              </w:rPr>
              <w:fldChar w:fldCharType="end"/>
            </w:r>
          </w:hyperlink>
        </w:p>
        <w:p w14:paraId="59F41F88"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10" w:history="1">
            <w:r w:rsidRPr="007F434A">
              <w:rPr>
                <w:rStyle w:val="Hyperlink"/>
                <w:noProof/>
                <w14:scene3d>
                  <w14:camera w14:prst="orthographicFront"/>
                  <w14:lightRig w14:rig="threePt" w14:dir="t">
                    <w14:rot w14:lat="0" w14:lon="0" w14:rev="0"/>
                  </w14:lightRig>
                </w14:scene3d>
              </w:rPr>
              <w:t>1.3</w:t>
            </w:r>
            <w:r>
              <w:rPr>
                <w:rFonts w:asciiTheme="minorHAnsi" w:eastAsiaTheme="minorEastAsia" w:hAnsiTheme="minorHAnsi"/>
                <w:noProof/>
                <w:color w:val="auto"/>
                <w:sz w:val="22"/>
                <w:lang w:val="en-AU" w:eastAsia="en-AU"/>
              </w:rPr>
              <w:tab/>
            </w:r>
            <w:r w:rsidRPr="007F434A">
              <w:rPr>
                <w:rStyle w:val="Hyperlink"/>
                <w:noProof/>
              </w:rPr>
              <w:t>Summary of recommendations</w:t>
            </w:r>
            <w:r>
              <w:rPr>
                <w:noProof/>
                <w:webHidden/>
              </w:rPr>
              <w:tab/>
            </w:r>
            <w:r>
              <w:rPr>
                <w:noProof/>
                <w:webHidden/>
              </w:rPr>
              <w:fldChar w:fldCharType="begin"/>
            </w:r>
            <w:r>
              <w:rPr>
                <w:noProof/>
                <w:webHidden/>
              </w:rPr>
              <w:instrText xml:space="preserve"> PAGEREF _Toc63685910 \h </w:instrText>
            </w:r>
            <w:r>
              <w:rPr>
                <w:noProof/>
                <w:webHidden/>
              </w:rPr>
            </w:r>
            <w:r>
              <w:rPr>
                <w:noProof/>
                <w:webHidden/>
              </w:rPr>
              <w:fldChar w:fldCharType="separate"/>
            </w:r>
            <w:r>
              <w:rPr>
                <w:noProof/>
                <w:webHidden/>
              </w:rPr>
              <w:t>9</w:t>
            </w:r>
            <w:r>
              <w:rPr>
                <w:noProof/>
                <w:webHidden/>
              </w:rPr>
              <w:fldChar w:fldCharType="end"/>
            </w:r>
          </w:hyperlink>
        </w:p>
        <w:p w14:paraId="056A83CB" w14:textId="77777777" w:rsidR="000C6B7B" w:rsidRDefault="000C6B7B" w:rsidP="000C6B7B">
          <w:pPr>
            <w:pStyle w:val="TOC1"/>
            <w:rPr>
              <w:rFonts w:asciiTheme="minorHAnsi" w:eastAsiaTheme="minorEastAsia" w:hAnsiTheme="minorHAnsi"/>
              <w:color w:val="auto"/>
              <w:sz w:val="22"/>
              <w:lang w:val="en-AU" w:eastAsia="en-AU"/>
            </w:rPr>
          </w:pPr>
          <w:hyperlink w:anchor="_Toc63685911" w:history="1">
            <w:r w:rsidRPr="007F434A">
              <w:rPr>
                <w:rStyle w:val="Hyperlink"/>
              </w:rPr>
              <w:t>2.</w:t>
            </w:r>
            <w:r>
              <w:rPr>
                <w:rFonts w:asciiTheme="minorHAnsi" w:eastAsiaTheme="minorEastAsia" w:hAnsiTheme="minorHAnsi"/>
                <w:color w:val="auto"/>
                <w:sz w:val="22"/>
                <w:lang w:val="en-AU" w:eastAsia="en-AU"/>
              </w:rPr>
              <w:tab/>
            </w:r>
            <w:r w:rsidRPr="007F434A">
              <w:rPr>
                <w:rStyle w:val="Hyperlink"/>
              </w:rPr>
              <w:t>A permanent boost to the lowest incomes</w:t>
            </w:r>
            <w:r>
              <w:rPr>
                <w:webHidden/>
              </w:rPr>
              <w:tab/>
            </w:r>
            <w:r>
              <w:rPr>
                <w:webHidden/>
              </w:rPr>
              <w:fldChar w:fldCharType="begin"/>
            </w:r>
            <w:r>
              <w:rPr>
                <w:webHidden/>
              </w:rPr>
              <w:instrText xml:space="preserve"> PAGEREF _Toc63685911 \h </w:instrText>
            </w:r>
            <w:r>
              <w:rPr>
                <w:webHidden/>
              </w:rPr>
            </w:r>
            <w:r>
              <w:rPr>
                <w:webHidden/>
              </w:rPr>
              <w:fldChar w:fldCharType="separate"/>
            </w:r>
            <w:r>
              <w:rPr>
                <w:webHidden/>
              </w:rPr>
              <w:t>14</w:t>
            </w:r>
            <w:r>
              <w:rPr>
                <w:webHidden/>
              </w:rPr>
              <w:fldChar w:fldCharType="end"/>
            </w:r>
          </w:hyperlink>
        </w:p>
        <w:p w14:paraId="624EBEFD" w14:textId="77777777" w:rsidR="000C6B7B" w:rsidRDefault="000C6B7B">
          <w:pPr>
            <w:pStyle w:val="TOC2"/>
            <w:tabs>
              <w:tab w:val="right" w:leader="dot" w:pos="8990"/>
            </w:tabs>
            <w:rPr>
              <w:rFonts w:asciiTheme="minorHAnsi" w:eastAsiaTheme="minorEastAsia" w:hAnsiTheme="minorHAnsi"/>
              <w:noProof/>
              <w:color w:val="auto"/>
              <w:sz w:val="22"/>
              <w:lang w:val="en-AU" w:eastAsia="en-AU"/>
            </w:rPr>
          </w:pPr>
          <w:hyperlink w:anchor="_Toc63685912" w:history="1">
            <w:r w:rsidRPr="007F434A">
              <w:rPr>
                <w:rStyle w:val="Hyperlink"/>
                <w:noProof/>
              </w:rPr>
              <w:t>Summary</w:t>
            </w:r>
            <w:r>
              <w:rPr>
                <w:noProof/>
                <w:webHidden/>
              </w:rPr>
              <w:tab/>
            </w:r>
            <w:r>
              <w:rPr>
                <w:noProof/>
                <w:webHidden/>
              </w:rPr>
              <w:fldChar w:fldCharType="begin"/>
            </w:r>
            <w:r>
              <w:rPr>
                <w:noProof/>
                <w:webHidden/>
              </w:rPr>
              <w:instrText xml:space="preserve"> PAGEREF _Toc63685912 \h </w:instrText>
            </w:r>
            <w:r>
              <w:rPr>
                <w:noProof/>
                <w:webHidden/>
              </w:rPr>
            </w:r>
            <w:r>
              <w:rPr>
                <w:noProof/>
                <w:webHidden/>
              </w:rPr>
              <w:fldChar w:fldCharType="separate"/>
            </w:r>
            <w:r>
              <w:rPr>
                <w:noProof/>
                <w:webHidden/>
              </w:rPr>
              <w:t>14</w:t>
            </w:r>
            <w:r>
              <w:rPr>
                <w:noProof/>
                <w:webHidden/>
              </w:rPr>
              <w:fldChar w:fldCharType="end"/>
            </w:r>
          </w:hyperlink>
        </w:p>
        <w:p w14:paraId="0201CB40"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13" w:history="1">
            <w:r w:rsidRPr="007F434A">
              <w:rPr>
                <w:rStyle w:val="Hyperlink"/>
                <w:noProof/>
                <w14:scene3d>
                  <w14:camera w14:prst="orthographicFront"/>
                  <w14:lightRig w14:rig="threePt" w14:dir="t">
                    <w14:rot w14:lat="0" w14:lon="0" w14:rev="0"/>
                  </w14:lightRig>
                </w14:scene3d>
              </w:rPr>
              <w:t>2.1</w:t>
            </w:r>
            <w:r>
              <w:rPr>
                <w:rFonts w:asciiTheme="minorHAnsi" w:eastAsiaTheme="minorEastAsia" w:hAnsiTheme="minorHAnsi"/>
                <w:noProof/>
                <w:color w:val="auto"/>
                <w:sz w:val="22"/>
                <w:lang w:val="en-AU" w:eastAsia="en-AU"/>
              </w:rPr>
              <w:tab/>
            </w:r>
            <w:r w:rsidRPr="007F434A">
              <w:rPr>
                <w:rStyle w:val="Hyperlink"/>
                <w:noProof/>
              </w:rPr>
              <w:t>Introduction</w:t>
            </w:r>
            <w:r>
              <w:rPr>
                <w:noProof/>
                <w:webHidden/>
              </w:rPr>
              <w:tab/>
            </w:r>
            <w:r>
              <w:rPr>
                <w:noProof/>
                <w:webHidden/>
              </w:rPr>
              <w:fldChar w:fldCharType="begin"/>
            </w:r>
            <w:r>
              <w:rPr>
                <w:noProof/>
                <w:webHidden/>
              </w:rPr>
              <w:instrText xml:space="preserve"> PAGEREF _Toc63685913 \h </w:instrText>
            </w:r>
            <w:r>
              <w:rPr>
                <w:noProof/>
                <w:webHidden/>
              </w:rPr>
            </w:r>
            <w:r>
              <w:rPr>
                <w:noProof/>
                <w:webHidden/>
              </w:rPr>
              <w:fldChar w:fldCharType="separate"/>
            </w:r>
            <w:r>
              <w:rPr>
                <w:noProof/>
                <w:webHidden/>
              </w:rPr>
              <w:t>14</w:t>
            </w:r>
            <w:r>
              <w:rPr>
                <w:noProof/>
                <w:webHidden/>
              </w:rPr>
              <w:fldChar w:fldCharType="end"/>
            </w:r>
          </w:hyperlink>
        </w:p>
        <w:p w14:paraId="19DF19D7"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14" w:history="1">
            <w:r w:rsidRPr="007F434A">
              <w:rPr>
                <w:rStyle w:val="Hyperlink"/>
                <w:noProof/>
                <w14:scene3d>
                  <w14:camera w14:prst="orthographicFront"/>
                  <w14:lightRig w14:rig="threePt" w14:dir="t">
                    <w14:rot w14:lat="0" w14:lon="0" w14:rev="0"/>
                  </w14:lightRig>
                </w14:scene3d>
              </w:rPr>
              <w:t>2.2</w:t>
            </w:r>
            <w:r>
              <w:rPr>
                <w:rFonts w:asciiTheme="minorHAnsi" w:eastAsiaTheme="minorEastAsia" w:hAnsiTheme="minorHAnsi"/>
                <w:noProof/>
                <w:color w:val="auto"/>
                <w:sz w:val="22"/>
                <w:lang w:val="en-AU" w:eastAsia="en-AU"/>
              </w:rPr>
              <w:tab/>
            </w:r>
            <w:r w:rsidRPr="007F434A">
              <w:rPr>
                <w:rStyle w:val="Hyperlink"/>
                <w:noProof/>
              </w:rPr>
              <w:t>Ensuring everyone has enough to cover the basics</w:t>
            </w:r>
            <w:r>
              <w:rPr>
                <w:noProof/>
                <w:webHidden/>
              </w:rPr>
              <w:tab/>
            </w:r>
            <w:r>
              <w:rPr>
                <w:noProof/>
                <w:webHidden/>
              </w:rPr>
              <w:fldChar w:fldCharType="begin"/>
            </w:r>
            <w:r>
              <w:rPr>
                <w:noProof/>
                <w:webHidden/>
              </w:rPr>
              <w:instrText xml:space="preserve"> PAGEREF _Toc63685914 \h </w:instrText>
            </w:r>
            <w:r>
              <w:rPr>
                <w:noProof/>
                <w:webHidden/>
              </w:rPr>
            </w:r>
            <w:r>
              <w:rPr>
                <w:noProof/>
                <w:webHidden/>
              </w:rPr>
              <w:fldChar w:fldCharType="separate"/>
            </w:r>
            <w:r>
              <w:rPr>
                <w:noProof/>
                <w:webHidden/>
              </w:rPr>
              <w:t>15</w:t>
            </w:r>
            <w:r>
              <w:rPr>
                <w:noProof/>
                <w:webHidden/>
              </w:rPr>
              <w:fldChar w:fldCharType="end"/>
            </w:r>
          </w:hyperlink>
        </w:p>
        <w:p w14:paraId="1EEEFA71"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15" w:history="1">
            <w:r w:rsidRPr="007F434A">
              <w:rPr>
                <w:rStyle w:val="Hyperlink"/>
                <w:noProof/>
                <w14:scene3d>
                  <w14:camera w14:prst="orthographicFront"/>
                  <w14:lightRig w14:rig="threePt" w14:dir="t">
                    <w14:rot w14:lat="0" w14:lon="0" w14:rev="0"/>
                  </w14:lightRig>
                </w14:scene3d>
              </w:rPr>
              <w:t>2.3</w:t>
            </w:r>
            <w:r>
              <w:rPr>
                <w:rFonts w:asciiTheme="minorHAnsi" w:eastAsiaTheme="minorEastAsia" w:hAnsiTheme="minorHAnsi"/>
                <w:noProof/>
                <w:color w:val="auto"/>
                <w:sz w:val="22"/>
                <w:lang w:val="en-AU" w:eastAsia="en-AU"/>
              </w:rPr>
              <w:tab/>
            </w:r>
            <w:r w:rsidRPr="007F434A">
              <w:rPr>
                <w:rStyle w:val="Hyperlink"/>
                <w:noProof/>
              </w:rPr>
              <w:t>Provide supplementary payments to meet specific need</w:t>
            </w:r>
            <w:r>
              <w:rPr>
                <w:noProof/>
                <w:webHidden/>
              </w:rPr>
              <w:tab/>
            </w:r>
            <w:r>
              <w:rPr>
                <w:noProof/>
                <w:webHidden/>
              </w:rPr>
              <w:fldChar w:fldCharType="begin"/>
            </w:r>
            <w:r>
              <w:rPr>
                <w:noProof/>
                <w:webHidden/>
              </w:rPr>
              <w:instrText xml:space="preserve"> PAGEREF _Toc63685915 \h </w:instrText>
            </w:r>
            <w:r>
              <w:rPr>
                <w:noProof/>
                <w:webHidden/>
              </w:rPr>
            </w:r>
            <w:r>
              <w:rPr>
                <w:noProof/>
                <w:webHidden/>
              </w:rPr>
              <w:fldChar w:fldCharType="separate"/>
            </w:r>
            <w:r>
              <w:rPr>
                <w:noProof/>
                <w:webHidden/>
              </w:rPr>
              <w:t>16</w:t>
            </w:r>
            <w:r>
              <w:rPr>
                <w:noProof/>
                <w:webHidden/>
              </w:rPr>
              <w:fldChar w:fldCharType="end"/>
            </w:r>
          </w:hyperlink>
        </w:p>
        <w:p w14:paraId="510A8768"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16" w:history="1">
            <w:r w:rsidRPr="007F434A">
              <w:rPr>
                <w:rStyle w:val="Hyperlink"/>
                <w:noProof/>
                <w14:scene3d>
                  <w14:camera w14:prst="orthographicFront"/>
                  <w14:lightRig w14:rig="threePt" w14:dir="t">
                    <w14:rot w14:lat="0" w14:lon="0" w14:rev="0"/>
                  </w14:lightRig>
                </w14:scene3d>
              </w:rPr>
              <w:t>2.4</w:t>
            </w:r>
            <w:r>
              <w:rPr>
                <w:rFonts w:asciiTheme="minorHAnsi" w:eastAsiaTheme="minorEastAsia" w:hAnsiTheme="minorHAnsi"/>
                <w:noProof/>
                <w:color w:val="auto"/>
                <w:sz w:val="22"/>
                <w:lang w:val="en-AU" w:eastAsia="en-AU"/>
              </w:rPr>
              <w:tab/>
            </w:r>
            <w:r w:rsidRPr="007F434A">
              <w:rPr>
                <w:rStyle w:val="Hyperlink"/>
                <w:noProof/>
              </w:rPr>
              <w:t>Abolish compulsory Cashless Debit Card and Income Management</w:t>
            </w:r>
            <w:r>
              <w:rPr>
                <w:noProof/>
                <w:webHidden/>
              </w:rPr>
              <w:tab/>
            </w:r>
            <w:r>
              <w:rPr>
                <w:noProof/>
                <w:webHidden/>
              </w:rPr>
              <w:fldChar w:fldCharType="begin"/>
            </w:r>
            <w:r>
              <w:rPr>
                <w:noProof/>
                <w:webHidden/>
              </w:rPr>
              <w:instrText xml:space="preserve"> PAGEREF _Toc63685916 \h </w:instrText>
            </w:r>
            <w:r>
              <w:rPr>
                <w:noProof/>
                <w:webHidden/>
              </w:rPr>
            </w:r>
            <w:r>
              <w:rPr>
                <w:noProof/>
                <w:webHidden/>
              </w:rPr>
              <w:fldChar w:fldCharType="separate"/>
            </w:r>
            <w:r>
              <w:rPr>
                <w:noProof/>
                <w:webHidden/>
              </w:rPr>
              <w:t>16</w:t>
            </w:r>
            <w:r>
              <w:rPr>
                <w:noProof/>
                <w:webHidden/>
              </w:rPr>
              <w:fldChar w:fldCharType="end"/>
            </w:r>
          </w:hyperlink>
        </w:p>
        <w:p w14:paraId="1BF99021"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17" w:history="1">
            <w:r w:rsidRPr="007F434A">
              <w:rPr>
                <w:rStyle w:val="Hyperlink"/>
                <w:noProof/>
                <w14:scene3d>
                  <w14:camera w14:prst="orthographicFront"/>
                  <w14:lightRig w14:rig="threePt" w14:dir="t">
                    <w14:rot w14:lat="0" w14:lon="0" w14:rev="0"/>
                  </w14:lightRig>
                </w14:scene3d>
              </w:rPr>
              <w:t>2.5</w:t>
            </w:r>
            <w:r>
              <w:rPr>
                <w:rFonts w:asciiTheme="minorHAnsi" w:eastAsiaTheme="minorEastAsia" w:hAnsiTheme="minorHAnsi"/>
                <w:noProof/>
                <w:color w:val="auto"/>
                <w:sz w:val="22"/>
                <w:lang w:val="en-AU" w:eastAsia="en-AU"/>
              </w:rPr>
              <w:tab/>
            </w:r>
            <w:r w:rsidRPr="007F434A">
              <w:rPr>
                <w:rStyle w:val="Hyperlink"/>
                <w:noProof/>
              </w:rPr>
              <w:t>Extend income support to temporary visa holders, people seeking asylum and international students</w:t>
            </w:r>
            <w:r>
              <w:rPr>
                <w:noProof/>
                <w:webHidden/>
              </w:rPr>
              <w:tab/>
            </w:r>
            <w:r>
              <w:rPr>
                <w:noProof/>
                <w:webHidden/>
              </w:rPr>
              <w:fldChar w:fldCharType="begin"/>
            </w:r>
            <w:r>
              <w:rPr>
                <w:noProof/>
                <w:webHidden/>
              </w:rPr>
              <w:instrText xml:space="preserve"> PAGEREF _Toc63685917 \h </w:instrText>
            </w:r>
            <w:r>
              <w:rPr>
                <w:noProof/>
                <w:webHidden/>
              </w:rPr>
            </w:r>
            <w:r>
              <w:rPr>
                <w:noProof/>
                <w:webHidden/>
              </w:rPr>
              <w:fldChar w:fldCharType="separate"/>
            </w:r>
            <w:r>
              <w:rPr>
                <w:noProof/>
                <w:webHidden/>
              </w:rPr>
              <w:t>17</w:t>
            </w:r>
            <w:r>
              <w:rPr>
                <w:noProof/>
                <w:webHidden/>
              </w:rPr>
              <w:fldChar w:fldCharType="end"/>
            </w:r>
          </w:hyperlink>
        </w:p>
        <w:p w14:paraId="501AF251"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18" w:history="1">
            <w:r w:rsidRPr="007F434A">
              <w:rPr>
                <w:rStyle w:val="Hyperlink"/>
                <w:noProof/>
                <w14:scene3d>
                  <w14:camera w14:prst="orthographicFront"/>
                  <w14:lightRig w14:rig="threePt" w14:dir="t">
                    <w14:rot w14:lat="0" w14:lon="0" w14:rev="0"/>
                  </w14:lightRig>
                </w14:scene3d>
              </w:rPr>
              <w:t>2.6</w:t>
            </w:r>
            <w:r>
              <w:rPr>
                <w:rFonts w:asciiTheme="minorHAnsi" w:eastAsiaTheme="minorEastAsia" w:hAnsiTheme="minorHAnsi"/>
                <w:noProof/>
                <w:color w:val="auto"/>
                <w:sz w:val="22"/>
                <w:lang w:val="en-AU" w:eastAsia="en-AU"/>
              </w:rPr>
              <w:tab/>
            </w:r>
            <w:r w:rsidRPr="007F434A">
              <w:rPr>
                <w:rStyle w:val="Hyperlink"/>
                <w:noProof/>
              </w:rPr>
              <w:t>Abolish the Liquid Assets Waiting Period</w:t>
            </w:r>
            <w:r>
              <w:rPr>
                <w:noProof/>
                <w:webHidden/>
              </w:rPr>
              <w:tab/>
            </w:r>
            <w:r>
              <w:rPr>
                <w:noProof/>
                <w:webHidden/>
              </w:rPr>
              <w:fldChar w:fldCharType="begin"/>
            </w:r>
            <w:r>
              <w:rPr>
                <w:noProof/>
                <w:webHidden/>
              </w:rPr>
              <w:instrText xml:space="preserve"> PAGEREF _Toc63685918 \h </w:instrText>
            </w:r>
            <w:r>
              <w:rPr>
                <w:noProof/>
                <w:webHidden/>
              </w:rPr>
            </w:r>
            <w:r>
              <w:rPr>
                <w:noProof/>
                <w:webHidden/>
              </w:rPr>
              <w:fldChar w:fldCharType="separate"/>
            </w:r>
            <w:r>
              <w:rPr>
                <w:noProof/>
                <w:webHidden/>
              </w:rPr>
              <w:t>17</w:t>
            </w:r>
            <w:r>
              <w:rPr>
                <w:noProof/>
                <w:webHidden/>
              </w:rPr>
              <w:fldChar w:fldCharType="end"/>
            </w:r>
          </w:hyperlink>
        </w:p>
        <w:p w14:paraId="34CEED56"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19" w:history="1">
            <w:r w:rsidRPr="007F434A">
              <w:rPr>
                <w:rStyle w:val="Hyperlink"/>
                <w:noProof/>
                <w14:scene3d>
                  <w14:camera w14:prst="orthographicFront"/>
                  <w14:lightRig w14:rig="threePt" w14:dir="t">
                    <w14:rot w14:lat="0" w14:lon="0" w14:rev="0"/>
                  </w14:lightRig>
                </w14:scene3d>
              </w:rPr>
              <w:t>2.7</w:t>
            </w:r>
            <w:r>
              <w:rPr>
                <w:rFonts w:asciiTheme="minorHAnsi" w:eastAsiaTheme="minorEastAsia" w:hAnsiTheme="minorHAnsi"/>
                <w:noProof/>
                <w:color w:val="auto"/>
                <w:sz w:val="22"/>
                <w:lang w:val="en-AU" w:eastAsia="en-AU"/>
              </w:rPr>
              <w:tab/>
            </w:r>
            <w:r w:rsidRPr="007F434A">
              <w:rPr>
                <w:rStyle w:val="Hyperlink"/>
                <w:noProof/>
              </w:rPr>
              <w:t>Reduce waiting periods for newly arrived migrants</w:t>
            </w:r>
            <w:r>
              <w:rPr>
                <w:noProof/>
                <w:webHidden/>
              </w:rPr>
              <w:tab/>
            </w:r>
            <w:r>
              <w:rPr>
                <w:noProof/>
                <w:webHidden/>
              </w:rPr>
              <w:fldChar w:fldCharType="begin"/>
            </w:r>
            <w:r>
              <w:rPr>
                <w:noProof/>
                <w:webHidden/>
              </w:rPr>
              <w:instrText xml:space="preserve"> PAGEREF _Toc63685919 \h </w:instrText>
            </w:r>
            <w:r>
              <w:rPr>
                <w:noProof/>
                <w:webHidden/>
              </w:rPr>
            </w:r>
            <w:r>
              <w:rPr>
                <w:noProof/>
                <w:webHidden/>
              </w:rPr>
              <w:fldChar w:fldCharType="separate"/>
            </w:r>
            <w:r>
              <w:rPr>
                <w:noProof/>
                <w:webHidden/>
              </w:rPr>
              <w:t>18</w:t>
            </w:r>
            <w:r>
              <w:rPr>
                <w:noProof/>
                <w:webHidden/>
              </w:rPr>
              <w:fldChar w:fldCharType="end"/>
            </w:r>
          </w:hyperlink>
        </w:p>
        <w:p w14:paraId="0173C2E7"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20" w:history="1">
            <w:r w:rsidRPr="007F434A">
              <w:rPr>
                <w:rStyle w:val="Hyperlink"/>
                <w:noProof/>
                <w14:scene3d>
                  <w14:camera w14:prst="orthographicFront"/>
                  <w14:lightRig w14:rig="threePt" w14:dir="t">
                    <w14:rot w14:lat="0" w14:lon="0" w14:rev="0"/>
                  </w14:lightRig>
                </w14:scene3d>
              </w:rPr>
              <w:t>2.8</w:t>
            </w:r>
            <w:r>
              <w:rPr>
                <w:rFonts w:asciiTheme="minorHAnsi" w:eastAsiaTheme="minorEastAsia" w:hAnsiTheme="minorHAnsi"/>
                <w:noProof/>
                <w:color w:val="auto"/>
                <w:sz w:val="22"/>
                <w:lang w:val="en-AU" w:eastAsia="en-AU"/>
              </w:rPr>
              <w:tab/>
            </w:r>
            <w:r w:rsidRPr="007F434A">
              <w:rPr>
                <w:rStyle w:val="Hyperlink"/>
                <w:noProof/>
              </w:rPr>
              <w:t>Improve access to income support</w:t>
            </w:r>
            <w:r>
              <w:rPr>
                <w:noProof/>
                <w:webHidden/>
              </w:rPr>
              <w:tab/>
            </w:r>
            <w:r>
              <w:rPr>
                <w:noProof/>
                <w:webHidden/>
              </w:rPr>
              <w:fldChar w:fldCharType="begin"/>
            </w:r>
            <w:r>
              <w:rPr>
                <w:noProof/>
                <w:webHidden/>
              </w:rPr>
              <w:instrText xml:space="preserve"> PAGEREF _Toc63685920 \h </w:instrText>
            </w:r>
            <w:r>
              <w:rPr>
                <w:noProof/>
                <w:webHidden/>
              </w:rPr>
            </w:r>
            <w:r>
              <w:rPr>
                <w:noProof/>
                <w:webHidden/>
              </w:rPr>
              <w:fldChar w:fldCharType="separate"/>
            </w:r>
            <w:r>
              <w:rPr>
                <w:noProof/>
                <w:webHidden/>
              </w:rPr>
              <w:t>18</w:t>
            </w:r>
            <w:r>
              <w:rPr>
                <w:noProof/>
                <w:webHidden/>
              </w:rPr>
              <w:fldChar w:fldCharType="end"/>
            </w:r>
          </w:hyperlink>
        </w:p>
        <w:p w14:paraId="5108D668"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21" w:history="1">
            <w:r w:rsidRPr="007F434A">
              <w:rPr>
                <w:rStyle w:val="Hyperlink"/>
                <w:noProof/>
                <w14:scene3d>
                  <w14:camera w14:prst="orthographicFront"/>
                  <w14:lightRig w14:rig="threePt" w14:dir="t">
                    <w14:rot w14:lat="0" w14:lon="0" w14:rev="0"/>
                  </w14:lightRig>
                </w14:scene3d>
              </w:rPr>
              <w:t>2.9</w:t>
            </w:r>
            <w:r>
              <w:rPr>
                <w:rFonts w:asciiTheme="minorHAnsi" w:eastAsiaTheme="minorEastAsia" w:hAnsiTheme="minorHAnsi"/>
                <w:noProof/>
                <w:color w:val="auto"/>
                <w:sz w:val="22"/>
                <w:lang w:val="en-AU" w:eastAsia="en-AU"/>
              </w:rPr>
              <w:tab/>
            </w:r>
            <w:r w:rsidRPr="007F434A">
              <w:rPr>
                <w:rStyle w:val="Hyperlink"/>
                <w:noProof/>
              </w:rPr>
              <w:t>Establish a social security commission</w:t>
            </w:r>
            <w:r>
              <w:rPr>
                <w:noProof/>
                <w:webHidden/>
              </w:rPr>
              <w:tab/>
            </w:r>
            <w:r>
              <w:rPr>
                <w:noProof/>
                <w:webHidden/>
              </w:rPr>
              <w:fldChar w:fldCharType="begin"/>
            </w:r>
            <w:r>
              <w:rPr>
                <w:noProof/>
                <w:webHidden/>
              </w:rPr>
              <w:instrText xml:space="preserve"> PAGEREF _Toc63685921 \h </w:instrText>
            </w:r>
            <w:r>
              <w:rPr>
                <w:noProof/>
                <w:webHidden/>
              </w:rPr>
            </w:r>
            <w:r>
              <w:rPr>
                <w:noProof/>
                <w:webHidden/>
              </w:rPr>
              <w:fldChar w:fldCharType="separate"/>
            </w:r>
            <w:r>
              <w:rPr>
                <w:noProof/>
                <w:webHidden/>
              </w:rPr>
              <w:t>19</w:t>
            </w:r>
            <w:r>
              <w:rPr>
                <w:noProof/>
                <w:webHidden/>
              </w:rPr>
              <w:fldChar w:fldCharType="end"/>
            </w:r>
          </w:hyperlink>
        </w:p>
        <w:p w14:paraId="5B16405A" w14:textId="77777777" w:rsidR="000C6B7B" w:rsidRDefault="000C6B7B" w:rsidP="000C6B7B">
          <w:pPr>
            <w:pStyle w:val="TOC1"/>
            <w:rPr>
              <w:rFonts w:asciiTheme="minorHAnsi" w:eastAsiaTheme="minorEastAsia" w:hAnsiTheme="minorHAnsi"/>
              <w:color w:val="auto"/>
              <w:sz w:val="22"/>
              <w:lang w:val="en-AU" w:eastAsia="en-AU"/>
            </w:rPr>
          </w:pPr>
          <w:hyperlink w:anchor="_Toc63685922" w:history="1">
            <w:r w:rsidRPr="007F434A">
              <w:rPr>
                <w:rStyle w:val="Hyperlink"/>
              </w:rPr>
              <w:t>3.</w:t>
            </w:r>
            <w:r>
              <w:rPr>
                <w:rFonts w:asciiTheme="minorHAnsi" w:eastAsiaTheme="minorEastAsia" w:hAnsiTheme="minorHAnsi"/>
                <w:color w:val="auto"/>
                <w:sz w:val="22"/>
                <w:lang w:val="en-AU" w:eastAsia="en-AU"/>
              </w:rPr>
              <w:tab/>
            </w:r>
            <w:r w:rsidRPr="007F434A">
              <w:rPr>
                <w:rStyle w:val="Hyperlink"/>
              </w:rPr>
              <w:t>Restoring jobs for people out of paid work</w:t>
            </w:r>
            <w:r>
              <w:rPr>
                <w:webHidden/>
              </w:rPr>
              <w:tab/>
            </w:r>
            <w:r>
              <w:rPr>
                <w:webHidden/>
              </w:rPr>
              <w:fldChar w:fldCharType="begin"/>
            </w:r>
            <w:r>
              <w:rPr>
                <w:webHidden/>
              </w:rPr>
              <w:instrText xml:space="preserve"> PAGEREF _Toc63685922 \h </w:instrText>
            </w:r>
            <w:r>
              <w:rPr>
                <w:webHidden/>
              </w:rPr>
            </w:r>
            <w:r>
              <w:rPr>
                <w:webHidden/>
              </w:rPr>
              <w:fldChar w:fldCharType="separate"/>
            </w:r>
            <w:r>
              <w:rPr>
                <w:webHidden/>
              </w:rPr>
              <w:t>20</w:t>
            </w:r>
            <w:r>
              <w:rPr>
                <w:webHidden/>
              </w:rPr>
              <w:fldChar w:fldCharType="end"/>
            </w:r>
          </w:hyperlink>
        </w:p>
        <w:p w14:paraId="7FAFA990" w14:textId="77777777" w:rsidR="000C6B7B" w:rsidRDefault="000C6B7B">
          <w:pPr>
            <w:pStyle w:val="TOC2"/>
            <w:tabs>
              <w:tab w:val="right" w:leader="dot" w:pos="8990"/>
            </w:tabs>
            <w:rPr>
              <w:rFonts w:asciiTheme="minorHAnsi" w:eastAsiaTheme="minorEastAsia" w:hAnsiTheme="minorHAnsi"/>
              <w:noProof/>
              <w:color w:val="auto"/>
              <w:sz w:val="22"/>
              <w:lang w:val="en-AU" w:eastAsia="en-AU"/>
            </w:rPr>
          </w:pPr>
          <w:hyperlink w:anchor="_Toc63685923" w:history="1">
            <w:r w:rsidRPr="007F434A">
              <w:rPr>
                <w:rStyle w:val="Hyperlink"/>
                <w:noProof/>
              </w:rPr>
              <w:t>Summary</w:t>
            </w:r>
            <w:r>
              <w:rPr>
                <w:noProof/>
                <w:webHidden/>
              </w:rPr>
              <w:tab/>
            </w:r>
            <w:r>
              <w:rPr>
                <w:noProof/>
                <w:webHidden/>
              </w:rPr>
              <w:fldChar w:fldCharType="begin"/>
            </w:r>
            <w:r>
              <w:rPr>
                <w:noProof/>
                <w:webHidden/>
              </w:rPr>
              <w:instrText xml:space="preserve"> PAGEREF _Toc63685923 \h </w:instrText>
            </w:r>
            <w:r>
              <w:rPr>
                <w:noProof/>
                <w:webHidden/>
              </w:rPr>
            </w:r>
            <w:r>
              <w:rPr>
                <w:noProof/>
                <w:webHidden/>
              </w:rPr>
              <w:fldChar w:fldCharType="separate"/>
            </w:r>
            <w:r>
              <w:rPr>
                <w:noProof/>
                <w:webHidden/>
              </w:rPr>
              <w:t>20</w:t>
            </w:r>
            <w:r>
              <w:rPr>
                <w:noProof/>
                <w:webHidden/>
              </w:rPr>
              <w:fldChar w:fldCharType="end"/>
            </w:r>
          </w:hyperlink>
        </w:p>
        <w:p w14:paraId="1108F699"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24" w:history="1">
            <w:r w:rsidRPr="007F434A">
              <w:rPr>
                <w:rStyle w:val="Hyperlink"/>
                <w:noProof/>
                <w14:scene3d>
                  <w14:camera w14:prst="orthographicFront"/>
                  <w14:lightRig w14:rig="threePt" w14:dir="t">
                    <w14:rot w14:lat="0" w14:lon="0" w14:rev="0"/>
                  </w14:lightRig>
                </w14:scene3d>
              </w:rPr>
              <w:t>3.1</w:t>
            </w:r>
            <w:r>
              <w:rPr>
                <w:rFonts w:asciiTheme="minorHAnsi" w:eastAsiaTheme="minorEastAsia" w:hAnsiTheme="minorHAnsi"/>
                <w:noProof/>
                <w:color w:val="auto"/>
                <w:sz w:val="22"/>
                <w:lang w:val="en-AU" w:eastAsia="en-AU"/>
              </w:rPr>
              <w:tab/>
            </w:r>
            <w:r w:rsidRPr="007F434A">
              <w:rPr>
                <w:rStyle w:val="Hyperlink"/>
                <w:noProof/>
              </w:rPr>
              <w:t>Introduction</w:t>
            </w:r>
            <w:r>
              <w:rPr>
                <w:noProof/>
                <w:webHidden/>
              </w:rPr>
              <w:tab/>
            </w:r>
            <w:r>
              <w:rPr>
                <w:noProof/>
                <w:webHidden/>
              </w:rPr>
              <w:fldChar w:fldCharType="begin"/>
            </w:r>
            <w:r>
              <w:rPr>
                <w:noProof/>
                <w:webHidden/>
              </w:rPr>
              <w:instrText xml:space="preserve"> PAGEREF _Toc63685924 \h </w:instrText>
            </w:r>
            <w:r>
              <w:rPr>
                <w:noProof/>
                <w:webHidden/>
              </w:rPr>
            </w:r>
            <w:r>
              <w:rPr>
                <w:noProof/>
                <w:webHidden/>
              </w:rPr>
              <w:fldChar w:fldCharType="separate"/>
            </w:r>
            <w:r>
              <w:rPr>
                <w:noProof/>
                <w:webHidden/>
              </w:rPr>
              <w:t>20</w:t>
            </w:r>
            <w:r>
              <w:rPr>
                <w:noProof/>
                <w:webHidden/>
              </w:rPr>
              <w:fldChar w:fldCharType="end"/>
            </w:r>
          </w:hyperlink>
        </w:p>
        <w:p w14:paraId="1FE8F3AC"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25" w:history="1">
            <w:r w:rsidRPr="007F434A">
              <w:rPr>
                <w:rStyle w:val="Hyperlink"/>
                <w:noProof/>
                <w14:scene3d>
                  <w14:camera w14:prst="orthographicFront"/>
                  <w14:lightRig w14:rig="threePt" w14:dir="t">
                    <w14:rot w14:lat="0" w14:lon="0" w14:rev="0"/>
                  </w14:lightRig>
                </w14:scene3d>
              </w:rPr>
              <w:t>3.2</w:t>
            </w:r>
            <w:r>
              <w:rPr>
                <w:rFonts w:asciiTheme="minorHAnsi" w:eastAsiaTheme="minorEastAsia" w:hAnsiTheme="minorHAnsi"/>
                <w:noProof/>
                <w:color w:val="auto"/>
                <w:sz w:val="22"/>
                <w:lang w:val="en-AU" w:eastAsia="en-AU"/>
              </w:rPr>
              <w:tab/>
            </w:r>
            <w:r w:rsidRPr="007F434A">
              <w:rPr>
                <w:rStyle w:val="Hyperlink"/>
                <w:noProof/>
              </w:rPr>
              <w:t>Generate new jobs and protect existing ones</w:t>
            </w:r>
            <w:r>
              <w:rPr>
                <w:noProof/>
                <w:webHidden/>
              </w:rPr>
              <w:tab/>
            </w:r>
            <w:r>
              <w:rPr>
                <w:noProof/>
                <w:webHidden/>
              </w:rPr>
              <w:fldChar w:fldCharType="begin"/>
            </w:r>
            <w:r>
              <w:rPr>
                <w:noProof/>
                <w:webHidden/>
              </w:rPr>
              <w:instrText xml:space="preserve"> PAGEREF _Toc63685925 \h </w:instrText>
            </w:r>
            <w:r>
              <w:rPr>
                <w:noProof/>
                <w:webHidden/>
              </w:rPr>
            </w:r>
            <w:r>
              <w:rPr>
                <w:noProof/>
                <w:webHidden/>
              </w:rPr>
              <w:fldChar w:fldCharType="separate"/>
            </w:r>
            <w:r>
              <w:rPr>
                <w:noProof/>
                <w:webHidden/>
              </w:rPr>
              <w:t>22</w:t>
            </w:r>
            <w:r>
              <w:rPr>
                <w:noProof/>
                <w:webHidden/>
              </w:rPr>
              <w:fldChar w:fldCharType="end"/>
            </w:r>
          </w:hyperlink>
        </w:p>
        <w:p w14:paraId="46D8C7C7"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26" w:history="1">
            <w:r w:rsidRPr="007F434A">
              <w:rPr>
                <w:rStyle w:val="Hyperlink"/>
                <w:noProof/>
                <w14:scene3d>
                  <w14:camera w14:prst="orthographicFront"/>
                  <w14:lightRig w14:rig="threePt" w14:dir="t">
                    <w14:rot w14:lat="0" w14:lon="0" w14:rev="0"/>
                  </w14:lightRig>
                </w14:scene3d>
              </w:rPr>
              <w:t>3.3</w:t>
            </w:r>
            <w:r>
              <w:rPr>
                <w:rFonts w:asciiTheme="minorHAnsi" w:eastAsiaTheme="minorEastAsia" w:hAnsiTheme="minorHAnsi"/>
                <w:noProof/>
                <w:color w:val="auto"/>
                <w:sz w:val="22"/>
                <w:lang w:val="en-AU" w:eastAsia="en-AU"/>
              </w:rPr>
              <w:tab/>
            </w:r>
            <w:r w:rsidRPr="007F434A">
              <w:rPr>
                <w:rStyle w:val="Hyperlink"/>
                <w:noProof/>
              </w:rPr>
              <w:t>A jobs and training guarantee to reduce long-term unemployment</w:t>
            </w:r>
            <w:r>
              <w:rPr>
                <w:noProof/>
                <w:webHidden/>
              </w:rPr>
              <w:tab/>
            </w:r>
            <w:r>
              <w:rPr>
                <w:noProof/>
                <w:webHidden/>
              </w:rPr>
              <w:fldChar w:fldCharType="begin"/>
            </w:r>
            <w:r>
              <w:rPr>
                <w:noProof/>
                <w:webHidden/>
              </w:rPr>
              <w:instrText xml:space="preserve"> PAGEREF _Toc63685926 \h </w:instrText>
            </w:r>
            <w:r>
              <w:rPr>
                <w:noProof/>
                <w:webHidden/>
              </w:rPr>
            </w:r>
            <w:r>
              <w:rPr>
                <w:noProof/>
                <w:webHidden/>
              </w:rPr>
              <w:fldChar w:fldCharType="separate"/>
            </w:r>
            <w:r>
              <w:rPr>
                <w:noProof/>
                <w:webHidden/>
              </w:rPr>
              <w:t>22</w:t>
            </w:r>
            <w:r>
              <w:rPr>
                <w:noProof/>
                <w:webHidden/>
              </w:rPr>
              <w:fldChar w:fldCharType="end"/>
            </w:r>
          </w:hyperlink>
        </w:p>
        <w:p w14:paraId="05750346"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27" w:history="1">
            <w:r w:rsidRPr="007F434A">
              <w:rPr>
                <w:rStyle w:val="Hyperlink"/>
                <w:noProof/>
                <w14:scene3d>
                  <w14:camera w14:prst="orthographicFront"/>
                  <w14:lightRig w14:rig="threePt" w14:dir="t">
                    <w14:rot w14:lat="0" w14:lon="0" w14:rev="0"/>
                  </w14:lightRig>
                </w14:scene3d>
              </w:rPr>
              <w:t>3.4</w:t>
            </w:r>
            <w:r>
              <w:rPr>
                <w:rFonts w:asciiTheme="minorHAnsi" w:eastAsiaTheme="minorEastAsia" w:hAnsiTheme="minorHAnsi"/>
                <w:noProof/>
                <w:color w:val="auto"/>
                <w:sz w:val="22"/>
                <w:lang w:val="en-AU" w:eastAsia="en-AU"/>
              </w:rPr>
              <w:tab/>
            </w:r>
            <w:r w:rsidRPr="007F434A">
              <w:rPr>
                <w:rStyle w:val="Hyperlink"/>
                <w:noProof/>
              </w:rPr>
              <w:t>Build, support and sustain local partnerships for jobs</w:t>
            </w:r>
            <w:r>
              <w:rPr>
                <w:noProof/>
                <w:webHidden/>
              </w:rPr>
              <w:tab/>
            </w:r>
            <w:r>
              <w:rPr>
                <w:noProof/>
                <w:webHidden/>
              </w:rPr>
              <w:fldChar w:fldCharType="begin"/>
            </w:r>
            <w:r>
              <w:rPr>
                <w:noProof/>
                <w:webHidden/>
              </w:rPr>
              <w:instrText xml:space="preserve"> PAGEREF _Toc63685927 \h </w:instrText>
            </w:r>
            <w:r>
              <w:rPr>
                <w:noProof/>
                <w:webHidden/>
              </w:rPr>
            </w:r>
            <w:r>
              <w:rPr>
                <w:noProof/>
                <w:webHidden/>
              </w:rPr>
              <w:fldChar w:fldCharType="separate"/>
            </w:r>
            <w:r>
              <w:rPr>
                <w:noProof/>
                <w:webHidden/>
              </w:rPr>
              <w:t>24</w:t>
            </w:r>
            <w:r>
              <w:rPr>
                <w:noProof/>
                <w:webHidden/>
              </w:rPr>
              <w:fldChar w:fldCharType="end"/>
            </w:r>
          </w:hyperlink>
        </w:p>
        <w:p w14:paraId="750B5012"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28" w:history="1">
            <w:r w:rsidRPr="007F434A">
              <w:rPr>
                <w:rStyle w:val="Hyperlink"/>
                <w:noProof/>
                <w14:scene3d>
                  <w14:camera w14:prst="orthographicFront"/>
                  <w14:lightRig w14:rig="threePt" w14:dir="t">
                    <w14:rot w14:lat="0" w14:lon="0" w14:rev="0"/>
                  </w14:lightRig>
                </w14:scene3d>
              </w:rPr>
              <w:t>3.5</w:t>
            </w:r>
            <w:r>
              <w:rPr>
                <w:rFonts w:asciiTheme="minorHAnsi" w:eastAsiaTheme="minorEastAsia" w:hAnsiTheme="minorHAnsi"/>
                <w:noProof/>
                <w:color w:val="auto"/>
                <w:sz w:val="22"/>
                <w:lang w:val="en-AU" w:eastAsia="en-AU"/>
              </w:rPr>
              <w:tab/>
            </w:r>
            <w:r w:rsidRPr="007F434A">
              <w:rPr>
                <w:rStyle w:val="Hyperlink"/>
                <w:noProof/>
              </w:rPr>
              <w:t>Career guidance and training to clear a path to decent jobs</w:t>
            </w:r>
            <w:r>
              <w:rPr>
                <w:noProof/>
                <w:webHidden/>
              </w:rPr>
              <w:tab/>
            </w:r>
            <w:r>
              <w:rPr>
                <w:noProof/>
                <w:webHidden/>
              </w:rPr>
              <w:fldChar w:fldCharType="begin"/>
            </w:r>
            <w:r>
              <w:rPr>
                <w:noProof/>
                <w:webHidden/>
              </w:rPr>
              <w:instrText xml:space="preserve"> PAGEREF _Toc63685928 \h </w:instrText>
            </w:r>
            <w:r>
              <w:rPr>
                <w:noProof/>
                <w:webHidden/>
              </w:rPr>
            </w:r>
            <w:r>
              <w:rPr>
                <w:noProof/>
                <w:webHidden/>
              </w:rPr>
              <w:fldChar w:fldCharType="separate"/>
            </w:r>
            <w:r>
              <w:rPr>
                <w:noProof/>
                <w:webHidden/>
              </w:rPr>
              <w:t>25</w:t>
            </w:r>
            <w:r>
              <w:rPr>
                <w:noProof/>
                <w:webHidden/>
              </w:rPr>
              <w:fldChar w:fldCharType="end"/>
            </w:r>
          </w:hyperlink>
        </w:p>
        <w:p w14:paraId="4E0BB2D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29" w:history="1">
            <w:r w:rsidRPr="007F434A">
              <w:rPr>
                <w:rStyle w:val="Hyperlink"/>
                <w:noProof/>
                <w14:scene3d>
                  <w14:camera w14:prst="orthographicFront"/>
                  <w14:lightRig w14:rig="threePt" w14:dir="t">
                    <w14:rot w14:lat="0" w14:lon="0" w14:rev="0"/>
                  </w14:lightRig>
                </w14:scene3d>
              </w:rPr>
              <w:t>3.6</w:t>
            </w:r>
            <w:r>
              <w:rPr>
                <w:rFonts w:asciiTheme="minorHAnsi" w:eastAsiaTheme="minorEastAsia" w:hAnsiTheme="minorHAnsi"/>
                <w:noProof/>
                <w:color w:val="auto"/>
                <w:sz w:val="22"/>
                <w:lang w:val="en-AU" w:eastAsia="en-AU"/>
              </w:rPr>
              <w:tab/>
            </w:r>
            <w:r w:rsidRPr="007F434A">
              <w:rPr>
                <w:rStyle w:val="Hyperlink"/>
                <w:noProof/>
              </w:rPr>
              <w:t>Put the 'service’ back in employment services</w:t>
            </w:r>
            <w:r>
              <w:rPr>
                <w:noProof/>
                <w:webHidden/>
              </w:rPr>
              <w:tab/>
            </w:r>
            <w:r>
              <w:rPr>
                <w:noProof/>
                <w:webHidden/>
              </w:rPr>
              <w:fldChar w:fldCharType="begin"/>
            </w:r>
            <w:r>
              <w:rPr>
                <w:noProof/>
                <w:webHidden/>
              </w:rPr>
              <w:instrText xml:space="preserve"> PAGEREF _Toc63685929 \h </w:instrText>
            </w:r>
            <w:r>
              <w:rPr>
                <w:noProof/>
                <w:webHidden/>
              </w:rPr>
            </w:r>
            <w:r>
              <w:rPr>
                <w:noProof/>
                <w:webHidden/>
              </w:rPr>
              <w:fldChar w:fldCharType="separate"/>
            </w:r>
            <w:r>
              <w:rPr>
                <w:noProof/>
                <w:webHidden/>
              </w:rPr>
              <w:t>26</w:t>
            </w:r>
            <w:r>
              <w:rPr>
                <w:noProof/>
                <w:webHidden/>
              </w:rPr>
              <w:fldChar w:fldCharType="end"/>
            </w:r>
          </w:hyperlink>
        </w:p>
        <w:p w14:paraId="31D96030"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30" w:history="1">
            <w:r w:rsidRPr="007F434A">
              <w:rPr>
                <w:rStyle w:val="Hyperlink"/>
                <w:noProof/>
                <w14:scene3d>
                  <w14:camera w14:prst="orthographicFront"/>
                  <w14:lightRig w14:rig="threePt" w14:dir="t">
                    <w14:rot w14:lat="0" w14:lon="0" w14:rev="0"/>
                  </w14:lightRig>
                </w14:scene3d>
              </w:rPr>
              <w:t>3.7</w:t>
            </w:r>
            <w:r>
              <w:rPr>
                <w:rFonts w:asciiTheme="minorHAnsi" w:eastAsiaTheme="minorEastAsia" w:hAnsiTheme="minorHAnsi"/>
                <w:noProof/>
                <w:color w:val="auto"/>
                <w:sz w:val="22"/>
                <w:lang w:val="en-AU" w:eastAsia="en-AU"/>
              </w:rPr>
              <w:tab/>
            </w:r>
            <w:r w:rsidRPr="007F434A">
              <w:rPr>
                <w:rStyle w:val="Hyperlink"/>
                <w:noProof/>
              </w:rPr>
              <w:t>Remove harsh elements and automation from the unemployment payment compliance system</w:t>
            </w:r>
            <w:r>
              <w:rPr>
                <w:noProof/>
                <w:webHidden/>
              </w:rPr>
              <w:tab/>
            </w:r>
            <w:r>
              <w:rPr>
                <w:noProof/>
                <w:webHidden/>
              </w:rPr>
              <w:fldChar w:fldCharType="begin"/>
            </w:r>
            <w:r>
              <w:rPr>
                <w:noProof/>
                <w:webHidden/>
              </w:rPr>
              <w:instrText xml:space="preserve"> PAGEREF _Toc63685930 \h </w:instrText>
            </w:r>
            <w:r>
              <w:rPr>
                <w:noProof/>
                <w:webHidden/>
              </w:rPr>
            </w:r>
            <w:r>
              <w:rPr>
                <w:noProof/>
                <w:webHidden/>
              </w:rPr>
              <w:fldChar w:fldCharType="separate"/>
            </w:r>
            <w:r>
              <w:rPr>
                <w:noProof/>
                <w:webHidden/>
              </w:rPr>
              <w:t>28</w:t>
            </w:r>
            <w:r>
              <w:rPr>
                <w:noProof/>
                <w:webHidden/>
              </w:rPr>
              <w:fldChar w:fldCharType="end"/>
            </w:r>
          </w:hyperlink>
        </w:p>
        <w:p w14:paraId="7B4BE91A"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31" w:history="1">
            <w:r w:rsidRPr="007F434A">
              <w:rPr>
                <w:rStyle w:val="Hyperlink"/>
                <w:noProof/>
                <w14:scene3d>
                  <w14:camera w14:prst="orthographicFront"/>
                  <w14:lightRig w14:rig="threePt" w14:dir="t">
                    <w14:rot w14:lat="0" w14:lon="0" w14:rev="0"/>
                  </w14:lightRig>
                </w14:scene3d>
              </w:rPr>
              <w:t>3.8</w:t>
            </w:r>
            <w:r>
              <w:rPr>
                <w:rFonts w:asciiTheme="minorHAnsi" w:eastAsiaTheme="minorEastAsia" w:hAnsiTheme="minorHAnsi"/>
                <w:noProof/>
                <w:color w:val="auto"/>
                <w:sz w:val="22"/>
                <w:lang w:val="en-AU" w:eastAsia="en-AU"/>
              </w:rPr>
              <w:tab/>
            </w:r>
            <w:r w:rsidRPr="007F434A">
              <w:rPr>
                <w:rStyle w:val="Hyperlink"/>
                <w:noProof/>
              </w:rPr>
              <w:t>Replace the Community Development Program with a fairer, more effective scheme.</w:t>
            </w:r>
            <w:r>
              <w:rPr>
                <w:noProof/>
                <w:webHidden/>
              </w:rPr>
              <w:tab/>
            </w:r>
            <w:r>
              <w:rPr>
                <w:noProof/>
                <w:webHidden/>
              </w:rPr>
              <w:fldChar w:fldCharType="begin"/>
            </w:r>
            <w:r>
              <w:rPr>
                <w:noProof/>
                <w:webHidden/>
              </w:rPr>
              <w:instrText xml:space="preserve"> PAGEREF _Toc63685931 \h </w:instrText>
            </w:r>
            <w:r>
              <w:rPr>
                <w:noProof/>
                <w:webHidden/>
              </w:rPr>
            </w:r>
            <w:r>
              <w:rPr>
                <w:noProof/>
                <w:webHidden/>
              </w:rPr>
              <w:fldChar w:fldCharType="separate"/>
            </w:r>
            <w:r>
              <w:rPr>
                <w:noProof/>
                <w:webHidden/>
              </w:rPr>
              <w:t>29</w:t>
            </w:r>
            <w:r>
              <w:rPr>
                <w:noProof/>
                <w:webHidden/>
              </w:rPr>
              <w:fldChar w:fldCharType="end"/>
            </w:r>
          </w:hyperlink>
        </w:p>
        <w:p w14:paraId="2A3A7838" w14:textId="77777777" w:rsidR="000C6B7B" w:rsidRDefault="000C6B7B" w:rsidP="000C6B7B">
          <w:pPr>
            <w:pStyle w:val="TOC1"/>
            <w:rPr>
              <w:rFonts w:asciiTheme="minorHAnsi" w:eastAsiaTheme="minorEastAsia" w:hAnsiTheme="minorHAnsi"/>
              <w:color w:val="auto"/>
              <w:sz w:val="22"/>
              <w:lang w:val="en-AU" w:eastAsia="en-AU"/>
            </w:rPr>
          </w:pPr>
          <w:hyperlink w:anchor="_Toc63685932" w:history="1">
            <w:r w:rsidRPr="007F434A">
              <w:rPr>
                <w:rStyle w:val="Hyperlink"/>
              </w:rPr>
              <w:t>4.</w:t>
            </w:r>
            <w:r>
              <w:rPr>
                <w:rFonts w:asciiTheme="minorHAnsi" w:eastAsiaTheme="minorEastAsia" w:hAnsiTheme="minorHAnsi"/>
                <w:color w:val="auto"/>
                <w:sz w:val="22"/>
                <w:lang w:val="en-AU" w:eastAsia="en-AU"/>
              </w:rPr>
              <w:tab/>
            </w:r>
            <w:r w:rsidRPr="007F434A">
              <w:rPr>
                <w:rStyle w:val="Hyperlink"/>
              </w:rPr>
              <w:t>Accelerate a just climate transition and strengthen community climate resilience</w:t>
            </w:r>
            <w:r>
              <w:rPr>
                <w:webHidden/>
              </w:rPr>
              <w:tab/>
            </w:r>
            <w:r>
              <w:rPr>
                <w:webHidden/>
              </w:rPr>
              <w:fldChar w:fldCharType="begin"/>
            </w:r>
            <w:r>
              <w:rPr>
                <w:webHidden/>
              </w:rPr>
              <w:instrText xml:space="preserve"> PAGEREF _Toc63685932 \h </w:instrText>
            </w:r>
            <w:r>
              <w:rPr>
                <w:webHidden/>
              </w:rPr>
            </w:r>
            <w:r>
              <w:rPr>
                <w:webHidden/>
              </w:rPr>
              <w:fldChar w:fldCharType="separate"/>
            </w:r>
            <w:r>
              <w:rPr>
                <w:webHidden/>
              </w:rPr>
              <w:t>31</w:t>
            </w:r>
            <w:r>
              <w:rPr>
                <w:webHidden/>
              </w:rPr>
              <w:fldChar w:fldCharType="end"/>
            </w:r>
          </w:hyperlink>
        </w:p>
        <w:p w14:paraId="2022B3DE" w14:textId="77777777" w:rsidR="000C6B7B" w:rsidRDefault="000C6B7B">
          <w:pPr>
            <w:pStyle w:val="TOC2"/>
            <w:tabs>
              <w:tab w:val="right" w:leader="dot" w:pos="8990"/>
            </w:tabs>
            <w:rPr>
              <w:rFonts w:asciiTheme="minorHAnsi" w:eastAsiaTheme="minorEastAsia" w:hAnsiTheme="minorHAnsi"/>
              <w:noProof/>
              <w:color w:val="auto"/>
              <w:sz w:val="22"/>
              <w:lang w:val="en-AU" w:eastAsia="en-AU"/>
            </w:rPr>
          </w:pPr>
          <w:hyperlink w:anchor="_Toc63685933" w:history="1">
            <w:r w:rsidRPr="007F434A">
              <w:rPr>
                <w:rStyle w:val="Hyperlink"/>
                <w:noProof/>
              </w:rPr>
              <w:t>Summary</w:t>
            </w:r>
            <w:r>
              <w:rPr>
                <w:noProof/>
                <w:webHidden/>
              </w:rPr>
              <w:tab/>
            </w:r>
            <w:r>
              <w:rPr>
                <w:noProof/>
                <w:webHidden/>
              </w:rPr>
              <w:fldChar w:fldCharType="begin"/>
            </w:r>
            <w:r>
              <w:rPr>
                <w:noProof/>
                <w:webHidden/>
              </w:rPr>
              <w:instrText xml:space="preserve"> PAGEREF _Toc63685933 \h </w:instrText>
            </w:r>
            <w:r>
              <w:rPr>
                <w:noProof/>
                <w:webHidden/>
              </w:rPr>
            </w:r>
            <w:r>
              <w:rPr>
                <w:noProof/>
                <w:webHidden/>
              </w:rPr>
              <w:fldChar w:fldCharType="separate"/>
            </w:r>
            <w:r>
              <w:rPr>
                <w:noProof/>
                <w:webHidden/>
              </w:rPr>
              <w:t>31</w:t>
            </w:r>
            <w:r>
              <w:rPr>
                <w:noProof/>
                <w:webHidden/>
              </w:rPr>
              <w:fldChar w:fldCharType="end"/>
            </w:r>
          </w:hyperlink>
        </w:p>
        <w:p w14:paraId="6E5B15FA"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34" w:history="1">
            <w:r w:rsidRPr="007F434A">
              <w:rPr>
                <w:rStyle w:val="Hyperlink"/>
                <w:noProof/>
                <w14:scene3d>
                  <w14:camera w14:prst="orthographicFront"/>
                  <w14:lightRig w14:rig="threePt" w14:dir="t">
                    <w14:rot w14:lat="0" w14:lon="0" w14:rev="0"/>
                  </w14:lightRig>
                </w14:scene3d>
              </w:rPr>
              <w:t>4.1</w:t>
            </w:r>
            <w:r>
              <w:rPr>
                <w:rFonts w:asciiTheme="minorHAnsi" w:eastAsiaTheme="minorEastAsia" w:hAnsiTheme="minorHAnsi"/>
                <w:noProof/>
                <w:color w:val="auto"/>
                <w:sz w:val="22"/>
                <w:lang w:val="en-AU" w:eastAsia="en-AU"/>
              </w:rPr>
              <w:tab/>
            </w:r>
            <w:r w:rsidRPr="007F434A">
              <w:rPr>
                <w:rStyle w:val="Hyperlink"/>
                <w:noProof/>
              </w:rPr>
              <w:t>Introduction</w:t>
            </w:r>
            <w:r>
              <w:rPr>
                <w:noProof/>
                <w:webHidden/>
              </w:rPr>
              <w:tab/>
            </w:r>
            <w:r>
              <w:rPr>
                <w:noProof/>
                <w:webHidden/>
              </w:rPr>
              <w:fldChar w:fldCharType="begin"/>
            </w:r>
            <w:r>
              <w:rPr>
                <w:noProof/>
                <w:webHidden/>
              </w:rPr>
              <w:instrText xml:space="preserve"> PAGEREF _Toc63685934 \h </w:instrText>
            </w:r>
            <w:r>
              <w:rPr>
                <w:noProof/>
                <w:webHidden/>
              </w:rPr>
            </w:r>
            <w:r>
              <w:rPr>
                <w:noProof/>
                <w:webHidden/>
              </w:rPr>
              <w:fldChar w:fldCharType="separate"/>
            </w:r>
            <w:r>
              <w:rPr>
                <w:noProof/>
                <w:webHidden/>
              </w:rPr>
              <w:t>31</w:t>
            </w:r>
            <w:r>
              <w:rPr>
                <w:noProof/>
                <w:webHidden/>
              </w:rPr>
              <w:fldChar w:fldCharType="end"/>
            </w:r>
          </w:hyperlink>
        </w:p>
        <w:p w14:paraId="3766F8DA"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35" w:history="1">
            <w:r w:rsidRPr="007F434A">
              <w:rPr>
                <w:rStyle w:val="Hyperlink"/>
                <w:noProof/>
                <w14:scene3d>
                  <w14:camera w14:prst="orthographicFront"/>
                  <w14:lightRig w14:rig="threePt" w14:dir="t">
                    <w14:rot w14:lat="0" w14:lon="0" w14:rev="0"/>
                  </w14:lightRig>
                </w14:scene3d>
              </w:rPr>
              <w:t>4.2</w:t>
            </w:r>
            <w:r>
              <w:rPr>
                <w:rFonts w:asciiTheme="minorHAnsi" w:eastAsiaTheme="minorEastAsia" w:hAnsiTheme="minorHAnsi"/>
                <w:noProof/>
                <w:color w:val="auto"/>
                <w:sz w:val="22"/>
                <w:lang w:val="en-AU" w:eastAsia="en-AU"/>
              </w:rPr>
              <w:tab/>
            </w:r>
            <w:r w:rsidRPr="007F434A">
              <w:rPr>
                <w:rStyle w:val="Hyperlink"/>
                <w:noProof/>
              </w:rPr>
              <w:t>Healthy, low-energy, low-income homes</w:t>
            </w:r>
            <w:r>
              <w:rPr>
                <w:noProof/>
                <w:webHidden/>
              </w:rPr>
              <w:tab/>
            </w:r>
            <w:r>
              <w:rPr>
                <w:noProof/>
                <w:webHidden/>
              </w:rPr>
              <w:fldChar w:fldCharType="begin"/>
            </w:r>
            <w:r>
              <w:rPr>
                <w:noProof/>
                <w:webHidden/>
              </w:rPr>
              <w:instrText xml:space="preserve"> PAGEREF _Toc63685935 \h </w:instrText>
            </w:r>
            <w:r>
              <w:rPr>
                <w:noProof/>
                <w:webHidden/>
              </w:rPr>
            </w:r>
            <w:r>
              <w:rPr>
                <w:noProof/>
                <w:webHidden/>
              </w:rPr>
              <w:fldChar w:fldCharType="separate"/>
            </w:r>
            <w:r>
              <w:rPr>
                <w:noProof/>
                <w:webHidden/>
              </w:rPr>
              <w:t>33</w:t>
            </w:r>
            <w:r>
              <w:rPr>
                <w:noProof/>
                <w:webHidden/>
              </w:rPr>
              <w:fldChar w:fldCharType="end"/>
            </w:r>
          </w:hyperlink>
        </w:p>
        <w:p w14:paraId="0465A5B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36" w:history="1">
            <w:r w:rsidRPr="007F434A">
              <w:rPr>
                <w:rStyle w:val="Hyperlink"/>
                <w:noProof/>
                <w14:scene3d>
                  <w14:camera w14:prst="orthographicFront"/>
                  <w14:lightRig w14:rig="threePt" w14:dir="t">
                    <w14:rot w14:lat="0" w14:lon="0" w14:rev="0"/>
                  </w14:lightRig>
                </w14:scene3d>
              </w:rPr>
              <w:t>4.3</w:t>
            </w:r>
            <w:r>
              <w:rPr>
                <w:rFonts w:asciiTheme="minorHAnsi" w:eastAsiaTheme="minorEastAsia" w:hAnsiTheme="minorHAnsi"/>
                <w:noProof/>
                <w:color w:val="auto"/>
                <w:sz w:val="22"/>
                <w:lang w:val="en-AU" w:eastAsia="en-AU"/>
              </w:rPr>
              <w:tab/>
            </w:r>
            <w:r w:rsidRPr="007F434A">
              <w:rPr>
                <w:rStyle w:val="Hyperlink"/>
                <w:noProof/>
              </w:rPr>
              <w:t>Clean, affordable, dependable energy for Indigenous communities</w:t>
            </w:r>
            <w:r>
              <w:rPr>
                <w:noProof/>
                <w:webHidden/>
              </w:rPr>
              <w:tab/>
            </w:r>
            <w:r>
              <w:rPr>
                <w:noProof/>
                <w:webHidden/>
              </w:rPr>
              <w:fldChar w:fldCharType="begin"/>
            </w:r>
            <w:r>
              <w:rPr>
                <w:noProof/>
                <w:webHidden/>
              </w:rPr>
              <w:instrText xml:space="preserve"> PAGEREF _Toc63685936 \h </w:instrText>
            </w:r>
            <w:r>
              <w:rPr>
                <w:noProof/>
                <w:webHidden/>
              </w:rPr>
            </w:r>
            <w:r>
              <w:rPr>
                <w:noProof/>
                <w:webHidden/>
              </w:rPr>
              <w:fldChar w:fldCharType="separate"/>
            </w:r>
            <w:r>
              <w:rPr>
                <w:noProof/>
                <w:webHidden/>
              </w:rPr>
              <w:t>34</w:t>
            </w:r>
            <w:r>
              <w:rPr>
                <w:noProof/>
                <w:webHidden/>
              </w:rPr>
              <w:fldChar w:fldCharType="end"/>
            </w:r>
          </w:hyperlink>
        </w:p>
        <w:p w14:paraId="4A93A4F0"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37" w:history="1">
            <w:r w:rsidRPr="007F434A">
              <w:rPr>
                <w:rStyle w:val="Hyperlink"/>
                <w:noProof/>
                <w14:scene3d>
                  <w14:camera w14:prst="orthographicFront"/>
                  <w14:lightRig w14:rig="threePt" w14:dir="t">
                    <w14:rot w14:lat="0" w14:lon="0" w14:rev="0"/>
                  </w14:lightRig>
                </w14:scene3d>
              </w:rPr>
              <w:t>4.4</w:t>
            </w:r>
            <w:r>
              <w:rPr>
                <w:rFonts w:asciiTheme="minorHAnsi" w:eastAsiaTheme="minorEastAsia" w:hAnsiTheme="minorHAnsi"/>
                <w:noProof/>
                <w:color w:val="auto"/>
                <w:sz w:val="22"/>
                <w:lang w:val="en-AU" w:eastAsia="en-AU"/>
              </w:rPr>
              <w:tab/>
            </w:r>
            <w:r w:rsidRPr="007F434A">
              <w:rPr>
                <w:rStyle w:val="Hyperlink"/>
                <w:noProof/>
              </w:rPr>
              <w:t>Improving energy affordability for people experiencing disadvantage</w:t>
            </w:r>
            <w:r>
              <w:rPr>
                <w:noProof/>
                <w:webHidden/>
              </w:rPr>
              <w:tab/>
            </w:r>
            <w:r>
              <w:rPr>
                <w:noProof/>
                <w:webHidden/>
              </w:rPr>
              <w:fldChar w:fldCharType="begin"/>
            </w:r>
            <w:r>
              <w:rPr>
                <w:noProof/>
                <w:webHidden/>
              </w:rPr>
              <w:instrText xml:space="preserve"> PAGEREF _Toc63685937 \h </w:instrText>
            </w:r>
            <w:r>
              <w:rPr>
                <w:noProof/>
                <w:webHidden/>
              </w:rPr>
            </w:r>
            <w:r>
              <w:rPr>
                <w:noProof/>
                <w:webHidden/>
              </w:rPr>
              <w:fldChar w:fldCharType="separate"/>
            </w:r>
            <w:r>
              <w:rPr>
                <w:noProof/>
                <w:webHidden/>
              </w:rPr>
              <w:t>35</w:t>
            </w:r>
            <w:r>
              <w:rPr>
                <w:noProof/>
                <w:webHidden/>
              </w:rPr>
              <w:fldChar w:fldCharType="end"/>
            </w:r>
          </w:hyperlink>
        </w:p>
        <w:p w14:paraId="1D2B7942"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38" w:history="1">
            <w:r w:rsidRPr="007F434A">
              <w:rPr>
                <w:rStyle w:val="Hyperlink"/>
                <w:noProof/>
                <w14:scene3d>
                  <w14:camera w14:prst="orthographicFront"/>
                  <w14:lightRig w14:rig="threePt" w14:dir="t">
                    <w14:rot w14:lat="0" w14:lon="0" w14:rev="0"/>
                  </w14:lightRig>
                </w14:scene3d>
              </w:rPr>
              <w:t>4.5</w:t>
            </w:r>
            <w:r>
              <w:rPr>
                <w:rFonts w:asciiTheme="minorHAnsi" w:eastAsiaTheme="minorEastAsia" w:hAnsiTheme="minorHAnsi"/>
                <w:noProof/>
                <w:color w:val="auto"/>
                <w:sz w:val="22"/>
                <w:lang w:val="en-AU" w:eastAsia="en-AU"/>
              </w:rPr>
              <w:tab/>
            </w:r>
            <w:r w:rsidRPr="007F434A">
              <w:rPr>
                <w:rStyle w:val="Hyperlink"/>
                <w:noProof/>
              </w:rPr>
              <w:t>Just transition for workers and communities</w:t>
            </w:r>
            <w:r>
              <w:rPr>
                <w:noProof/>
                <w:webHidden/>
              </w:rPr>
              <w:tab/>
            </w:r>
            <w:r>
              <w:rPr>
                <w:noProof/>
                <w:webHidden/>
              </w:rPr>
              <w:fldChar w:fldCharType="begin"/>
            </w:r>
            <w:r>
              <w:rPr>
                <w:noProof/>
                <w:webHidden/>
              </w:rPr>
              <w:instrText xml:space="preserve"> PAGEREF _Toc63685938 \h </w:instrText>
            </w:r>
            <w:r>
              <w:rPr>
                <w:noProof/>
                <w:webHidden/>
              </w:rPr>
            </w:r>
            <w:r>
              <w:rPr>
                <w:noProof/>
                <w:webHidden/>
              </w:rPr>
              <w:fldChar w:fldCharType="separate"/>
            </w:r>
            <w:r>
              <w:rPr>
                <w:noProof/>
                <w:webHidden/>
              </w:rPr>
              <w:t>36</w:t>
            </w:r>
            <w:r>
              <w:rPr>
                <w:noProof/>
                <w:webHidden/>
              </w:rPr>
              <w:fldChar w:fldCharType="end"/>
            </w:r>
          </w:hyperlink>
        </w:p>
        <w:p w14:paraId="17F9B8DA" w14:textId="7D010A66"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40" w:history="1">
            <w:r w:rsidRPr="007F434A">
              <w:rPr>
                <w:rStyle w:val="Hyperlink"/>
                <w:noProof/>
                <w14:scene3d>
                  <w14:camera w14:prst="orthographicFront"/>
                  <w14:lightRig w14:rig="threePt" w14:dir="t">
                    <w14:rot w14:lat="0" w14:lon="0" w14:rev="0"/>
                  </w14:lightRig>
                </w14:scene3d>
              </w:rPr>
              <w:t>4.6</w:t>
            </w:r>
            <w:r>
              <w:rPr>
                <w:rFonts w:asciiTheme="minorHAnsi" w:eastAsiaTheme="minorEastAsia" w:hAnsiTheme="minorHAnsi"/>
                <w:noProof/>
                <w:color w:val="auto"/>
                <w:sz w:val="22"/>
                <w:lang w:val="en-AU" w:eastAsia="en-AU"/>
              </w:rPr>
              <w:tab/>
            </w:r>
            <w:r w:rsidRPr="007F434A">
              <w:rPr>
                <w:rStyle w:val="Hyperlink"/>
                <w:noProof/>
              </w:rPr>
              <w:t>Empower Communities to build their resilience and lead disaster recovery efforts</w:t>
            </w:r>
            <w:r>
              <w:rPr>
                <w:rStyle w:val="Hyperlink"/>
                <w:noProof/>
              </w:rPr>
              <w:tab/>
            </w:r>
            <w:r>
              <w:rPr>
                <w:noProof/>
                <w:webHidden/>
              </w:rPr>
              <w:tab/>
            </w:r>
            <w:r>
              <w:rPr>
                <w:noProof/>
                <w:webHidden/>
              </w:rPr>
              <w:fldChar w:fldCharType="begin"/>
            </w:r>
            <w:r>
              <w:rPr>
                <w:noProof/>
                <w:webHidden/>
              </w:rPr>
              <w:instrText xml:space="preserve"> PAGEREF _Toc63685940 \h </w:instrText>
            </w:r>
            <w:r>
              <w:rPr>
                <w:noProof/>
                <w:webHidden/>
              </w:rPr>
            </w:r>
            <w:r>
              <w:rPr>
                <w:noProof/>
                <w:webHidden/>
              </w:rPr>
              <w:fldChar w:fldCharType="separate"/>
            </w:r>
            <w:r>
              <w:rPr>
                <w:noProof/>
                <w:webHidden/>
              </w:rPr>
              <w:t>36</w:t>
            </w:r>
            <w:r>
              <w:rPr>
                <w:noProof/>
                <w:webHidden/>
              </w:rPr>
              <w:fldChar w:fldCharType="end"/>
            </w:r>
          </w:hyperlink>
        </w:p>
        <w:p w14:paraId="6235437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41" w:history="1">
            <w:r w:rsidRPr="007F434A">
              <w:rPr>
                <w:rStyle w:val="Hyperlink"/>
                <w:rFonts w:eastAsia="Palatino Linotype"/>
                <w:noProof/>
                <w14:scene3d>
                  <w14:camera w14:prst="orthographicFront"/>
                  <w14:lightRig w14:rig="threePt" w14:dir="t">
                    <w14:rot w14:lat="0" w14:lon="0" w14:rev="0"/>
                  </w14:lightRig>
                </w14:scene3d>
              </w:rPr>
              <w:t>4.7</w:t>
            </w:r>
            <w:r>
              <w:rPr>
                <w:rFonts w:asciiTheme="minorHAnsi" w:eastAsiaTheme="minorEastAsia" w:hAnsiTheme="minorHAnsi"/>
                <w:noProof/>
                <w:color w:val="auto"/>
                <w:sz w:val="22"/>
                <w:lang w:val="en-AU" w:eastAsia="en-AU"/>
              </w:rPr>
              <w:tab/>
            </w:r>
            <w:r w:rsidRPr="007F434A">
              <w:rPr>
                <w:rStyle w:val="Hyperlink"/>
                <w:rFonts w:eastAsia="Palatino Linotype"/>
                <w:noProof/>
              </w:rPr>
              <w:t>Better meet the needs of people impacted by natural disasters</w:t>
            </w:r>
            <w:r>
              <w:rPr>
                <w:noProof/>
                <w:webHidden/>
              </w:rPr>
              <w:tab/>
            </w:r>
            <w:r>
              <w:rPr>
                <w:noProof/>
                <w:webHidden/>
              </w:rPr>
              <w:fldChar w:fldCharType="begin"/>
            </w:r>
            <w:r>
              <w:rPr>
                <w:noProof/>
                <w:webHidden/>
              </w:rPr>
              <w:instrText xml:space="preserve"> PAGEREF _Toc63685941 \h </w:instrText>
            </w:r>
            <w:r>
              <w:rPr>
                <w:noProof/>
                <w:webHidden/>
              </w:rPr>
            </w:r>
            <w:r>
              <w:rPr>
                <w:noProof/>
                <w:webHidden/>
              </w:rPr>
              <w:fldChar w:fldCharType="separate"/>
            </w:r>
            <w:r>
              <w:rPr>
                <w:noProof/>
                <w:webHidden/>
              </w:rPr>
              <w:t>38</w:t>
            </w:r>
            <w:r>
              <w:rPr>
                <w:noProof/>
                <w:webHidden/>
              </w:rPr>
              <w:fldChar w:fldCharType="end"/>
            </w:r>
          </w:hyperlink>
        </w:p>
        <w:p w14:paraId="306AC00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42" w:history="1">
            <w:r w:rsidRPr="007F434A">
              <w:rPr>
                <w:rStyle w:val="Hyperlink"/>
                <w:noProof/>
                <w14:scene3d>
                  <w14:camera w14:prst="orthographicFront"/>
                  <w14:lightRig w14:rig="threePt" w14:dir="t">
                    <w14:rot w14:lat="0" w14:lon="0" w14:rev="0"/>
                  </w14:lightRig>
                </w14:scene3d>
              </w:rPr>
              <w:t>4.8</w:t>
            </w:r>
            <w:r>
              <w:rPr>
                <w:rFonts w:asciiTheme="minorHAnsi" w:eastAsiaTheme="minorEastAsia" w:hAnsiTheme="minorHAnsi"/>
                <w:noProof/>
                <w:color w:val="auto"/>
                <w:sz w:val="22"/>
                <w:lang w:val="en-AU" w:eastAsia="en-AU"/>
              </w:rPr>
              <w:tab/>
            </w:r>
            <w:r w:rsidRPr="007F434A">
              <w:rPr>
                <w:rStyle w:val="Hyperlink"/>
                <w:noProof/>
              </w:rPr>
              <w:t>Strengthen resilience of community sector organisations</w:t>
            </w:r>
            <w:r>
              <w:rPr>
                <w:noProof/>
                <w:webHidden/>
              </w:rPr>
              <w:tab/>
            </w:r>
            <w:r>
              <w:rPr>
                <w:noProof/>
                <w:webHidden/>
              </w:rPr>
              <w:fldChar w:fldCharType="begin"/>
            </w:r>
            <w:r>
              <w:rPr>
                <w:noProof/>
                <w:webHidden/>
              </w:rPr>
              <w:instrText xml:space="preserve"> PAGEREF _Toc63685942 \h </w:instrText>
            </w:r>
            <w:r>
              <w:rPr>
                <w:noProof/>
                <w:webHidden/>
              </w:rPr>
            </w:r>
            <w:r>
              <w:rPr>
                <w:noProof/>
                <w:webHidden/>
              </w:rPr>
              <w:fldChar w:fldCharType="separate"/>
            </w:r>
            <w:r>
              <w:rPr>
                <w:noProof/>
                <w:webHidden/>
              </w:rPr>
              <w:t>40</w:t>
            </w:r>
            <w:r>
              <w:rPr>
                <w:noProof/>
                <w:webHidden/>
              </w:rPr>
              <w:fldChar w:fldCharType="end"/>
            </w:r>
          </w:hyperlink>
        </w:p>
        <w:p w14:paraId="0A56313A"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43" w:history="1">
            <w:r w:rsidRPr="007F434A">
              <w:rPr>
                <w:rStyle w:val="Hyperlink"/>
                <w:noProof/>
                <w14:scene3d>
                  <w14:camera w14:prst="orthographicFront"/>
                  <w14:lightRig w14:rig="threePt" w14:dir="t">
                    <w14:rot w14:lat="0" w14:lon="0" w14:rev="0"/>
                  </w14:lightRig>
                </w14:scene3d>
              </w:rPr>
              <w:t>4.9</w:t>
            </w:r>
            <w:r>
              <w:rPr>
                <w:rFonts w:asciiTheme="minorHAnsi" w:eastAsiaTheme="minorEastAsia" w:hAnsiTheme="minorHAnsi"/>
                <w:noProof/>
                <w:color w:val="auto"/>
                <w:sz w:val="22"/>
                <w:lang w:val="en-AU" w:eastAsia="en-AU"/>
              </w:rPr>
              <w:tab/>
            </w:r>
            <w:r w:rsidRPr="007F434A">
              <w:rPr>
                <w:rStyle w:val="Hyperlink"/>
                <w:noProof/>
              </w:rPr>
              <w:t>Affordable, accessible insurance</w:t>
            </w:r>
            <w:r>
              <w:rPr>
                <w:noProof/>
                <w:webHidden/>
              </w:rPr>
              <w:tab/>
            </w:r>
            <w:r>
              <w:rPr>
                <w:noProof/>
                <w:webHidden/>
              </w:rPr>
              <w:fldChar w:fldCharType="begin"/>
            </w:r>
            <w:r>
              <w:rPr>
                <w:noProof/>
                <w:webHidden/>
              </w:rPr>
              <w:instrText xml:space="preserve"> PAGEREF _Toc63685943 \h </w:instrText>
            </w:r>
            <w:r>
              <w:rPr>
                <w:noProof/>
                <w:webHidden/>
              </w:rPr>
            </w:r>
            <w:r>
              <w:rPr>
                <w:noProof/>
                <w:webHidden/>
              </w:rPr>
              <w:fldChar w:fldCharType="separate"/>
            </w:r>
            <w:r>
              <w:rPr>
                <w:noProof/>
                <w:webHidden/>
              </w:rPr>
              <w:t>42</w:t>
            </w:r>
            <w:r>
              <w:rPr>
                <w:noProof/>
                <w:webHidden/>
              </w:rPr>
              <w:fldChar w:fldCharType="end"/>
            </w:r>
          </w:hyperlink>
        </w:p>
        <w:p w14:paraId="27AB3FA2" w14:textId="77777777" w:rsidR="000C6B7B" w:rsidRDefault="000C6B7B">
          <w:pPr>
            <w:pStyle w:val="TOC2"/>
            <w:tabs>
              <w:tab w:val="left" w:pos="1100"/>
              <w:tab w:val="right" w:leader="dot" w:pos="8990"/>
            </w:tabs>
            <w:rPr>
              <w:rFonts w:asciiTheme="minorHAnsi" w:eastAsiaTheme="minorEastAsia" w:hAnsiTheme="minorHAnsi"/>
              <w:noProof/>
              <w:color w:val="auto"/>
              <w:sz w:val="22"/>
              <w:lang w:val="en-AU" w:eastAsia="en-AU"/>
            </w:rPr>
          </w:pPr>
          <w:hyperlink w:anchor="_Toc63685944" w:history="1">
            <w:r w:rsidRPr="007F434A">
              <w:rPr>
                <w:rStyle w:val="Hyperlink"/>
                <w:noProof/>
                <w14:scene3d>
                  <w14:camera w14:prst="orthographicFront"/>
                  <w14:lightRig w14:rig="threePt" w14:dir="t">
                    <w14:rot w14:lat="0" w14:lon="0" w14:rev="0"/>
                  </w14:lightRig>
                </w14:scene3d>
              </w:rPr>
              <w:t>4.10</w:t>
            </w:r>
            <w:r>
              <w:rPr>
                <w:rFonts w:asciiTheme="minorHAnsi" w:eastAsiaTheme="minorEastAsia" w:hAnsiTheme="minorHAnsi"/>
                <w:noProof/>
                <w:color w:val="auto"/>
                <w:sz w:val="22"/>
                <w:lang w:val="en-AU" w:eastAsia="en-AU"/>
              </w:rPr>
              <w:tab/>
            </w:r>
            <w:r w:rsidRPr="007F434A">
              <w:rPr>
                <w:rStyle w:val="Hyperlink"/>
                <w:noProof/>
              </w:rPr>
              <w:t>Phase out fossil fuel subsidies</w:t>
            </w:r>
            <w:r>
              <w:rPr>
                <w:noProof/>
                <w:webHidden/>
              </w:rPr>
              <w:tab/>
            </w:r>
            <w:r>
              <w:rPr>
                <w:noProof/>
                <w:webHidden/>
              </w:rPr>
              <w:fldChar w:fldCharType="begin"/>
            </w:r>
            <w:r>
              <w:rPr>
                <w:noProof/>
                <w:webHidden/>
              </w:rPr>
              <w:instrText xml:space="preserve"> PAGEREF _Toc63685944 \h </w:instrText>
            </w:r>
            <w:r>
              <w:rPr>
                <w:noProof/>
                <w:webHidden/>
              </w:rPr>
            </w:r>
            <w:r>
              <w:rPr>
                <w:noProof/>
                <w:webHidden/>
              </w:rPr>
              <w:fldChar w:fldCharType="separate"/>
            </w:r>
            <w:r>
              <w:rPr>
                <w:noProof/>
                <w:webHidden/>
              </w:rPr>
              <w:t>42</w:t>
            </w:r>
            <w:r>
              <w:rPr>
                <w:noProof/>
                <w:webHidden/>
              </w:rPr>
              <w:fldChar w:fldCharType="end"/>
            </w:r>
          </w:hyperlink>
        </w:p>
        <w:p w14:paraId="6FB50137" w14:textId="77777777" w:rsidR="000C6B7B" w:rsidRDefault="000C6B7B" w:rsidP="000C6B7B">
          <w:pPr>
            <w:pStyle w:val="TOC1"/>
            <w:rPr>
              <w:rFonts w:asciiTheme="minorHAnsi" w:eastAsiaTheme="minorEastAsia" w:hAnsiTheme="minorHAnsi"/>
              <w:color w:val="auto"/>
              <w:sz w:val="22"/>
              <w:lang w:val="en-AU" w:eastAsia="en-AU"/>
            </w:rPr>
          </w:pPr>
          <w:hyperlink w:anchor="_Toc63685945" w:history="1">
            <w:r w:rsidRPr="007F434A">
              <w:rPr>
                <w:rStyle w:val="Hyperlink"/>
              </w:rPr>
              <w:t>5.</w:t>
            </w:r>
            <w:r>
              <w:rPr>
                <w:rFonts w:asciiTheme="minorHAnsi" w:eastAsiaTheme="minorEastAsia" w:hAnsiTheme="minorHAnsi"/>
                <w:color w:val="auto"/>
                <w:sz w:val="22"/>
                <w:lang w:val="en-AU" w:eastAsia="en-AU"/>
              </w:rPr>
              <w:tab/>
            </w:r>
            <w:r w:rsidRPr="007F434A">
              <w:rPr>
                <w:rStyle w:val="Hyperlink"/>
              </w:rPr>
              <w:t>Make access to housing affordable for people with low incomes</w:t>
            </w:r>
            <w:r>
              <w:rPr>
                <w:webHidden/>
              </w:rPr>
              <w:tab/>
            </w:r>
            <w:r>
              <w:rPr>
                <w:webHidden/>
              </w:rPr>
              <w:fldChar w:fldCharType="begin"/>
            </w:r>
            <w:r>
              <w:rPr>
                <w:webHidden/>
              </w:rPr>
              <w:instrText xml:space="preserve"> PAGEREF _Toc63685945 \h </w:instrText>
            </w:r>
            <w:r>
              <w:rPr>
                <w:webHidden/>
              </w:rPr>
            </w:r>
            <w:r>
              <w:rPr>
                <w:webHidden/>
              </w:rPr>
              <w:fldChar w:fldCharType="separate"/>
            </w:r>
            <w:r>
              <w:rPr>
                <w:webHidden/>
              </w:rPr>
              <w:t>43</w:t>
            </w:r>
            <w:r>
              <w:rPr>
                <w:webHidden/>
              </w:rPr>
              <w:fldChar w:fldCharType="end"/>
            </w:r>
          </w:hyperlink>
        </w:p>
        <w:p w14:paraId="0DFC933E" w14:textId="77777777" w:rsidR="000C6B7B" w:rsidRDefault="000C6B7B">
          <w:pPr>
            <w:pStyle w:val="TOC2"/>
            <w:tabs>
              <w:tab w:val="right" w:leader="dot" w:pos="8990"/>
            </w:tabs>
            <w:rPr>
              <w:rFonts w:asciiTheme="minorHAnsi" w:eastAsiaTheme="minorEastAsia" w:hAnsiTheme="minorHAnsi"/>
              <w:noProof/>
              <w:color w:val="auto"/>
              <w:sz w:val="22"/>
              <w:lang w:val="en-AU" w:eastAsia="en-AU"/>
            </w:rPr>
          </w:pPr>
          <w:hyperlink w:anchor="_Toc63685946" w:history="1">
            <w:r w:rsidRPr="007F434A">
              <w:rPr>
                <w:rStyle w:val="Hyperlink"/>
                <w:noProof/>
              </w:rPr>
              <w:t>Summary</w:t>
            </w:r>
            <w:r>
              <w:rPr>
                <w:noProof/>
                <w:webHidden/>
              </w:rPr>
              <w:tab/>
            </w:r>
            <w:r>
              <w:rPr>
                <w:noProof/>
                <w:webHidden/>
              </w:rPr>
              <w:fldChar w:fldCharType="begin"/>
            </w:r>
            <w:r>
              <w:rPr>
                <w:noProof/>
                <w:webHidden/>
              </w:rPr>
              <w:instrText xml:space="preserve"> PAGEREF _Toc63685946 \h </w:instrText>
            </w:r>
            <w:r>
              <w:rPr>
                <w:noProof/>
                <w:webHidden/>
              </w:rPr>
            </w:r>
            <w:r>
              <w:rPr>
                <w:noProof/>
                <w:webHidden/>
              </w:rPr>
              <w:fldChar w:fldCharType="separate"/>
            </w:r>
            <w:r>
              <w:rPr>
                <w:noProof/>
                <w:webHidden/>
              </w:rPr>
              <w:t>43</w:t>
            </w:r>
            <w:r>
              <w:rPr>
                <w:noProof/>
                <w:webHidden/>
              </w:rPr>
              <w:fldChar w:fldCharType="end"/>
            </w:r>
          </w:hyperlink>
        </w:p>
        <w:p w14:paraId="2DA97988"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47" w:history="1">
            <w:r w:rsidRPr="007F434A">
              <w:rPr>
                <w:rStyle w:val="Hyperlink"/>
                <w:noProof/>
                <w14:scene3d>
                  <w14:camera w14:prst="orthographicFront"/>
                  <w14:lightRig w14:rig="threePt" w14:dir="t">
                    <w14:rot w14:lat="0" w14:lon="0" w14:rev="0"/>
                  </w14:lightRig>
                </w14:scene3d>
              </w:rPr>
              <w:t>5.1</w:t>
            </w:r>
            <w:r>
              <w:rPr>
                <w:rFonts w:asciiTheme="minorHAnsi" w:eastAsiaTheme="minorEastAsia" w:hAnsiTheme="minorHAnsi"/>
                <w:noProof/>
                <w:color w:val="auto"/>
                <w:sz w:val="22"/>
                <w:lang w:val="en-AU" w:eastAsia="en-AU"/>
              </w:rPr>
              <w:tab/>
            </w:r>
            <w:r w:rsidRPr="007F434A">
              <w:rPr>
                <w:rStyle w:val="Hyperlink"/>
                <w:noProof/>
              </w:rPr>
              <w:t>Build 20,000-30,000 social housing dwellings to reduce homelessness and generate over 15,000 jobs a year</w:t>
            </w:r>
            <w:r>
              <w:rPr>
                <w:noProof/>
                <w:webHidden/>
              </w:rPr>
              <w:tab/>
            </w:r>
            <w:r>
              <w:rPr>
                <w:noProof/>
                <w:webHidden/>
              </w:rPr>
              <w:fldChar w:fldCharType="begin"/>
            </w:r>
            <w:r>
              <w:rPr>
                <w:noProof/>
                <w:webHidden/>
              </w:rPr>
              <w:instrText xml:space="preserve"> PAGEREF _Toc63685947 \h </w:instrText>
            </w:r>
            <w:r>
              <w:rPr>
                <w:noProof/>
                <w:webHidden/>
              </w:rPr>
            </w:r>
            <w:r>
              <w:rPr>
                <w:noProof/>
                <w:webHidden/>
              </w:rPr>
              <w:fldChar w:fldCharType="separate"/>
            </w:r>
            <w:r>
              <w:rPr>
                <w:noProof/>
                <w:webHidden/>
              </w:rPr>
              <w:t>43</w:t>
            </w:r>
            <w:r>
              <w:rPr>
                <w:noProof/>
                <w:webHidden/>
              </w:rPr>
              <w:fldChar w:fldCharType="end"/>
            </w:r>
          </w:hyperlink>
        </w:p>
        <w:p w14:paraId="59A81F3C" w14:textId="063B222D"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48" w:history="1">
            <w:r w:rsidRPr="007F434A">
              <w:rPr>
                <w:rStyle w:val="Hyperlink"/>
                <w:noProof/>
                <w14:scene3d>
                  <w14:camera w14:prst="orthographicFront"/>
                  <w14:lightRig w14:rig="threePt" w14:dir="t">
                    <w14:rot w14:lat="0" w14:lon="0" w14:rev="0"/>
                  </w14:lightRig>
                </w14:scene3d>
              </w:rPr>
              <w:t>5.2</w:t>
            </w:r>
            <w:r>
              <w:rPr>
                <w:rFonts w:asciiTheme="minorHAnsi" w:eastAsiaTheme="minorEastAsia" w:hAnsiTheme="minorHAnsi"/>
                <w:noProof/>
                <w:color w:val="auto"/>
                <w:sz w:val="22"/>
                <w:lang w:val="en-AU" w:eastAsia="en-AU"/>
              </w:rPr>
              <w:tab/>
            </w:r>
            <w:r w:rsidRPr="007F434A">
              <w:rPr>
                <w:rStyle w:val="Hyperlink"/>
                <w:noProof/>
              </w:rPr>
              <w:t>Reform Rent Assistance to relieve rental stress for tenants in the private market</w:t>
            </w:r>
            <w:r>
              <w:rPr>
                <w:noProof/>
                <w:webHidden/>
              </w:rPr>
              <w:tab/>
            </w:r>
            <w:r>
              <w:rPr>
                <w:noProof/>
                <w:webHidden/>
              </w:rPr>
              <w:tab/>
            </w:r>
            <w:r>
              <w:rPr>
                <w:noProof/>
                <w:webHidden/>
              </w:rPr>
              <w:tab/>
            </w:r>
            <w:r>
              <w:rPr>
                <w:noProof/>
                <w:webHidden/>
              </w:rPr>
              <w:fldChar w:fldCharType="begin"/>
            </w:r>
            <w:r>
              <w:rPr>
                <w:noProof/>
                <w:webHidden/>
              </w:rPr>
              <w:instrText xml:space="preserve"> PAGEREF _Toc63685948 \h </w:instrText>
            </w:r>
            <w:r>
              <w:rPr>
                <w:noProof/>
                <w:webHidden/>
              </w:rPr>
            </w:r>
            <w:r>
              <w:rPr>
                <w:noProof/>
                <w:webHidden/>
              </w:rPr>
              <w:fldChar w:fldCharType="separate"/>
            </w:r>
            <w:r>
              <w:rPr>
                <w:noProof/>
                <w:webHidden/>
              </w:rPr>
              <w:t>44</w:t>
            </w:r>
            <w:r>
              <w:rPr>
                <w:noProof/>
                <w:webHidden/>
              </w:rPr>
              <w:fldChar w:fldCharType="end"/>
            </w:r>
          </w:hyperlink>
        </w:p>
        <w:p w14:paraId="21C32FE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49" w:history="1">
            <w:r w:rsidRPr="007F434A">
              <w:rPr>
                <w:rStyle w:val="Hyperlink"/>
                <w:noProof/>
                <w14:scene3d>
                  <w14:camera w14:prst="orthographicFront"/>
                  <w14:lightRig w14:rig="threePt" w14:dir="t">
                    <w14:rot w14:lat="0" w14:lon="0" w14:rev="0"/>
                  </w14:lightRig>
                </w14:scene3d>
              </w:rPr>
              <w:t>5.3</w:t>
            </w:r>
            <w:r>
              <w:rPr>
                <w:rFonts w:asciiTheme="minorHAnsi" w:eastAsiaTheme="minorEastAsia" w:hAnsiTheme="minorHAnsi"/>
                <w:noProof/>
                <w:color w:val="auto"/>
                <w:sz w:val="22"/>
                <w:lang w:val="en-AU" w:eastAsia="en-AU"/>
              </w:rPr>
              <w:tab/>
            </w:r>
            <w:r w:rsidRPr="007F434A">
              <w:rPr>
                <w:rStyle w:val="Hyperlink"/>
                <w:noProof/>
              </w:rPr>
              <w:t>Introduce an investment incentive for affordable rental housing</w:t>
            </w:r>
            <w:r>
              <w:rPr>
                <w:noProof/>
                <w:webHidden/>
              </w:rPr>
              <w:tab/>
            </w:r>
            <w:r>
              <w:rPr>
                <w:noProof/>
                <w:webHidden/>
              </w:rPr>
              <w:fldChar w:fldCharType="begin"/>
            </w:r>
            <w:r>
              <w:rPr>
                <w:noProof/>
                <w:webHidden/>
              </w:rPr>
              <w:instrText xml:space="preserve"> PAGEREF _Toc63685949 \h </w:instrText>
            </w:r>
            <w:r>
              <w:rPr>
                <w:noProof/>
                <w:webHidden/>
              </w:rPr>
            </w:r>
            <w:r>
              <w:rPr>
                <w:noProof/>
                <w:webHidden/>
              </w:rPr>
              <w:fldChar w:fldCharType="separate"/>
            </w:r>
            <w:r>
              <w:rPr>
                <w:noProof/>
                <w:webHidden/>
              </w:rPr>
              <w:t>45</w:t>
            </w:r>
            <w:r>
              <w:rPr>
                <w:noProof/>
                <w:webHidden/>
              </w:rPr>
              <w:fldChar w:fldCharType="end"/>
            </w:r>
          </w:hyperlink>
        </w:p>
        <w:p w14:paraId="58120C28"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50" w:history="1">
            <w:r w:rsidRPr="007F434A">
              <w:rPr>
                <w:rStyle w:val="Hyperlink"/>
                <w:noProof/>
                <w14:scene3d>
                  <w14:camera w14:prst="orthographicFront"/>
                  <w14:lightRig w14:rig="threePt" w14:dir="t">
                    <w14:rot w14:lat="0" w14:lon="0" w14:rev="0"/>
                  </w14:lightRig>
                </w14:scene3d>
              </w:rPr>
              <w:t>5.4</w:t>
            </w:r>
            <w:r>
              <w:rPr>
                <w:rFonts w:asciiTheme="minorHAnsi" w:eastAsiaTheme="minorEastAsia" w:hAnsiTheme="minorHAnsi"/>
                <w:noProof/>
                <w:color w:val="auto"/>
                <w:sz w:val="22"/>
                <w:lang w:val="en-AU" w:eastAsia="en-AU"/>
              </w:rPr>
              <w:tab/>
            </w:r>
            <w:r w:rsidRPr="007F434A">
              <w:rPr>
                <w:rStyle w:val="Hyperlink"/>
                <w:noProof/>
              </w:rPr>
              <w:t>Develop a new national Aboriginal and Torres Strait Islander housing strategy</w:t>
            </w:r>
            <w:r>
              <w:rPr>
                <w:noProof/>
                <w:webHidden/>
              </w:rPr>
              <w:tab/>
            </w:r>
            <w:r>
              <w:rPr>
                <w:noProof/>
                <w:webHidden/>
              </w:rPr>
              <w:fldChar w:fldCharType="begin"/>
            </w:r>
            <w:r>
              <w:rPr>
                <w:noProof/>
                <w:webHidden/>
              </w:rPr>
              <w:instrText xml:space="preserve"> PAGEREF _Toc63685950 \h </w:instrText>
            </w:r>
            <w:r>
              <w:rPr>
                <w:noProof/>
                <w:webHidden/>
              </w:rPr>
            </w:r>
            <w:r>
              <w:rPr>
                <w:noProof/>
                <w:webHidden/>
              </w:rPr>
              <w:fldChar w:fldCharType="separate"/>
            </w:r>
            <w:r>
              <w:rPr>
                <w:noProof/>
                <w:webHidden/>
              </w:rPr>
              <w:t>46</w:t>
            </w:r>
            <w:r>
              <w:rPr>
                <w:noProof/>
                <w:webHidden/>
              </w:rPr>
              <w:fldChar w:fldCharType="end"/>
            </w:r>
          </w:hyperlink>
        </w:p>
        <w:p w14:paraId="476946CD"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51" w:history="1">
            <w:r w:rsidRPr="007F434A">
              <w:rPr>
                <w:rStyle w:val="Hyperlink"/>
                <w:noProof/>
                <w14:scene3d>
                  <w14:camera w14:prst="orthographicFront"/>
                  <w14:lightRig w14:rig="threePt" w14:dir="t">
                    <w14:rot w14:lat="0" w14:lon="0" w14:rev="0"/>
                  </w14:lightRig>
                </w14:scene3d>
              </w:rPr>
              <w:t>5.5</w:t>
            </w:r>
            <w:r>
              <w:rPr>
                <w:rFonts w:asciiTheme="minorHAnsi" w:eastAsiaTheme="minorEastAsia" w:hAnsiTheme="minorHAnsi"/>
                <w:noProof/>
                <w:color w:val="auto"/>
                <w:sz w:val="22"/>
                <w:lang w:val="en-AU" w:eastAsia="en-AU"/>
              </w:rPr>
              <w:tab/>
            </w:r>
            <w:r w:rsidRPr="007F434A">
              <w:rPr>
                <w:rStyle w:val="Hyperlink"/>
                <w:noProof/>
              </w:rPr>
              <w:t>Develop a new inter-governmental remote housing agreement</w:t>
            </w:r>
            <w:r>
              <w:rPr>
                <w:noProof/>
                <w:webHidden/>
              </w:rPr>
              <w:tab/>
            </w:r>
            <w:r>
              <w:rPr>
                <w:noProof/>
                <w:webHidden/>
              </w:rPr>
              <w:fldChar w:fldCharType="begin"/>
            </w:r>
            <w:r>
              <w:rPr>
                <w:noProof/>
                <w:webHidden/>
              </w:rPr>
              <w:instrText xml:space="preserve"> PAGEREF _Toc63685951 \h </w:instrText>
            </w:r>
            <w:r>
              <w:rPr>
                <w:noProof/>
                <w:webHidden/>
              </w:rPr>
            </w:r>
            <w:r>
              <w:rPr>
                <w:noProof/>
                <w:webHidden/>
              </w:rPr>
              <w:fldChar w:fldCharType="separate"/>
            </w:r>
            <w:r>
              <w:rPr>
                <w:noProof/>
                <w:webHidden/>
              </w:rPr>
              <w:t>46</w:t>
            </w:r>
            <w:r>
              <w:rPr>
                <w:noProof/>
                <w:webHidden/>
              </w:rPr>
              <w:fldChar w:fldCharType="end"/>
            </w:r>
          </w:hyperlink>
        </w:p>
        <w:p w14:paraId="2CCE125F" w14:textId="77777777" w:rsidR="000C6B7B" w:rsidRDefault="000C6B7B" w:rsidP="000C6B7B">
          <w:pPr>
            <w:pStyle w:val="TOC1"/>
            <w:rPr>
              <w:rFonts w:asciiTheme="minorHAnsi" w:eastAsiaTheme="minorEastAsia" w:hAnsiTheme="minorHAnsi"/>
              <w:color w:val="auto"/>
              <w:sz w:val="22"/>
              <w:lang w:val="en-AU" w:eastAsia="en-AU"/>
            </w:rPr>
          </w:pPr>
          <w:hyperlink w:anchor="_Toc63685952" w:history="1">
            <w:r w:rsidRPr="007F434A">
              <w:rPr>
                <w:rStyle w:val="Hyperlink"/>
              </w:rPr>
              <w:t>6.</w:t>
            </w:r>
            <w:r>
              <w:rPr>
                <w:rFonts w:asciiTheme="minorHAnsi" w:eastAsiaTheme="minorEastAsia" w:hAnsiTheme="minorHAnsi"/>
                <w:color w:val="auto"/>
                <w:sz w:val="22"/>
                <w:lang w:val="en-AU" w:eastAsia="en-AU"/>
              </w:rPr>
              <w:tab/>
            </w:r>
            <w:r w:rsidRPr="007F434A">
              <w:rPr>
                <w:rStyle w:val="Hyperlink"/>
              </w:rPr>
              <w:t>Improve access and affordability of essential community services</w:t>
            </w:r>
            <w:r>
              <w:rPr>
                <w:webHidden/>
              </w:rPr>
              <w:tab/>
            </w:r>
            <w:r>
              <w:rPr>
                <w:webHidden/>
              </w:rPr>
              <w:fldChar w:fldCharType="begin"/>
            </w:r>
            <w:r>
              <w:rPr>
                <w:webHidden/>
              </w:rPr>
              <w:instrText xml:space="preserve"> PAGEREF _Toc63685952 \h </w:instrText>
            </w:r>
            <w:r>
              <w:rPr>
                <w:webHidden/>
              </w:rPr>
            </w:r>
            <w:r>
              <w:rPr>
                <w:webHidden/>
              </w:rPr>
              <w:fldChar w:fldCharType="separate"/>
            </w:r>
            <w:r>
              <w:rPr>
                <w:webHidden/>
              </w:rPr>
              <w:t>47</w:t>
            </w:r>
            <w:r>
              <w:rPr>
                <w:webHidden/>
              </w:rPr>
              <w:fldChar w:fldCharType="end"/>
            </w:r>
          </w:hyperlink>
        </w:p>
        <w:p w14:paraId="78A38F90" w14:textId="77777777" w:rsidR="000C6B7B" w:rsidRDefault="000C6B7B">
          <w:pPr>
            <w:pStyle w:val="TOC2"/>
            <w:tabs>
              <w:tab w:val="right" w:leader="dot" w:pos="8990"/>
            </w:tabs>
            <w:rPr>
              <w:rFonts w:asciiTheme="minorHAnsi" w:eastAsiaTheme="minorEastAsia" w:hAnsiTheme="minorHAnsi"/>
              <w:noProof/>
              <w:color w:val="auto"/>
              <w:sz w:val="22"/>
              <w:lang w:val="en-AU" w:eastAsia="en-AU"/>
            </w:rPr>
          </w:pPr>
          <w:hyperlink w:anchor="_Toc63685953" w:history="1">
            <w:r w:rsidRPr="007F434A">
              <w:rPr>
                <w:rStyle w:val="Hyperlink"/>
                <w:noProof/>
              </w:rPr>
              <w:t>Summary</w:t>
            </w:r>
            <w:r>
              <w:rPr>
                <w:noProof/>
                <w:webHidden/>
              </w:rPr>
              <w:tab/>
            </w:r>
            <w:r>
              <w:rPr>
                <w:noProof/>
                <w:webHidden/>
              </w:rPr>
              <w:fldChar w:fldCharType="begin"/>
            </w:r>
            <w:r>
              <w:rPr>
                <w:noProof/>
                <w:webHidden/>
              </w:rPr>
              <w:instrText xml:space="preserve"> PAGEREF _Toc63685953 \h </w:instrText>
            </w:r>
            <w:r>
              <w:rPr>
                <w:noProof/>
                <w:webHidden/>
              </w:rPr>
            </w:r>
            <w:r>
              <w:rPr>
                <w:noProof/>
                <w:webHidden/>
              </w:rPr>
              <w:fldChar w:fldCharType="separate"/>
            </w:r>
            <w:r>
              <w:rPr>
                <w:noProof/>
                <w:webHidden/>
              </w:rPr>
              <w:t>47</w:t>
            </w:r>
            <w:r>
              <w:rPr>
                <w:noProof/>
                <w:webHidden/>
              </w:rPr>
              <w:fldChar w:fldCharType="end"/>
            </w:r>
          </w:hyperlink>
        </w:p>
        <w:p w14:paraId="35C78B56"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54" w:history="1">
            <w:r w:rsidRPr="007F434A">
              <w:rPr>
                <w:rStyle w:val="Hyperlink"/>
                <w:noProof/>
                <w14:scene3d>
                  <w14:camera w14:prst="orthographicFront"/>
                  <w14:lightRig w14:rig="threePt" w14:dir="t">
                    <w14:rot w14:lat="0" w14:lon="0" w14:rev="0"/>
                  </w14:lightRig>
                </w14:scene3d>
              </w:rPr>
              <w:t>6.1</w:t>
            </w:r>
            <w:r>
              <w:rPr>
                <w:rFonts w:asciiTheme="minorHAnsi" w:eastAsiaTheme="minorEastAsia" w:hAnsiTheme="minorHAnsi"/>
                <w:noProof/>
                <w:color w:val="auto"/>
                <w:sz w:val="22"/>
                <w:lang w:val="en-AU" w:eastAsia="en-AU"/>
              </w:rPr>
              <w:tab/>
            </w:r>
            <w:r w:rsidRPr="007F434A">
              <w:rPr>
                <w:rStyle w:val="Hyperlink"/>
                <w:noProof/>
              </w:rPr>
              <w:t>Introduction</w:t>
            </w:r>
            <w:r>
              <w:rPr>
                <w:noProof/>
                <w:webHidden/>
              </w:rPr>
              <w:tab/>
            </w:r>
            <w:r>
              <w:rPr>
                <w:noProof/>
                <w:webHidden/>
              </w:rPr>
              <w:fldChar w:fldCharType="begin"/>
            </w:r>
            <w:r>
              <w:rPr>
                <w:noProof/>
                <w:webHidden/>
              </w:rPr>
              <w:instrText xml:space="preserve"> PAGEREF _Toc63685954 \h </w:instrText>
            </w:r>
            <w:r>
              <w:rPr>
                <w:noProof/>
                <w:webHidden/>
              </w:rPr>
            </w:r>
            <w:r>
              <w:rPr>
                <w:noProof/>
                <w:webHidden/>
              </w:rPr>
              <w:fldChar w:fldCharType="separate"/>
            </w:r>
            <w:r>
              <w:rPr>
                <w:noProof/>
                <w:webHidden/>
              </w:rPr>
              <w:t>47</w:t>
            </w:r>
            <w:r>
              <w:rPr>
                <w:noProof/>
                <w:webHidden/>
              </w:rPr>
              <w:fldChar w:fldCharType="end"/>
            </w:r>
          </w:hyperlink>
        </w:p>
        <w:p w14:paraId="43393E2E"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55" w:history="1">
            <w:r w:rsidRPr="007F434A">
              <w:rPr>
                <w:rStyle w:val="Hyperlink"/>
                <w:noProof/>
                <w14:scene3d>
                  <w14:camera w14:prst="orthographicFront"/>
                  <w14:lightRig w14:rig="threePt" w14:dir="t">
                    <w14:rot w14:lat="0" w14:lon="0" w14:rev="0"/>
                  </w14:lightRig>
                </w14:scene3d>
              </w:rPr>
              <w:t>6.2</w:t>
            </w:r>
            <w:r>
              <w:rPr>
                <w:rFonts w:asciiTheme="minorHAnsi" w:eastAsiaTheme="minorEastAsia" w:hAnsiTheme="minorHAnsi"/>
                <w:noProof/>
                <w:color w:val="auto"/>
                <w:sz w:val="22"/>
                <w:lang w:val="en-AU" w:eastAsia="en-AU"/>
              </w:rPr>
              <w:tab/>
            </w:r>
            <w:r w:rsidRPr="007F434A">
              <w:rPr>
                <w:rStyle w:val="Hyperlink"/>
                <w:noProof/>
              </w:rPr>
              <w:t>Increase funding for community services to restore income lost to budget cuts and meet increased demand for assistance</w:t>
            </w:r>
            <w:r>
              <w:rPr>
                <w:noProof/>
                <w:webHidden/>
              </w:rPr>
              <w:tab/>
            </w:r>
            <w:r>
              <w:rPr>
                <w:noProof/>
                <w:webHidden/>
              </w:rPr>
              <w:fldChar w:fldCharType="begin"/>
            </w:r>
            <w:r>
              <w:rPr>
                <w:noProof/>
                <w:webHidden/>
              </w:rPr>
              <w:instrText xml:space="preserve"> PAGEREF _Toc63685955 \h </w:instrText>
            </w:r>
            <w:r>
              <w:rPr>
                <w:noProof/>
                <w:webHidden/>
              </w:rPr>
            </w:r>
            <w:r>
              <w:rPr>
                <w:noProof/>
                <w:webHidden/>
              </w:rPr>
              <w:fldChar w:fldCharType="separate"/>
            </w:r>
            <w:r>
              <w:rPr>
                <w:noProof/>
                <w:webHidden/>
              </w:rPr>
              <w:t>48</w:t>
            </w:r>
            <w:r>
              <w:rPr>
                <w:noProof/>
                <w:webHidden/>
              </w:rPr>
              <w:fldChar w:fldCharType="end"/>
            </w:r>
          </w:hyperlink>
        </w:p>
        <w:p w14:paraId="06133FAF"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56" w:history="1">
            <w:r w:rsidRPr="007F434A">
              <w:rPr>
                <w:rStyle w:val="Hyperlink"/>
                <w:noProof/>
                <w14:scene3d>
                  <w14:camera w14:prst="orthographicFront"/>
                  <w14:lightRig w14:rig="threePt" w14:dir="t">
                    <w14:rot w14:lat="0" w14:lon="0" w14:rev="0"/>
                  </w14:lightRig>
                </w14:scene3d>
              </w:rPr>
              <w:t>6.3</w:t>
            </w:r>
            <w:r>
              <w:rPr>
                <w:rFonts w:asciiTheme="minorHAnsi" w:eastAsiaTheme="minorEastAsia" w:hAnsiTheme="minorHAnsi"/>
                <w:noProof/>
                <w:color w:val="auto"/>
                <w:sz w:val="22"/>
                <w:lang w:val="en-AU" w:eastAsia="en-AU"/>
              </w:rPr>
              <w:tab/>
            </w:r>
            <w:r w:rsidRPr="007F434A">
              <w:rPr>
                <w:rStyle w:val="Hyperlink"/>
                <w:noProof/>
              </w:rPr>
              <w:t>Create a Community Sector Continuity of Service Enabling Fund</w:t>
            </w:r>
            <w:r>
              <w:rPr>
                <w:noProof/>
                <w:webHidden/>
              </w:rPr>
              <w:tab/>
            </w:r>
            <w:r>
              <w:rPr>
                <w:noProof/>
                <w:webHidden/>
              </w:rPr>
              <w:fldChar w:fldCharType="begin"/>
            </w:r>
            <w:r>
              <w:rPr>
                <w:noProof/>
                <w:webHidden/>
              </w:rPr>
              <w:instrText xml:space="preserve"> PAGEREF _Toc63685956 \h </w:instrText>
            </w:r>
            <w:r>
              <w:rPr>
                <w:noProof/>
                <w:webHidden/>
              </w:rPr>
            </w:r>
            <w:r>
              <w:rPr>
                <w:noProof/>
                <w:webHidden/>
              </w:rPr>
              <w:fldChar w:fldCharType="separate"/>
            </w:r>
            <w:r>
              <w:rPr>
                <w:noProof/>
                <w:webHidden/>
              </w:rPr>
              <w:t>49</w:t>
            </w:r>
            <w:r>
              <w:rPr>
                <w:noProof/>
                <w:webHidden/>
              </w:rPr>
              <w:fldChar w:fldCharType="end"/>
            </w:r>
          </w:hyperlink>
        </w:p>
        <w:p w14:paraId="2B7ECF4D"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57" w:history="1">
            <w:r w:rsidRPr="007F434A">
              <w:rPr>
                <w:rStyle w:val="Hyperlink"/>
                <w:noProof/>
                <w14:scene3d>
                  <w14:camera w14:prst="orthographicFront"/>
                  <w14:lightRig w14:rig="threePt" w14:dir="t">
                    <w14:rot w14:lat="0" w14:lon="0" w14:rev="0"/>
                  </w14:lightRig>
                </w14:scene3d>
              </w:rPr>
              <w:t>6.4</w:t>
            </w:r>
            <w:r>
              <w:rPr>
                <w:rFonts w:asciiTheme="minorHAnsi" w:eastAsiaTheme="minorEastAsia" w:hAnsiTheme="minorHAnsi"/>
                <w:noProof/>
                <w:color w:val="auto"/>
                <w:sz w:val="22"/>
                <w:lang w:val="en-AU" w:eastAsia="en-AU"/>
              </w:rPr>
              <w:tab/>
            </w:r>
            <w:r w:rsidRPr="007F434A">
              <w:rPr>
                <w:rStyle w:val="Hyperlink"/>
                <w:noProof/>
              </w:rPr>
              <w:t>Prevent cuts to existing community services by maintaining proper funding to pay fair wages</w:t>
            </w:r>
            <w:r>
              <w:rPr>
                <w:noProof/>
                <w:webHidden/>
              </w:rPr>
              <w:tab/>
            </w:r>
            <w:r>
              <w:rPr>
                <w:noProof/>
                <w:webHidden/>
              </w:rPr>
              <w:fldChar w:fldCharType="begin"/>
            </w:r>
            <w:r>
              <w:rPr>
                <w:noProof/>
                <w:webHidden/>
              </w:rPr>
              <w:instrText xml:space="preserve"> PAGEREF _Toc63685957 \h </w:instrText>
            </w:r>
            <w:r>
              <w:rPr>
                <w:noProof/>
                <w:webHidden/>
              </w:rPr>
            </w:r>
            <w:r>
              <w:rPr>
                <w:noProof/>
                <w:webHidden/>
              </w:rPr>
              <w:fldChar w:fldCharType="separate"/>
            </w:r>
            <w:r>
              <w:rPr>
                <w:noProof/>
                <w:webHidden/>
              </w:rPr>
              <w:t>49</w:t>
            </w:r>
            <w:r>
              <w:rPr>
                <w:noProof/>
                <w:webHidden/>
              </w:rPr>
              <w:fldChar w:fldCharType="end"/>
            </w:r>
          </w:hyperlink>
        </w:p>
        <w:p w14:paraId="3AE395B0"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58" w:history="1">
            <w:r w:rsidRPr="007F434A">
              <w:rPr>
                <w:rStyle w:val="Hyperlink"/>
                <w:noProof/>
                <w14:scene3d>
                  <w14:camera w14:prst="orthographicFront"/>
                  <w14:lightRig w14:rig="threePt" w14:dir="t">
                    <w14:rot w14:lat="0" w14:lon="0" w14:rev="0"/>
                  </w14:lightRig>
                </w14:scene3d>
              </w:rPr>
              <w:t>6.5</w:t>
            </w:r>
            <w:r>
              <w:rPr>
                <w:rFonts w:asciiTheme="minorHAnsi" w:eastAsiaTheme="minorEastAsia" w:hAnsiTheme="minorHAnsi"/>
                <w:noProof/>
                <w:color w:val="auto"/>
                <w:sz w:val="22"/>
                <w:lang w:val="en-AU" w:eastAsia="en-AU"/>
              </w:rPr>
              <w:tab/>
            </w:r>
            <w:r w:rsidRPr="007F434A">
              <w:rPr>
                <w:rStyle w:val="Hyperlink"/>
                <w:noProof/>
              </w:rPr>
              <w:t>Apply fair and uniform indexation to all grants and contracts for community sector organisations</w:t>
            </w:r>
            <w:r>
              <w:rPr>
                <w:noProof/>
                <w:webHidden/>
              </w:rPr>
              <w:tab/>
            </w:r>
            <w:r>
              <w:rPr>
                <w:noProof/>
                <w:webHidden/>
              </w:rPr>
              <w:fldChar w:fldCharType="begin"/>
            </w:r>
            <w:r>
              <w:rPr>
                <w:noProof/>
                <w:webHidden/>
              </w:rPr>
              <w:instrText xml:space="preserve"> PAGEREF _Toc63685958 \h </w:instrText>
            </w:r>
            <w:r>
              <w:rPr>
                <w:noProof/>
                <w:webHidden/>
              </w:rPr>
            </w:r>
            <w:r>
              <w:rPr>
                <w:noProof/>
                <w:webHidden/>
              </w:rPr>
              <w:fldChar w:fldCharType="separate"/>
            </w:r>
            <w:r>
              <w:rPr>
                <w:noProof/>
                <w:webHidden/>
              </w:rPr>
              <w:t>50</w:t>
            </w:r>
            <w:r>
              <w:rPr>
                <w:noProof/>
                <w:webHidden/>
              </w:rPr>
              <w:fldChar w:fldCharType="end"/>
            </w:r>
          </w:hyperlink>
        </w:p>
        <w:p w14:paraId="47F25D2D" w14:textId="408138B1"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59" w:history="1">
            <w:r w:rsidRPr="007F434A">
              <w:rPr>
                <w:rStyle w:val="Hyperlink"/>
                <w:noProof/>
                <w14:scene3d>
                  <w14:camera w14:prst="orthographicFront"/>
                  <w14:lightRig w14:rig="threePt" w14:dir="t">
                    <w14:rot w14:lat="0" w14:lon="0" w14:rev="0"/>
                  </w14:lightRig>
                </w14:scene3d>
              </w:rPr>
              <w:t>6.6</w:t>
            </w:r>
            <w:r>
              <w:rPr>
                <w:rFonts w:asciiTheme="minorHAnsi" w:eastAsiaTheme="minorEastAsia" w:hAnsiTheme="minorHAnsi"/>
                <w:noProof/>
                <w:color w:val="auto"/>
                <w:sz w:val="22"/>
                <w:lang w:val="en-AU" w:eastAsia="en-AU"/>
              </w:rPr>
              <w:tab/>
            </w:r>
            <w:r w:rsidRPr="007F434A">
              <w:rPr>
                <w:rStyle w:val="Hyperlink"/>
                <w:noProof/>
              </w:rPr>
              <w:t>Reduce the waiting list for Home Care Packages to no more than three months</w:t>
            </w:r>
            <w:r>
              <w:rPr>
                <w:noProof/>
                <w:webHidden/>
              </w:rPr>
              <w:tab/>
            </w:r>
            <w:r>
              <w:rPr>
                <w:noProof/>
                <w:webHidden/>
              </w:rPr>
              <w:tab/>
            </w:r>
            <w:r>
              <w:rPr>
                <w:noProof/>
                <w:webHidden/>
              </w:rPr>
              <w:tab/>
            </w:r>
            <w:r>
              <w:rPr>
                <w:noProof/>
                <w:webHidden/>
              </w:rPr>
              <w:fldChar w:fldCharType="begin"/>
            </w:r>
            <w:r>
              <w:rPr>
                <w:noProof/>
                <w:webHidden/>
              </w:rPr>
              <w:instrText xml:space="preserve"> PAGEREF _Toc63685959 \h </w:instrText>
            </w:r>
            <w:r>
              <w:rPr>
                <w:noProof/>
                <w:webHidden/>
              </w:rPr>
            </w:r>
            <w:r>
              <w:rPr>
                <w:noProof/>
                <w:webHidden/>
              </w:rPr>
              <w:fldChar w:fldCharType="separate"/>
            </w:r>
            <w:r>
              <w:rPr>
                <w:noProof/>
                <w:webHidden/>
              </w:rPr>
              <w:t>50</w:t>
            </w:r>
            <w:r>
              <w:rPr>
                <w:noProof/>
                <w:webHidden/>
              </w:rPr>
              <w:fldChar w:fldCharType="end"/>
            </w:r>
          </w:hyperlink>
        </w:p>
        <w:p w14:paraId="37ED51D4"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60" w:history="1">
            <w:r w:rsidRPr="007F434A">
              <w:rPr>
                <w:rStyle w:val="Hyperlink"/>
                <w:noProof/>
                <w14:scene3d>
                  <w14:camera w14:prst="orthographicFront"/>
                  <w14:lightRig w14:rig="threePt" w14:dir="t">
                    <w14:rot w14:lat="0" w14:lon="0" w14:rev="0"/>
                  </w14:lightRig>
                </w14:scene3d>
              </w:rPr>
              <w:t>6.7</w:t>
            </w:r>
            <w:r>
              <w:rPr>
                <w:rFonts w:asciiTheme="minorHAnsi" w:eastAsiaTheme="minorEastAsia" w:hAnsiTheme="minorHAnsi"/>
                <w:noProof/>
                <w:color w:val="auto"/>
                <w:sz w:val="22"/>
                <w:lang w:val="en-AU" w:eastAsia="en-AU"/>
              </w:rPr>
              <w:tab/>
            </w:r>
            <w:r w:rsidRPr="007F434A">
              <w:rPr>
                <w:rStyle w:val="Hyperlink"/>
                <w:noProof/>
              </w:rPr>
              <w:t>Improve access to preschool</w:t>
            </w:r>
            <w:r>
              <w:rPr>
                <w:noProof/>
                <w:webHidden/>
              </w:rPr>
              <w:tab/>
            </w:r>
            <w:r>
              <w:rPr>
                <w:noProof/>
                <w:webHidden/>
              </w:rPr>
              <w:fldChar w:fldCharType="begin"/>
            </w:r>
            <w:r>
              <w:rPr>
                <w:noProof/>
                <w:webHidden/>
              </w:rPr>
              <w:instrText xml:space="preserve"> PAGEREF _Toc63685960 \h </w:instrText>
            </w:r>
            <w:r>
              <w:rPr>
                <w:noProof/>
                <w:webHidden/>
              </w:rPr>
            </w:r>
            <w:r>
              <w:rPr>
                <w:noProof/>
                <w:webHidden/>
              </w:rPr>
              <w:fldChar w:fldCharType="separate"/>
            </w:r>
            <w:r>
              <w:rPr>
                <w:noProof/>
                <w:webHidden/>
              </w:rPr>
              <w:t>51</w:t>
            </w:r>
            <w:r>
              <w:rPr>
                <w:noProof/>
                <w:webHidden/>
              </w:rPr>
              <w:fldChar w:fldCharType="end"/>
            </w:r>
          </w:hyperlink>
        </w:p>
        <w:p w14:paraId="2668FA9F"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61" w:history="1">
            <w:r w:rsidRPr="007F434A">
              <w:rPr>
                <w:rStyle w:val="Hyperlink"/>
                <w:noProof/>
                <w14:scene3d>
                  <w14:camera w14:prst="orthographicFront"/>
                  <w14:lightRig w14:rig="threePt" w14:dir="t">
                    <w14:rot w14:lat="0" w14:lon="0" w14:rev="0"/>
                  </w14:lightRig>
                </w14:scene3d>
              </w:rPr>
              <w:t>6.8</w:t>
            </w:r>
            <w:r>
              <w:rPr>
                <w:rFonts w:asciiTheme="minorHAnsi" w:eastAsiaTheme="minorEastAsia" w:hAnsiTheme="minorHAnsi"/>
                <w:noProof/>
                <w:color w:val="auto"/>
                <w:sz w:val="22"/>
                <w:lang w:val="en-AU" w:eastAsia="en-AU"/>
              </w:rPr>
              <w:tab/>
            </w:r>
            <w:r w:rsidRPr="007F434A">
              <w:rPr>
                <w:rStyle w:val="Hyperlink"/>
                <w:noProof/>
              </w:rPr>
              <w:t>Improve the affordability of early childhood education and care</w:t>
            </w:r>
            <w:r>
              <w:rPr>
                <w:noProof/>
                <w:webHidden/>
              </w:rPr>
              <w:tab/>
            </w:r>
            <w:r>
              <w:rPr>
                <w:noProof/>
                <w:webHidden/>
              </w:rPr>
              <w:fldChar w:fldCharType="begin"/>
            </w:r>
            <w:r>
              <w:rPr>
                <w:noProof/>
                <w:webHidden/>
              </w:rPr>
              <w:instrText xml:space="preserve"> PAGEREF _Toc63685961 \h </w:instrText>
            </w:r>
            <w:r>
              <w:rPr>
                <w:noProof/>
                <w:webHidden/>
              </w:rPr>
            </w:r>
            <w:r>
              <w:rPr>
                <w:noProof/>
                <w:webHidden/>
              </w:rPr>
              <w:fldChar w:fldCharType="separate"/>
            </w:r>
            <w:r>
              <w:rPr>
                <w:noProof/>
                <w:webHidden/>
              </w:rPr>
              <w:t>51</w:t>
            </w:r>
            <w:r>
              <w:rPr>
                <w:noProof/>
                <w:webHidden/>
              </w:rPr>
              <w:fldChar w:fldCharType="end"/>
            </w:r>
          </w:hyperlink>
        </w:p>
        <w:p w14:paraId="24637FFA" w14:textId="3868BF69"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62" w:history="1">
            <w:r w:rsidRPr="007F434A">
              <w:rPr>
                <w:rStyle w:val="Hyperlink"/>
                <w:noProof/>
                <w14:scene3d>
                  <w14:camera w14:prst="orthographicFront"/>
                  <w14:lightRig w14:rig="threePt" w14:dir="t">
                    <w14:rot w14:lat="0" w14:lon="0" w14:rev="0"/>
                  </w14:lightRig>
                </w14:scene3d>
              </w:rPr>
              <w:t>6.9</w:t>
            </w:r>
            <w:r>
              <w:rPr>
                <w:rFonts w:asciiTheme="minorHAnsi" w:eastAsiaTheme="minorEastAsia" w:hAnsiTheme="minorHAnsi"/>
                <w:noProof/>
                <w:color w:val="auto"/>
                <w:sz w:val="22"/>
                <w:lang w:val="en-AU" w:eastAsia="en-AU"/>
              </w:rPr>
              <w:tab/>
            </w:r>
            <w:r w:rsidRPr="007F434A">
              <w:rPr>
                <w:rStyle w:val="Hyperlink"/>
                <w:noProof/>
              </w:rPr>
              <w:t>Ensure equality for Aboriginal and Torres Strait Islander children in their early years</w:t>
            </w:r>
            <w:r>
              <w:rPr>
                <w:noProof/>
                <w:webHidden/>
              </w:rPr>
              <w:tab/>
            </w:r>
            <w:r>
              <w:rPr>
                <w:noProof/>
                <w:webHidden/>
              </w:rPr>
              <w:tab/>
            </w:r>
            <w:r>
              <w:rPr>
                <w:noProof/>
                <w:webHidden/>
              </w:rPr>
              <w:fldChar w:fldCharType="begin"/>
            </w:r>
            <w:r>
              <w:rPr>
                <w:noProof/>
                <w:webHidden/>
              </w:rPr>
              <w:instrText xml:space="preserve"> PAGEREF _Toc63685962 \h </w:instrText>
            </w:r>
            <w:r>
              <w:rPr>
                <w:noProof/>
                <w:webHidden/>
              </w:rPr>
            </w:r>
            <w:r>
              <w:rPr>
                <w:noProof/>
                <w:webHidden/>
              </w:rPr>
              <w:fldChar w:fldCharType="separate"/>
            </w:r>
            <w:r>
              <w:rPr>
                <w:noProof/>
                <w:webHidden/>
              </w:rPr>
              <w:t>52</w:t>
            </w:r>
            <w:r>
              <w:rPr>
                <w:noProof/>
                <w:webHidden/>
              </w:rPr>
              <w:fldChar w:fldCharType="end"/>
            </w:r>
          </w:hyperlink>
        </w:p>
        <w:p w14:paraId="183167F9" w14:textId="77777777" w:rsidR="000C6B7B" w:rsidRDefault="000C6B7B">
          <w:pPr>
            <w:pStyle w:val="TOC2"/>
            <w:tabs>
              <w:tab w:val="left" w:pos="1100"/>
              <w:tab w:val="right" w:leader="dot" w:pos="8990"/>
            </w:tabs>
            <w:rPr>
              <w:rFonts w:asciiTheme="minorHAnsi" w:eastAsiaTheme="minorEastAsia" w:hAnsiTheme="minorHAnsi"/>
              <w:noProof/>
              <w:color w:val="auto"/>
              <w:sz w:val="22"/>
              <w:lang w:val="en-AU" w:eastAsia="en-AU"/>
            </w:rPr>
          </w:pPr>
          <w:hyperlink w:anchor="_Toc63685963" w:history="1">
            <w:r w:rsidRPr="007F434A">
              <w:rPr>
                <w:rStyle w:val="Hyperlink"/>
                <w:noProof/>
                <w14:scene3d>
                  <w14:camera w14:prst="orthographicFront"/>
                  <w14:lightRig w14:rig="threePt" w14:dir="t">
                    <w14:rot w14:lat="0" w14:lon="0" w14:rev="0"/>
                  </w14:lightRig>
                </w14:scene3d>
              </w:rPr>
              <w:t>6.10</w:t>
            </w:r>
            <w:r>
              <w:rPr>
                <w:rFonts w:asciiTheme="minorHAnsi" w:eastAsiaTheme="minorEastAsia" w:hAnsiTheme="minorHAnsi"/>
                <w:noProof/>
                <w:color w:val="auto"/>
                <w:sz w:val="22"/>
                <w:lang w:val="en-AU" w:eastAsia="en-AU"/>
              </w:rPr>
              <w:tab/>
            </w:r>
            <w:r w:rsidRPr="007F434A">
              <w:rPr>
                <w:rStyle w:val="Hyperlink"/>
                <w:noProof/>
              </w:rPr>
              <w:t>Establish an Evaluator-General to oversee the evaluation and monitoring of policy, programs and initiatives</w:t>
            </w:r>
            <w:r>
              <w:rPr>
                <w:noProof/>
                <w:webHidden/>
              </w:rPr>
              <w:tab/>
            </w:r>
            <w:r>
              <w:rPr>
                <w:noProof/>
                <w:webHidden/>
              </w:rPr>
              <w:fldChar w:fldCharType="begin"/>
            </w:r>
            <w:r>
              <w:rPr>
                <w:noProof/>
                <w:webHidden/>
              </w:rPr>
              <w:instrText xml:space="preserve"> PAGEREF _Toc63685963 \h </w:instrText>
            </w:r>
            <w:r>
              <w:rPr>
                <w:noProof/>
                <w:webHidden/>
              </w:rPr>
            </w:r>
            <w:r>
              <w:rPr>
                <w:noProof/>
                <w:webHidden/>
              </w:rPr>
              <w:fldChar w:fldCharType="separate"/>
            </w:r>
            <w:r>
              <w:rPr>
                <w:noProof/>
                <w:webHidden/>
              </w:rPr>
              <w:t>53</w:t>
            </w:r>
            <w:r>
              <w:rPr>
                <w:noProof/>
                <w:webHidden/>
              </w:rPr>
              <w:fldChar w:fldCharType="end"/>
            </w:r>
          </w:hyperlink>
        </w:p>
        <w:p w14:paraId="3A6E803E" w14:textId="77777777" w:rsidR="000C6B7B" w:rsidRDefault="000C6B7B">
          <w:pPr>
            <w:pStyle w:val="TOC2"/>
            <w:tabs>
              <w:tab w:val="left" w:pos="1100"/>
              <w:tab w:val="right" w:leader="dot" w:pos="8990"/>
            </w:tabs>
            <w:rPr>
              <w:rFonts w:asciiTheme="minorHAnsi" w:eastAsiaTheme="minorEastAsia" w:hAnsiTheme="minorHAnsi"/>
              <w:noProof/>
              <w:color w:val="auto"/>
              <w:sz w:val="22"/>
              <w:lang w:val="en-AU" w:eastAsia="en-AU"/>
            </w:rPr>
          </w:pPr>
          <w:hyperlink w:anchor="_Toc63685964" w:history="1">
            <w:r w:rsidRPr="007F434A">
              <w:rPr>
                <w:rStyle w:val="Hyperlink"/>
                <w:noProof/>
                <w14:scene3d>
                  <w14:camera w14:prst="orthographicFront"/>
                  <w14:lightRig w14:rig="threePt" w14:dir="t">
                    <w14:rot w14:lat="0" w14:lon="0" w14:rev="0"/>
                  </w14:lightRig>
                </w14:scene3d>
              </w:rPr>
              <w:t>6.11</w:t>
            </w:r>
            <w:r>
              <w:rPr>
                <w:rFonts w:asciiTheme="minorHAnsi" w:eastAsiaTheme="minorEastAsia" w:hAnsiTheme="minorHAnsi"/>
                <w:noProof/>
                <w:color w:val="auto"/>
                <w:sz w:val="22"/>
                <w:lang w:val="en-AU" w:eastAsia="en-AU"/>
              </w:rPr>
              <w:tab/>
            </w:r>
            <w:r w:rsidRPr="007F434A">
              <w:rPr>
                <w:rStyle w:val="Hyperlink"/>
                <w:noProof/>
              </w:rPr>
              <w:t>Increase funding to peaks and advocacy organisations to ensure marginalised voices are heard in public and policy debates</w:t>
            </w:r>
            <w:r>
              <w:rPr>
                <w:noProof/>
                <w:webHidden/>
              </w:rPr>
              <w:tab/>
            </w:r>
            <w:r>
              <w:rPr>
                <w:noProof/>
                <w:webHidden/>
              </w:rPr>
              <w:fldChar w:fldCharType="begin"/>
            </w:r>
            <w:r>
              <w:rPr>
                <w:noProof/>
                <w:webHidden/>
              </w:rPr>
              <w:instrText xml:space="preserve"> PAGEREF _Toc63685964 \h </w:instrText>
            </w:r>
            <w:r>
              <w:rPr>
                <w:noProof/>
                <w:webHidden/>
              </w:rPr>
            </w:r>
            <w:r>
              <w:rPr>
                <w:noProof/>
                <w:webHidden/>
              </w:rPr>
              <w:fldChar w:fldCharType="separate"/>
            </w:r>
            <w:r>
              <w:rPr>
                <w:noProof/>
                <w:webHidden/>
              </w:rPr>
              <w:t>54</w:t>
            </w:r>
            <w:r>
              <w:rPr>
                <w:noProof/>
                <w:webHidden/>
              </w:rPr>
              <w:fldChar w:fldCharType="end"/>
            </w:r>
          </w:hyperlink>
        </w:p>
        <w:p w14:paraId="3C3A9A9F" w14:textId="77777777" w:rsidR="000C6B7B" w:rsidRDefault="000C6B7B" w:rsidP="000C6B7B">
          <w:pPr>
            <w:pStyle w:val="TOC1"/>
            <w:rPr>
              <w:rFonts w:asciiTheme="minorHAnsi" w:eastAsiaTheme="minorEastAsia" w:hAnsiTheme="minorHAnsi"/>
              <w:color w:val="auto"/>
              <w:sz w:val="22"/>
              <w:lang w:val="en-AU" w:eastAsia="en-AU"/>
            </w:rPr>
          </w:pPr>
          <w:hyperlink w:anchor="_Toc63685965" w:history="1">
            <w:r w:rsidRPr="007F434A">
              <w:rPr>
                <w:rStyle w:val="Hyperlink"/>
              </w:rPr>
              <w:t>7.</w:t>
            </w:r>
            <w:r>
              <w:rPr>
                <w:rFonts w:asciiTheme="minorHAnsi" w:eastAsiaTheme="minorEastAsia" w:hAnsiTheme="minorHAnsi"/>
                <w:color w:val="auto"/>
                <w:sz w:val="22"/>
                <w:lang w:val="en-AU" w:eastAsia="en-AU"/>
              </w:rPr>
              <w:tab/>
            </w:r>
            <w:r w:rsidRPr="007F434A">
              <w:rPr>
                <w:rStyle w:val="Hyperlink"/>
              </w:rPr>
              <w:t>Strengthen preventive health care and public health services</w:t>
            </w:r>
            <w:r>
              <w:rPr>
                <w:webHidden/>
              </w:rPr>
              <w:tab/>
            </w:r>
            <w:r>
              <w:rPr>
                <w:webHidden/>
              </w:rPr>
              <w:fldChar w:fldCharType="begin"/>
            </w:r>
            <w:r>
              <w:rPr>
                <w:webHidden/>
              </w:rPr>
              <w:instrText xml:space="preserve"> PAGEREF _Toc63685965 \h </w:instrText>
            </w:r>
            <w:r>
              <w:rPr>
                <w:webHidden/>
              </w:rPr>
            </w:r>
            <w:r>
              <w:rPr>
                <w:webHidden/>
              </w:rPr>
              <w:fldChar w:fldCharType="separate"/>
            </w:r>
            <w:r>
              <w:rPr>
                <w:webHidden/>
              </w:rPr>
              <w:t>55</w:t>
            </w:r>
            <w:r>
              <w:rPr>
                <w:webHidden/>
              </w:rPr>
              <w:fldChar w:fldCharType="end"/>
            </w:r>
          </w:hyperlink>
        </w:p>
        <w:p w14:paraId="2F4AA645" w14:textId="77777777" w:rsidR="000C6B7B" w:rsidRDefault="000C6B7B">
          <w:pPr>
            <w:pStyle w:val="TOC2"/>
            <w:tabs>
              <w:tab w:val="right" w:leader="dot" w:pos="8990"/>
            </w:tabs>
            <w:rPr>
              <w:rFonts w:asciiTheme="minorHAnsi" w:eastAsiaTheme="minorEastAsia" w:hAnsiTheme="minorHAnsi"/>
              <w:noProof/>
              <w:color w:val="auto"/>
              <w:sz w:val="22"/>
              <w:lang w:val="en-AU" w:eastAsia="en-AU"/>
            </w:rPr>
          </w:pPr>
          <w:hyperlink w:anchor="_Toc63685966" w:history="1">
            <w:r w:rsidRPr="007F434A">
              <w:rPr>
                <w:rStyle w:val="Hyperlink"/>
                <w:noProof/>
              </w:rPr>
              <w:t>Summary</w:t>
            </w:r>
            <w:r>
              <w:rPr>
                <w:noProof/>
                <w:webHidden/>
              </w:rPr>
              <w:tab/>
            </w:r>
            <w:r>
              <w:rPr>
                <w:noProof/>
                <w:webHidden/>
              </w:rPr>
              <w:fldChar w:fldCharType="begin"/>
            </w:r>
            <w:r>
              <w:rPr>
                <w:noProof/>
                <w:webHidden/>
              </w:rPr>
              <w:instrText xml:space="preserve"> PAGEREF _Toc63685966 \h </w:instrText>
            </w:r>
            <w:r>
              <w:rPr>
                <w:noProof/>
                <w:webHidden/>
              </w:rPr>
            </w:r>
            <w:r>
              <w:rPr>
                <w:noProof/>
                <w:webHidden/>
              </w:rPr>
              <w:fldChar w:fldCharType="separate"/>
            </w:r>
            <w:r>
              <w:rPr>
                <w:noProof/>
                <w:webHidden/>
              </w:rPr>
              <w:t>55</w:t>
            </w:r>
            <w:r>
              <w:rPr>
                <w:noProof/>
                <w:webHidden/>
              </w:rPr>
              <w:fldChar w:fldCharType="end"/>
            </w:r>
          </w:hyperlink>
        </w:p>
        <w:p w14:paraId="5DD97D1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67" w:history="1">
            <w:r w:rsidRPr="007F434A">
              <w:rPr>
                <w:rStyle w:val="Hyperlink"/>
                <w:noProof/>
                <w14:scene3d>
                  <w14:camera w14:prst="orthographicFront"/>
                  <w14:lightRig w14:rig="threePt" w14:dir="t">
                    <w14:rot w14:lat="0" w14:lon="0" w14:rev="0"/>
                  </w14:lightRig>
                </w14:scene3d>
              </w:rPr>
              <w:t>7.1</w:t>
            </w:r>
            <w:r>
              <w:rPr>
                <w:rFonts w:asciiTheme="minorHAnsi" w:eastAsiaTheme="minorEastAsia" w:hAnsiTheme="minorHAnsi"/>
                <w:noProof/>
                <w:color w:val="auto"/>
                <w:sz w:val="22"/>
                <w:lang w:val="en-AU" w:eastAsia="en-AU"/>
              </w:rPr>
              <w:tab/>
            </w:r>
            <w:r w:rsidRPr="007F434A">
              <w:rPr>
                <w:rStyle w:val="Hyperlink"/>
                <w:noProof/>
              </w:rPr>
              <w:t>Introduction</w:t>
            </w:r>
            <w:r>
              <w:rPr>
                <w:noProof/>
                <w:webHidden/>
              </w:rPr>
              <w:tab/>
            </w:r>
            <w:r>
              <w:rPr>
                <w:noProof/>
                <w:webHidden/>
              </w:rPr>
              <w:fldChar w:fldCharType="begin"/>
            </w:r>
            <w:r>
              <w:rPr>
                <w:noProof/>
                <w:webHidden/>
              </w:rPr>
              <w:instrText xml:space="preserve"> PAGEREF _Toc63685967 \h </w:instrText>
            </w:r>
            <w:r>
              <w:rPr>
                <w:noProof/>
                <w:webHidden/>
              </w:rPr>
            </w:r>
            <w:r>
              <w:rPr>
                <w:noProof/>
                <w:webHidden/>
              </w:rPr>
              <w:fldChar w:fldCharType="separate"/>
            </w:r>
            <w:r>
              <w:rPr>
                <w:noProof/>
                <w:webHidden/>
              </w:rPr>
              <w:t>55</w:t>
            </w:r>
            <w:r>
              <w:rPr>
                <w:noProof/>
                <w:webHidden/>
              </w:rPr>
              <w:fldChar w:fldCharType="end"/>
            </w:r>
          </w:hyperlink>
        </w:p>
        <w:p w14:paraId="7BA15F0E"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68" w:history="1">
            <w:r w:rsidRPr="007F434A">
              <w:rPr>
                <w:rStyle w:val="Hyperlink"/>
                <w:noProof/>
                <w14:scene3d>
                  <w14:camera w14:prst="orthographicFront"/>
                  <w14:lightRig w14:rig="threePt" w14:dir="t">
                    <w14:rot w14:lat="0" w14:lon="0" w14:rev="0"/>
                  </w14:lightRig>
                </w14:scene3d>
              </w:rPr>
              <w:t>7.2</w:t>
            </w:r>
            <w:r>
              <w:rPr>
                <w:rFonts w:asciiTheme="minorHAnsi" w:eastAsiaTheme="minorEastAsia" w:hAnsiTheme="minorHAnsi"/>
                <w:noProof/>
                <w:color w:val="auto"/>
                <w:sz w:val="22"/>
                <w:lang w:val="en-AU" w:eastAsia="en-AU"/>
              </w:rPr>
              <w:tab/>
            </w:r>
            <w:r w:rsidRPr="007F434A">
              <w:rPr>
                <w:rStyle w:val="Hyperlink"/>
                <w:noProof/>
              </w:rPr>
              <w:t>Invest in health promotion and prevention programs</w:t>
            </w:r>
            <w:r>
              <w:rPr>
                <w:noProof/>
                <w:webHidden/>
              </w:rPr>
              <w:tab/>
            </w:r>
            <w:r>
              <w:rPr>
                <w:noProof/>
                <w:webHidden/>
              </w:rPr>
              <w:fldChar w:fldCharType="begin"/>
            </w:r>
            <w:r>
              <w:rPr>
                <w:noProof/>
                <w:webHidden/>
              </w:rPr>
              <w:instrText xml:space="preserve"> PAGEREF _Toc63685968 \h </w:instrText>
            </w:r>
            <w:r>
              <w:rPr>
                <w:noProof/>
                <w:webHidden/>
              </w:rPr>
            </w:r>
            <w:r>
              <w:rPr>
                <w:noProof/>
                <w:webHidden/>
              </w:rPr>
              <w:fldChar w:fldCharType="separate"/>
            </w:r>
            <w:r>
              <w:rPr>
                <w:noProof/>
                <w:webHidden/>
              </w:rPr>
              <w:t>56</w:t>
            </w:r>
            <w:r>
              <w:rPr>
                <w:noProof/>
                <w:webHidden/>
              </w:rPr>
              <w:fldChar w:fldCharType="end"/>
            </w:r>
          </w:hyperlink>
        </w:p>
        <w:p w14:paraId="78C88BA7"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69" w:history="1">
            <w:r w:rsidRPr="007F434A">
              <w:rPr>
                <w:rStyle w:val="Hyperlink"/>
                <w:noProof/>
                <w14:scene3d>
                  <w14:camera w14:prst="orthographicFront"/>
                  <w14:lightRig w14:rig="threePt" w14:dir="t">
                    <w14:rot w14:lat="0" w14:lon="0" w14:rev="0"/>
                  </w14:lightRig>
                </w14:scene3d>
              </w:rPr>
              <w:t>7.3</w:t>
            </w:r>
            <w:r>
              <w:rPr>
                <w:rFonts w:asciiTheme="minorHAnsi" w:eastAsiaTheme="minorEastAsia" w:hAnsiTheme="minorHAnsi"/>
                <w:noProof/>
                <w:color w:val="auto"/>
                <w:sz w:val="22"/>
                <w:lang w:val="en-AU" w:eastAsia="en-AU"/>
              </w:rPr>
              <w:tab/>
            </w:r>
            <w:r w:rsidRPr="007F434A">
              <w:rPr>
                <w:rStyle w:val="Hyperlink"/>
                <w:noProof/>
              </w:rPr>
              <w:t>Invest in community-led health promotion for COVID-19</w:t>
            </w:r>
            <w:r>
              <w:rPr>
                <w:noProof/>
                <w:webHidden/>
              </w:rPr>
              <w:tab/>
            </w:r>
            <w:r>
              <w:rPr>
                <w:noProof/>
                <w:webHidden/>
              </w:rPr>
              <w:fldChar w:fldCharType="begin"/>
            </w:r>
            <w:r>
              <w:rPr>
                <w:noProof/>
                <w:webHidden/>
              </w:rPr>
              <w:instrText xml:space="preserve"> PAGEREF _Toc63685969 \h </w:instrText>
            </w:r>
            <w:r>
              <w:rPr>
                <w:noProof/>
                <w:webHidden/>
              </w:rPr>
            </w:r>
            <w:r>
              <w:rPr>
                <w:noProof/>
                <w:webHidden/>
              </w:rPr>
              <w:fldChar w:fldCharType="separate"/>
            </w:r>
            <w:r>
              <w:rPr>
                <w:noProof/>
                <w:webHidden/>
              </w:rPr>
              <w:t>56</w:t>
            </w:r>
            <w:r>
              <w:rPr>
                <w:noProof/>
                <w:webHidden/>
              </w:rPr>
              <w:fldChar w:fldCharType="end"/>
            </w:r>
          </w:hyperlink>
        </w:p>
        <w:p w14:paraId="40A27157"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70" w:history="1">
            <w:r w:rsidRPr="007F434A">
              <w:rPr>
                <w:rStyle w:val="Hyperlink"/>
                <w:noProof/>
                <w14:scene3d>
                  <w14:camera w14:prst="orthographicFront"/>
                  <w14:lightRig w14:rig="threePt" w14:dir="t">
                    <w14:rot w14:lat="0" w14:lon="0" w14:rev="0"/>
                  </w14:lightRig>
                </w14:scene3d>
              </w:rPr>
              <w:t>7.4</w:t>
            </w:r>
            <w:r>
              <w:rPr>
                <w:rFonts w:asciiTheme="minorHAnsi" w:eastAsiaTheme="minorEastAsia" w:hAnsiTheme="minorHAnsi"/>
                <w:noProof/>
                <w:color w:val="auto"/>
                <w:sz w:val="22"/>
                <w:lang w:val="en-AU" w:eastAsia="en-AU"/>
              </w:rPr>
              <w:tab/>
            </w:r>
            <w:r w:rsidRPr="007F434A">
              <w:rPr>
                <w:rStyle w:val="Hyperlink"/>
                <w:noProof/>
              </w:rPr>
              <w:t>Transition to a universal dental health care scheme</w:t>
            </w:r>
            <w:r>
              <w:rPr>
                <w:noProof/>
                <w:webHidden/>
              </w:rPr>
              <w:tab/>
            </w:r>
            <w:r>
              <w:rPr>
                <w:noProof/>
                <w:webHidden/>
              </w:rPr>
              <w:fldChar w:fldCharType="begin"/>
            </w:r>
            <w:r>
              <w:rPr>
                <w:noProof/>
                <w:webHidden/>
              </w:rPr>
              <w:instrText xml:space="preserve"> PAGEREF _Toc63685970 \h </w:instrText>
            </w:r>
            <w:r>
              <w:rPr>
                <w:noProof/>
                <w:webHidden/>
              </w:rPr>
            </w:r>
            <w:r>
              <w:rPr>
                <w:noProof/>
                <w:webHidden/>
              </w:rPr>
              <w:fldChar w:fldCharType="separate"/>
            </w:r>
            <w:r>
              <w:rPr>
                <w:noProof/>
                <w:webHidden/>
              </w:rPr>
              <w:t>57</w:t>
            </w:r>
            <w:r>
              <w:rPr>
                <w:noProof/>
                <w:webHidden/>
              </w:rPr>
              <w:fldChar w:fldCharType="end"/>
            </w:r>
          </w:hyperlink>
        </w:p>
        <w:p w14:paraId="32E2F132"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71" w:history="1">
            <w:r w:rsidRPr="007F434A">
              <w:rPr>
                <w:rStyle w:val="Hyperlink"/>
                <w:noProof/>
                <w14:scene3d>
                  <w14:camera w14:prst="orthographicFront"/>
                  <w14:lightRig w14:rig="threePt" w14:dir="t">
                    <w14:rot w14:lat="0" w14:lon="0" w14:rev="0"/>
                  </w14:lightRig>
                </w14:scene3d>
              </w:rPr>
              <w:t>7.5</w:t>
            </w:r>
            <w:r>
              <w:rPr>
                <w:rFonts w:asciiTheme="minorHAnsi" w:eastAsiaTheme="minorEastAsia" w:hAnsiTheme="minorHAnsi"/>
                <w:noProof/>
                <w:color w:val="auto"/>
                <w:sz w:val="22"/>
                <w:lang w:val="en-AU" w:eastAsia="en-AU"/>
              </w:rPr>
              <w:tab/>
            </w:r>
            <w:r w:rsidRPr="007F434A">
              <w:rPr>
                <w:rStyle w:val="Hyperlink"/>
                <w:noProof/>
              </w:rPr>
              <w:t>Abolish the Private Health Insurance Rebate</w:t>
            </w:r>
            <w:r>
              <w:rPr>
                <w:noProof/>
                <w:webHidden/>
              </w:rPr>
              <w:tab/>
            </w:r>
            <w:r>
              <w:rPr>
                <w:noProof/>
                <w:webHidden/>
              </w:rPr>
              <w:fldChar w:fldCharType="begin"/>
            </w:r>
            <w:r>
              <w:rPr>
                <w:noProof/>
                <w:webHidden/>
              </w:rPr>
              <w:instrText xml:space="preserve"> PAGEREF _Toc63685971 \h </w:instrText>
            </w:r>
            <w:r>
              <w:rPr>
                <w:noProof/>
                <w:webHidden/>
              </w:rPr>
            </w:r>
            <w:r>
              <w:rPr>
                <w:noProof/>
                <w:webHidden/>
              </w:rPr>
              <w:fldChar w:fldCharType="separate"/>
            </w:r>
            <w:r>
              <w:rPr>
                <w:noProof/>
                <w:webHidden/>
              </w:rPr>
              <w:t>58</w:t>
            </w:r>
            <w:r>
              <w:rPr>
                <w:noProof/>
                <w:webHidden/>
              </w:rPr>
              <w:fldChar w:fldCharType="end"/>
            </w:r>
          </w:hyperlink>
        </w:p>
        <w:p w14:paraId="474BD5C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72" w:history="1">
            <w:r w:rsidRPr="007F434A">
              <w:rPr>
                <w:rStyle w:val="Hyperlink"/>
                <w:noProof/>
                <w14:scene3d>
                  <w14:camera w14:prst="orthographicFront"/>
                  <w14:lightRig w14:rig="threePt" w14:dir="t">
                    <w14:rot w14:lat="0" w14:lon="0" w14:rev="0"/>
                  </w14:lightRig>
                </w14:scene3d>
              </w:rPr>
              <w:t>7.6</w:t>
            </w:r>
            <w:r>
              <w:rPr>
                <w:rFonts w:asciiTheme="minorHAnsi" w:eastAsiaTheme="minorEastAsia" w:hAnsiTheme="minorHAnsi"/>
                <w:noProof/>
                <w:color w:val="auto"/>
                <w:sz w:val="22"/>
                <w:lang w:val="en-AU" w:eastAsia="en-AU"/>
              </w:rPr>
              <w:tab/>
            </w:r>
            <w:r w:rsidRPr="007F434A">
              <w:rPr>
                <w:rStyle w:val="Hyperlink"/>
                <w:noProof/>
              </w:rPr>
              <w:t>Abolish the Extended Medicare Safety Net</w:t>
            </w:r>
            <w:r>
              <w:rPr>
                <w:noProof/>
                <w:webHidden/>
              </w:rPr>
              <w:tab/>
            </w:r>
            <w:r>
              <w:rPr>
                <w:noProof/>
                <w:webHidden/>
              </w:rPr>
              <w:fldChar w:fldCharType="begin"/>
            </w:r>
            <w:r>
              <w:rPr>
                <w:noProof/>
                <w:webHidden/>
              </w:rPr>
              <w:instrText xml:space="preserve"> PAGEREF _Toc63685972 \h </w:instrText>
            </w:r>
            <w:r>
              <w:rPr>
                <w:noProof/>
                <w:webHidden/>
              </w:rPr>
            </w:r>
            <w:r>
              <w:rPr>
                <w:noProof/>
                <w:webHidden/>
              </w:rPr>
              <w:fldChar w:fldCharType="separate"/>
            </w:r>
            <w:r>
              <w:rPr>
                <w:noProof/>
                <w:webHidden/>
              </w:rPr>
              <w:t>58</w:t>
            </w:r>
            <w:r>
              <w:rPr>
                <w:noProof/>
                <w:webHidden/>
              </w:rPr>
              <w:fldChar w:fldCharType="end"/>
            </w:r>
          </w:hyperlink>
        </w:p>
        <w:p w14:paraId="4355A34A"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73" w:history="1">
            <w:r w:rsidRPr="007F434A">
              <w:rPr>
                <w:rStyle w:val="Hyperlink"/>
                <w:noProof/>
                <w14:scene3d>
                  <w14:camera w14:prst="orthographicFront"/>
                  <w14:lightRig w14:rig="threePt" w14:dir="t">
                    <w14:rot w14:lat="0" w14:lon="0" w14:rev="0"/>
                  </w14:lightRig>
                </w14:scene3d>
              </w:rPr>
              <w:t>7.7</w:t>
            </w:r>
            <w:r>
              <w:rPr>
                <w:rFonts w:asciiTheme="minorHAnsi" w:eastAsiaTheme="minorEastAsia" w:hAnsiTheme="minorHAnsi"/>
                <w:noProof/>
                <w:color w:val="auto"/>
                <w:sz w:val="22"/>
                <w:lang w:val="en-AU" w:eastAsia="en-AU"/>
              </w:rPr>
              <w:tab/>
            </w:r>
            <w:r w:rsidRPr="007F434A">
              <w:rPr>
                <w:rStyle w:val="Hyperlink"/>
                <w:noProof/>
              </w:rPr>
              <w:t>Reducing harms from overuse of alcohol and sugary drinks</w:t>
            </w:r>
            <w:r>
              <w:rPr>
                <w:noProof/>
                <w:webHidden/>
              </w:rPr>
              <w:tab/>
            </w:r>
            <w:r>
              <w:rPr>
                <w:noProof/>
                <w:webHidden/>
              </w:rPr>
              <w:fldChar w:fldCharType="begin"/>
            </w:r>
            <w:r>
              <w:rPr>
                <w:noProof/>
                <w:webHidden/>
              </w:rPr>
              <w:instrText xml:space="preserve"> PAGEREF _Toc63685973 \h </w:instrText>
            </w:r>
            <w:r>
              <w:rPr>
                <w:noProof/>
                <w:webHidden/>
              </w:rPr>
            </w:r>
            <w:r>
              <w:rPr>
                <w:noProof/>
                <w:webHidden/>
              </w:rPr>
              <w:fldChar w:fldCharType="separate"/>
            </w:r>
            <w:r>
              <w:rPr>
                <w:noProof/>
                <w:webHidden/>
              </w:rPr>
              <w:t>59</w:t>
            </w:r>
            <w:r>
              <w:rPr>
                <w:noProof/>
                <w:webHidden/>
              </w:rPr>
              <w:fldChar w:fldCharType="end"/>
            </w:r>
          </w:hyperlink>
        </w:p>
        <w:p w14:paraId="47661FDB" w14:textId="77777777" w:rsidR="000C6B7B" w:rsidRDefault="000C6B7B" w:rsidP="000C6B7B">
          <w:pPr>
            <w:pStyle w:val="TOC1"/>
            <w:rPr>
              <w:rFonts w:asciiTheme="minorHAnsi" w:eastAsiaTheme="minorEastAsia" w:hAnsiTheme="minorHAnsi"/>
              <w:color w:val="auto"/>
              <w:sz w:val="22"/>
              <w:lang w:val="en-AU" w:eastAsia="en-AU"/>
            </w:rPr>
          </w:pPr>
          <w:hyperlink w:anchor="_Toc63685974" w:history="1">
            <w:r w:rsidRPr="007F434A">
              <w:rPr>
                <w:rStyle w:val="Hyperlink"/>
              </w:rPr>
              <w:t>8.</w:t>
            </w:r>
            <w:r>
              <w:rPr>
                <w:rFonts w:asciiTheme="minorHAnsi" w:eastAsiaTheme="minorEastAsia" w:hAnsiTheme="minorHAnsi"/>
                <w:color w:val="auto"/>
                <w:sz w:val="22"/>
                <w:lang w:val="en-AU" w:eastAsia="en-AU"/>
              </w:rPr>
              <w:tab/>
            </w:r>
            <w:r w:rsidRPr="007F434A">
              <w:rPr>
                <w:rStyle w:val="Hyperlink"/>
              </w:rPr>
              <w:t>Aboriginal and Torres Strait Islander communities</w:t>
            </w:r>
            <w:r>
              <w:rPr>
                <w:webHidden/>
              </w:rPr>
              <w:tab/>
            </w:r>
            <w:r>
              <w:rPr>
                <w:webHidden/>
              </w:rPr>
              <w:fldChar w:fldCharType="begin"/>
            </w:r>
            <w:r>
              <w:rPr>
                <w:webHidden/>
              </w:rPr>
              <w:instrText xml:space="preserve"> PAGEREF _Toc63685974 \h </w:instrText>
            </w:r>
            <w:r>
              <w:rPr>
                <w:webHidden/>
              </w:rPr>
            </w:r>
            <w:r>
              <w:rPr>
                <w:webHidden/>
              </w:rPr>
              <w:fldChar w:fldCharType="separate"/>
            </w:r>
            <w:r>
              <w:rPr>
                <w:webHidden/>
              </w:rPr>
              <w:t>60</w:t>
            </w:r>
            <w:r>
              <w:rPr>
                <w:webHidden/>
              </w:rPr>
              <w:fldChar w:fldCharType="end"/>
            </w:r>
          </w:hyperlink>
        </w:p>
        <w:p w14:paraId="33E0E376" w14:textId="77777777" w:rsidR="000C6B7B" w:rsidRDefault="000C6B7B">
          <w:pPr>
            <w:pStyle w:val="TOC2"/>
            <w:tabs>
              <w:tab w:val="right" w:leader="dot" w:pos="8990"/>
            </w:tabs>
            <w:rPr>
              <w:rFonts w:asciiTheme="minorHAnsi" w:eastAsiaTheme="minorEastAsia" w:hAnsiTheme="minorHAnsi"/>
              <w:noProof/>
              <w:color w:val="auto"/>
              <w:sz w:val="22"/>
              <w:lang w:val="en-AU" w:eastAsia="en-AU"/>
            </w:rPr>
          </w:pPr>
          <w:hyperlink w:anchor="_Toc63685975" w:history="1">
            <w:r w:rsidRPr="007F434A">
              <w:rPr>
                <w:rStyle w:val="Hyperlink"/>
                <w:noProof/>
              </w:rPr>
              <w:t>Summary</w:t>
            </w:r>
            <w:r>
              <w:rPr>
                <w:noProof/>
                <w:webHidden/>
              </w:rPr>
              <w:tab/>
            </w:r>
            <w:r>
              <w:rPr>
                <w:noProof/>
                <w:webHidden/>
              </w:rPr>
              <w:fldChar w:fldCharType="begin"/>
            </w:r>
            <w:r>
              <w:rPr>
                <w:noProof/>
                <w:webHidden/>
              </w:rPr>
              <w:instrText xml:space="preserve"> PAGEREF _Toc63685975 \h </w:instrText>
            </w:r>
            <w:r>
              <w:rPr>
                <w:noProof/>
                <w:webHidden/>
              </w:rPr>
            </w:r>
            <w:r>
              <w:rPr>
                <w:noProof/>
                <w:webHidden/>
              </w:rPr>
              <w:fldChar w:fldCharType="separate"/>
            </w:r>
            <w:r>
              <w:rPr>
                <w:noProof/>
                <w:webHidden/>
              </w:rPr>
              <w:t>60</w:t>
            </w:r>
            <w:r>
              <w:rPr>
                <w:noProof/>
                <w:webHidden/>
              </w:rPr>
              <w:fldChar w:fldCharType="end"/>
            </w:r>
          </w:hyperlink>
        </w:p>
        <w:p w14:paraId="5582E39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76" w:history="1">
            <w:r w:rsidRPr="007F434A">
              <w:rPr>
                <w:rStyle w:val="Hyperlink"/>
                <w:noProof/>
                <w14:scene3d>
                  <w14:camera w14:prst="orthographicFront"/>
                  <w14:lightRig w14:rig="threePt" w14:dir="t">
                    <w14:rot w14:lat="0" w14:lon="0" w14:rev="0"/>
                  </w14:lightRig>
                </w14:scene3d>
              </w:rPr>
              <w:t>8.1</w:t>
            </w:r>
            <w:r>
              <w:rPr>
                <w:rFonts w:asciiTheme="minorHAnsi" w:eastAsiaTheme="minorEastAsia" w:hAnsiTheme="minorHAnsi"/>
                <w:noProof/>
                <w:color w:val="auto"/>
                <w:sz w:val="22"/>
                <w:lang w:val="en-AU" w:eastAsia="en-AU"/>
              </w:rPr>
              <w:tab/>
            </w:r>
            <w:r w:rsidRPr="007F434A">
              <w:rPr>
                <w:rStyle w:val="Hyperlink"/>
                <w:noProof/>
              </w:rPr>
              <w:t>Introduction</w:t>
            </w:r>
            <w:r>
              <w:rPr>
                <w:noProof/>
                <w:webHidden/>
              </w:rPr>
              <w:tab/>
            </w:r>
            <w:r>
              <w:rPr>
                <w:noProof/>
                <w:webHidden/>
              </w:rPr>
              <w:fldChar w:fldCharType="begin"/>
            </w:r>
            <w:r>
              <w:rPr>
                <w:noProof/>
                <w:webHidden/>
              </w:rPr>
              <w:instrText xml:space="preserve"> PAGEREF _Toc63685976 \h </w:instrText>
            </w:r>
            <w:r>
              <w:rPr>
                <w:noProof/>
                <w:webHidden/>
              </w:rPr>
            </w:r>
            <w:r>
              <w:rPr>
                <w:noProof/>
                <w:webHidden/>
              </w:rPr>
              <w:fldChar w:fldCharType="separate"/>
            </w:r>
            <w:r>
              <w:rPr>
                <w:noProof/>
                <w:webHidden/>
              </w:rPr>
              <w:t>60</w:t>
            </w:r>
            <w:r>
              <w:rPr>
                <w:noProof/>
                <w:webHidden/>
              </w:rPr>
              <w:fldChar w:fldCharType="end"/>
            </w:r>
          </w:hyperlink>
        </w:p>
        <w:p w14:paraId="1962A4ED" w14:textId="77777777" w:rsidR="000C6B7B" w:rsidRDefault="000C6B7B" w:rsidP="000C6B7B">
          <w:pPr>
            <w:pStyle w:val="TOC1"/>
            <w:rPr>
              <w:rFonts w:asciiTheme="minorHAnsi" w:eastAsiaTheme="minorEastAsia" w:hAnsiTheme="minorHAnsi"/>
              <w:color w:val="auto"/>
              <w:sz w:val="22"/>
              <w:lang w:val="en-AU" w:eastAsia="en-AU"/>
            </w:rPr>
          </w:pPr>
          <w:hyperlink w:anchor="_Toc63685977" w:history="1">
            <w:r w:rsidRPr="007F434A">
              <w:rPr>
                <w:rStyle w:val="Hyperlink"/>
              </w:rPr>
              <w:t>9.</w:t>
            </w:r>
            <w:r>
              <w:rPr>
                <w:rFonts w:asciiTheme="minorHAnsi" w:eastAsiaTheme="minorEastAsia" w:hAnsiTheme="minorHAnsi"/>
                <w:color w:val="auto"/>
                <w:sz w:val="22"/>
                <w:lang w:val="en-AU" w:eastAsia="en-AU"/>
              </w:rPr>
              <w:tab/>
            </w:r>
            <w:r w:rsidRPr="007F434A">
              <w:rPr>
                <w:rStyle w:val="Hyperlink"/>
              </w:rPr>
              <w:t>Decent retirement incomes and services</w:t>
            </w:r>
            <w:r>
              <w:rPr>
                <w:webHidden/>
              </w:rPr>
              <w:tab/>
            </w:r>
            <w:r>
              <w:rPr>
                <w:webHidden/>
              </w:rPr>
              <w:fldChar w:fldCharType="begin"/>
            </w:r>
            <w:r>
              <w:rPr>
                <w:webHidden/>
              </w:rPr>
              <w:instrText xml:space="preserve"> PAGEREF _Toc63685977 \h </w:instrText>
            </w:r>
            <w:r>
              <w:rPr>
                <w:webHidden/>
              </w:rPr>
            </w:r>
            <w:r>
              <w:rPr>
                <w:webHidden/>
              </w:rPr>
              <w:fldChar w:fldCharType="separate"/>
            </w:r>
            <w:r>
              <w:rPr>
                <w:webHidden/>
              </w:rPr>
              <w:t>62</w:t>
            </w:r>
            <w:r>
              <w:rPr>
                <w:webHidden/>
              </w:rPr>
              <w:fldChar w:fldCharType="end"/>
            </w:r>
          </w:hyperlink>
        </w:p>
        <w:p w14:paraId="785DD5FC" w14:textId="77777777" w:rsidR="000C6B7B" w:rsidRDefault="000C6B7B">
          <w:pPr>
            <w:pStyle w:val="TOC2"/>
            <w:tabs>
              <w:tab w:val="right" w:leader="dot" w:pos="8990"/>
            </w:tabs>
            <w:rPr>
              <w:rFonts w:asciiTheme="minorHAnsi" w:eastAsiaTheme="minorEastAsia" w:hAnsiTheme="minorHAnsi"/>
              <w:noProof/>
              <w:color w:val="auto"/>
              <w:sz w:val="22"/>
              <w:lang w:val="en-AU" w:eastAsia="en-AU"/>
            </w:rPr>
          </w:pPr>
          <w:hyperlink w:anchor="_Toc63685978" w:history="1">
            <w:r w:rsidRPr="007F434A">
              <w:rPr>
                <w:rStyle w:val="Hyperlink"/>
                <w:noProof/>
              </w:rPr>
              <w:t>Summary</w:t>
            </w:r>
            <w:r>
              <w:rPr>
                <w:noProof/>
                <w:webHidden/>
              </w:rPr>
              <w:tab/>
            </w:r>
            <w:r>
              <w:rPr>
                <w:noProof/>
                <w:webHidden/>
              </w:rPr>
              <w:fldChar w:fldCharType="begin"/>
            </w:r>
            <w:r>
              <w:rPr>
                <w:noProof/>
                <w:webHidden/>
              </w:rPr>
              <w:instrText xml:space="preserve"> PAGEREF _Toc63685978 \h </w:instrText>
            </w:r>
            <w:r>
              <w:rPr>
                <w:noProof/>
                <w:webHidden/>
              </w:rPr>
            </w:r>
            <w:r>
              <w:rPr>
                <w:noProof/>
                <w:webHidden/>
              </w:rPr>
              <w:fldChar w:fldCharType="separate"/>
            </w:r>
            <w:r>
              <w:rPr>
                <w:noProof/>
                <w:webHidden/>
              </w:rPr>
              <w:t>62</w:t>
            </w:r>
            <w:r>
              <w:rPr>
                <w:noProof/>
                <w:webHidden/>
              </w:rPr>
              <w:fldChar w:fldCharType="end"/>
            </w:r>
          </w:hyperlink>
        </w:p>
        <w:p w14:paraId="42E72619"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79" w:history="1">
            <w:r w:rsidRPr="007F434A">
              <w:rPr>
                <w:rStyle w:val="Hyperlink"/>
                <w:noProof/>
                <w14:scene3d>
                  <w14:camera w14:prst="orthographicFront"/>
                  <w14:lightRig w14:rig="threePt" w14:dir="t">
                    <w14:rot w14:lat="0" w14:lon="0" w14:rev="0"/>
                  </w14:lightRig>
                </w14:scene3d>
              </w:rPr>
              <w:t>9.1</w:t>
            </w:r>
            <w:r>
              <w:rPr>
                <w:rFonts w:asciiTheme="minorHAnsi" w:eastAsiaTheme="minorEastAsia" w:hAnsiTheme="minorHAnsi"/>
                <w:noProof/>
                <w:color w:val="auto"/>
                <w:sz w:val="22"/>
                <w:lang w:val="en-AU" w:eastAsia="en-AU"/>
              </w:rPr>
              <w:tab/>
            </w:r>
            <w:r w:rsidRPr="007F434A">
              <w:rPr>
                <w:rStyle w:val="Hyperlink"/>
                <w:noProof/>
              </w:rPr>
              <w:t>Introduction</w:t>
            </w:r>
            <w:r>
              <w:rPr>
                <w:noProof/>
                <w:webHidden/>
              </w:rPr>
              <w:tab/>
            </w:r>
            <w:r>
              <w:rPr>
                <w:noProof/>
                <w:webHidden/>
              </w:rPr>
              <w:fldChar w:fldCharType="begin"/>
            </w:r>
            <w:r>
              <w:rPr>
                <w:noProof/>
                <w:webHidden/>
              </w:rPr>
              <w:instrText xml:space="preserve"> PAGEREF _Toc63685979 \h </w:instrText>
            </w:r>
            <w:r>
              <w:rPr>
                <w:noProof/>
                <w:webHidden/>
              </w:rPr>
            </w:r>
            <w:r>
              <w:rPr>
                <w:noProof/>
                <w:webHidden/>
              </w:rPr>
              <w:fldChar w:fldCharType="separate"/>
            </w:r>
            <w:r>
              <w:rPr>
                <w:noProof/>
                <w:webHidden/>
              </w:rPr>
              <w:t>62</w:t>
            </w:r>
            <w:r>
              <w:rPr>
                <w:noProof/>
                <w:webHidden/>
              </w:rPr>
              <w:fldChar w:fldCharType="end"/>
            </w:r>
          </w:hyperlink>
        </w:p>
        <w:p w14:paraId="38AD692B"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80" w:history="1">
            <w:r w:rsidRPr="007F434A">
              <w:rPr>
                <w:rStyle w:val="Hyperlink"/>
                <w:noProof/>
                <w14:scene3d>
                  <w14:camera w14:prst="orthographicFront"/>
                  <w14:lightRig w14:rig="threePt" w14:dir="t">
                    <w14:rot w14:lat="0" w14:lon="0" w14:rev="0"/>
                  </w14:lightRig>
                </w14:scene3d>
              </w:rPr>
              <w:t>9.2</w:t>
            </w:r>
            <w:r>
              <w:rPr>
                <w:rFonts w:asciiTheme="minorHAnsi" w:eastAsiaTheme="minorEastAsia" w:hAnsiTheme="minorHAnsi"/>
                <w:noProof/>
                <w:color w:val="auto"/>
                <w:sz w:val="22"/>
                <w:lang w:val="en-AU" w:eastAsia="en-AU"/>
              </w:rPr>
              <w:tab/>
            </w:r>
            <w:r w:rsidRPr="007F434A">
              <w:rPr>
                <w:rStyle w:val="Hyperlink"/>
                <w:noProof/>
              </w:rPr>
              <w:t>A compulsory super system that's fit for purpose and taxed fairly</w:t>
            </w:r>
            <w:r>
              <w:rPr>
                <w:noProof/>
                <w:webHidden/>
              </w:rPr>
              <w:tab/>
            </w:r>
            <w:r>
              <w:rPr>
                <w:noProof/>
                <w:webHidden/>
              </w:rPr>
              <w:fldChar w:fldCharType="begin"/>
            </w:r>
            <w:r>
              <w:rPr>
                <w:noProof/>
                <w:webHidden/>
              </w:rPr>
              <w:instrText xml:space="preserve"> PAGEREF _Toc63685980 \h </w:instrText>
            </w:r>
            <w:r>
              <w:rPr>
                <w:noProof/>
                <w:webHidden/>
              </w:rPr>
            </w:r>
            <w:r>
              <w:rPr>
                <w:noProof/>
                <w:webHidden/>
              </w:rPr>
              <w:fldChar w:fldCharType="separate"/>
            </w:r>
            <w:r>
              <w:rPr>
                <w:noProof/>
                <w:webHidden/>
              </w:rPr>
              <w:t>64</w:t>
            </w:r>
            <w:r>
              <w:rPr>
                <w:noProof/>
                <w:webHidden/>
              </w:rPr>
              <w:fldChar w:fldCharType="end"/>
            </w:r>
          </w:hyperlink>
        </w:p>
        <w:p w14:paraId="6FA87986" w14:textId="27F9B7B9"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81" w:history="1">
            <w:r w:rsidRPr="007F434A">
              <w:rPr>
                <w:rStyle w:val="Hyperlink"/>
                <w:noProof/>
                <w14:scene3d>
                  <w14:camera w14:prst="orthographicFront"/>
                  <w14:lightRig w14:rig="threePt" w14:dir="t">
                    <w14:rot w14:lat="0" w14:lon="0" w14:rev="0"/>
                  </w14:lightRig>
                </w14:scene3d>
              </w:rPr>
              <w:t>9.3</w:t>
            </w:r>
            <w:r>
              <w:rPr>
                <w:rFonts w:asciiTheme="minorHAnsi" w:eastAsiaTheme="minorEastAsia" w:hAnsiTheme="minorHAnsi"/>
                <w:noProof/>
                <w:color w:val="auto"/>
                <w:sz w:val="22"/>
                <w:lang w:val="en-AU" w:eastAsia="en-AU"/>
              </w:rPr>
              <w:tab/>
            </w:r>
            <w:r w:rsidRPr="007F434A">
              <w:rPr>
                <w:rStyle w:val="Hyperlink"/>
                <w:noProof/>
              </w:rPr>
              <w:t>Reform the taxation of superannuation post-retirement to help pay for aged care</w:t>
            </w:r>
            <w:r>
              <w:rPr>
                <w:noProof/>
                <w:webHidden/>
              </w:rPr>
              <w:tab/>
            </w:r>
            <w:r>
              <w:rPr>
                <w:noProof/>
                <w:webHidden/>
              </w:rPr>
              <w:tab/>
            </w:r>
            <w:r>
              <w:rPr>
                <w:noProof/>
                <w:webHidden/>
              </w:rPr>
              <w:fldChar w:fldCharType="begin"/>
            </w:r>
            <w:r>
              <w:rPr>
                <w:noProof/>
                <w:webHidden/>
              </w:rPr>
              <w:instrText xml:space="preserve"> PAGEREF _Toc63685981 \h </w:instrText>
            </w:r>
            <w:r>
              <w:rPr>
                <w:noProof/>
                <w:webHidden/>
              </w:rPr>
            </w:r>
            <w:r>
              <w:rPr>
                <w:noProof/>
                <w:webHidden/>
              </w:rPr>
              <w:fldChar w:fldCharType="separate"/>
            </w:r>
            <w:r>
              <w:rPr>
                <w:noProof/>
                <w:webHidden/>
              </w:rPr>
              <w:t>67</w:t>
            </w:r>
            <w:r>
              <w:rPr>
                <w:noProof/>
                <w:webHidden/>
              </w:rPr>
              <w:fldChar w:fldCharType="end"/>
            </w:r>
          </w:hyperlink>
        </w:p>
        <w:p w14:paraId="2D4B00E4"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82" w:history="1">
            <w:r w:rsidRPr="007F434A">
              <w:rPr>
                <w:rStyle w:val="Hyperlink"/>
                <w:noProof/>
                <w14:scene3d>
                  <w14:camera w14:prst="orthographicFront"/>
                  <w14:lightRig w14:rig="threePt" w14:dir="t">
                    <w14:rot w14:lat="0" w14:lon="0" w14:rev="0"/>
                  </w14:lightRig>
                </w14:scene3d>
              </w:rPr>
              <w:t>9.4</w:t>
            </w:r>
            <w:r>
              <w:rPr>
                <w:rFonts w:asciiTheme="minorHAnsi" w:eastAsiaTheme="minorEastAsia" w:hAnsiTheme="minorHAnsi"/>
                <w:noProof/>
                <w:color w:val="auto"/>
                <w:sz w:val="22"/>
                <w:lang w:val="en-AU" w:eastAsia="en-AU"/>
              </w:rPr>
              <w:tab/>
            </w:r>
            <w:r w:rsidRPr="007F434A">
              <w:rPr>
                <w:rStyle w:val="Hyperlink"/>
                <w:noProof/>
              </w:rPr>
              <w:t>Reduce age-based tax concessions to help fund health and aged care</w:t>
            </w:r>
            <w:r>
              <w:rPr>
                <w:noProof/>
                <w:webHidden/>
              </w:rPr>
              <w:tab/>
            </w:r>
            <w:r>
              <w:rPr>
                <w:noProof/>
                <w:webHidden/>
              </w:rPr>
              <w:fldChar w:fldCharType="begin"/>
            </w:r>
            <w:r>
              <w:rPr>
                <w:noProof/>
                <w:webHidden/>
              </w:rPr>
              <w:instrText xml:space="preserve"> PAGEREF _Toc63685982 \h </w:instrText>
            </w:r>
            <w:r>
              <w:rPr>
                <w:noProof/>
                <w:webHidden/>
              </w:rPr>
            </w:r>
            <w:r>
              <w:rPr>
                <w:noProof/>
                <w:webHidden/>
              </w:rPr>
              <w:fldChar w:fldCharType="separate"/>
            </w:r>
            <w:r>
              <w:rPr>
                <w:noProof/>
                <w:webHidden/>
              </w:rPr>
              <w:t>69</w:t>
            </w:r>
            <w:r>
              <w:rPr>
                <w:noProof/>
                <w:webHidden/>
              </w:rPr>
              <w:fldChar w:fldCharType="end"/>
            </w:r>
          </w:hyperlink>
        </w:p>
        <w:p w14:paraId="316E045E" w14:textId="77777777" w:rsidR="000C6B7B" w:rsidRDefault="000C6B7B">
          <w:pPr>
            <w:pStyle w:val="TOC2"/>
            <w:tabs>
              <w:tab w:val="left" w:pos="880"/>
              <w:tab w:val="right" w:leader="dot" w:pos="8990"/>
            </w:tabs>
            <w:rPr>
              <w:rFonts w:asciiTheme="minorHAnsi" w:eastAsiaTheme="minorEastAsia" w:hAnsiTheme="minorHAnsi"/>
              <w:noProof/>
              <w:color w:val="auto"/>
              <w:sz w:val="22"/>
              <w:lang w:val="en-AU" w:eastAsia="en-AU"/>
            </w:rPr>
          </w:pPr>
          <w:hyperlink w:anchor="_Toc63685983" w:history="1">
            <w:r w:rsidRPr="007F434A">
              <w:rPr>
                <w:rStyle w:val="Hyperlink"/>
                <w:noProof/>
                <w14:scene3d>
                  <w14:camera w14:prst="orthographicFront"/>
                  <w14:lightRig w14:rig="threePt" w14:dir="t">
                    <w14:rot w14:lat="0" w14:lon="0" w14:rev="0"/>
                  </w14:lightRig>
                </w14:scene3d>
              </w:rPr>
              <w:t>9.5</w:t>
            </w:r>
            <w:r>
              <w:rPr>
                <w:rFonts w:asciiTheme="minorHAnsi" w:eastAsiaTheme="minorEastAsia" w:hAnsiTheme="minorHAnsi"/>
                <w:noProof/>
                <w:color w:val="auto"/>
                <w:sz w:val="22"/>
                <w:lang w:val="en-AU" w:eastAsia="en-AU"/>
              </w:rPr>
              <w:tab/>
            </w:r>
            <w:r w:rsidRPr="007F434A">
              <w:rPr>
                <w:rStyle w:val="Hyperlink"/>
                <w:noProof/>
              </w:rPr>
              <w:t>Prevent avoidance of the Medicare Levy to fund health care for an ageing population</w:t>
            </w:r>
            <w:r>
              <w:rPr>
                <w:noProof/>
                <w:webHidden/>
              </w:rPr>
              <w:tab/>
            </w:r>
            <w:r>
              <w:rPr>
                <w:noProof/>
                <w:webHidden/>
              </w:rPr>
              <w:fldChar w:fldCharType="begin"/>
            </w:r>
            <w:r>
              <w:rPr>
                <w:noProof/>
                <w:webHidden/>
              </w:rPr>
              <w:instrText xml:space="preserve"> PAGEREF _Toc63685983 \h </w:instrText>
            </w:r>
            <w:r>
              <w:rPr>
                <w:noProof/>
                <w:webHidden/>
              </w:rPr>
            </w:r>
            <w:r>
              <w:rPr>
                <w:noProof/>
                <w:webHidden/>
              </w:rPr>
              <w:fldChar w:fldCharType="separate"/>
            </w:r>
            <w:r>
              <w:rPr>
                <w:noProof/>
                <w:webHidden/>
              </w:rPr>
              <w:t>70</w:t>
            </w:r>
            <w:r>
              <w:rPr>
                <w:noProof/>
                <w:webHidden/>
              </w:rPr>
              <w:fldChar w:fldCharType="end"/>
            </w:r>
          </w:hyperlink>
        </w:p>
        <w:p w14:paraId="64AA664F" w14:textId="77777777" w:rsidR="000C6B7B" w:rsidRDefault="000C6B7B" w:rsidP="000C6B7B">
          <w:pPr>
            <w:pStyle w:val="TOC1"/>
            <w:rPr>
              <w:rFonts w:asciiTheme="minorHAnsi" w:eastAsiaTheme="minorEastAsia" w:hAnsiTheme="minorHAnsi"/>
              <w:color w:val="auto"/>
              <w:sz w:val="22"/>
              <w:lang w:val="en-AU" w:eastAsia="en-AU"/>
            </w:rPr>
          </w:pPr>
          <w:hyperlink w:anchor="_Toc63685984" w:history="1">
            <w:r w:rsidRPr="007F434A">
              <w:rPr>
                <w:rStyle w:val="Hyperlink"/>
              </w:rPr>
              <w:t>10.</w:t>
            </w:r>
            <w:r>
              <w:rPr>
                <w:rFonts w:asciiTheme="minorHAnsi" w:eastAsiaTheme="minorEastAsia" w:hAnsiTheme="minorHAnsi"/>
                <w:color w:val="auto"/>
                <w:sz w:val="22"/>
                <w:lang w:val="en-AU" w:eastAsia="en-AU"/>
              </w:rPr>
              <w:tab/>
            </w:r>
            <w:r w:rsidRPr="007F434A">
              <w:rPr>
                <w:rStyle w:val="Hyperlink"/>
              </w:rPr>
              <w:t>A fairer tax system that supports economic development</w:t>
            </w:r>
            <w:r>
              <w:rPr>
                <w:webHidden/>
              </w:rPr>
              <w:tab/>
            </w:r>
            <w:r>
              <w:rPr>
                <w:webHidden/>
              </w:rPr>
              <w:fldChar w:fldCharType="begin"/>
            </w:r>
            <w:r>
              <w:rPr>
                <w:webHidden/>
              </w:rPr>
              <w:instrText xml:space="preserve"> PAGEREF _Toc63685984 \h </w:instrText>
            </w:r>
            <w:r>
              <w:rPr>
                <w:webHidden/>
              </w:rPr>
            </w:r>
            <w:r>
              <w:rPr>
                <w:webHidden/>
              </w:rPr>
              <w:fldChar w:fldCharType="separate"/>
            </w:r>
            <w:r>
              <w:rPr>
                <w:webHidden/>
              </w:rPr>
              <w:t>71</w:t>
            </w:r>
            <w:r>
              <w:rPr>
                <w:webHidden/>
              </w:rPr>
              <w:fldChar w:fldCharType="end"/>
            </w:r>
          </w:hyperlink>
        </w:p>
        <w:p w14:paraId="7823CE92" w14:textId="77777777" w:rsidR="000C6B7B" w:rsidRDefault="000C6B7B">
          <w:pPr>
            <w:pStyle w:val="TOC2"/>
            <w:tabs>
              <w:tab w:val="right" w:leader="dot" w:pos="8990"/>
            </w:tabs>
            <w:rPr>
              <w:rFonts w:asciiTheme="minorHAnsi" w:eastAsiaTheme="minorEastAsia" w:hAnsiTheme="minorHAnsi"/>
              <w:noProof/>
              <w:color w:val="auto"/>
              <w:sz w:val="22"/>
              <w:lang w:val="en-AU" w:eastAsia="en-AU"/>
            </w:rPr>
          </w:pPr>
          <w:hyperlink w:anchor="_Toc63685985" w:history="1">
            <w:r w:rsidRPr="007F434A">
              <w:rPr>
                <w:rStyle w:val="Hyperlink"/>
                <w:noProof/>
              </w:rPr>
              <w:t>Summary</w:t>
            </w:r>
            <w:r>
              <w:rPr>
                <w:noProof/>
                <w:webHidden/>
              </w:rPr>
              <w:tab/>
            </w:r>
            <w:r>
              <w:rPr>
                <w:noProof/>
                <w:webHidden/>
              </w:rPr>
              <w:fldChar w:fldCharType="begin"/>
            </w:r>
            <w:r>
              <w:rPr>
                <w:noProof/>
                <w:webHidden/>
              </w:rPr>
              <w:instrText xml:space="preserve"> PAGEREF _Toc63685985 \h </w:instrText>
            </w:r>
            <w:r>
              <w:rPr>
                <w:noProof/>
                <w:webHidden/>
              </w:rPr>
            </w:r>
            <w:r>
              <w:rPr>
                <w:noProof/>
                <w:webHidden/>
              </w:rPr>
              <w:fldChar w:fldCharType="separate"/>
            </w:r>
            <w:r>
              <w:rPr>
                <w:noProof/>
                <w:webHidden/>
              </w:rPr>
              <w:t>71</w:t>
            </w:r>
            <w:r>
              <w:rPr>
                <w:noProof/>
                <w:webHidden/>
              </w:rPr>
              <w:fldChar w:fldCharType="end"/>
            </w:r>
          </w:hyperlink>
        </w:p>
        <w:p w14:paraId="10B8AA22" w14:textId="77777777" w:rsidR="000C6B7B" w:rsidRDefault="000C6B7B">
          <w:pPr>
            <w:pStyle w:val="TOC2"/>
            <w:tabs>
              <w:tab w:val="left" w:pos="1100"/>
              <w:tab w:val="right" w:leader="dot" w:pos="8990"/>
            </w:tabs>
            <w:rPr>
              <w:rFonts w:asciiTheme="minorHAnsi" w:eastAsiaTheme="minorEastAsia" w:hAnsiTheme="minorHAnsi"/>
              <w:noProof/>
              <w:color w:val="auto"/>
              <w:sz w:val="22"/>
              <w:lang w:val="en-AU" w:eastAsia="en-AU"/>
            </w:rPr>
          </w:pPr>
          <w:hyperlink w:anchor="_Toc63685986" w:history="1">
            <w:r w:rsidRPr="007F434A">
              <w:rPr>
                <w:rStyle w:val="Hyperlink"/>
                <w:noProof/>
                <w14:scene3d>
                  <w14:camera w14:prst="orthographicFront"/>
                  <w14:lightRig w14:rig="threePt" w14:dir="t">
                    <w14:rot w14:lat="0" w14:lon="0" w14:rev="0"/>
                  </w14:lightRig>
                </w14:scene3d>
              </w:rPr>
              <w:t>10.1</w:t>
            </w:r>
            <w:r>
              <w:rPr>
                <w:rFonts w:asciiTheme="minorHAnsi" w:eastAsiaTheme="minorEastAsia" w:hAnsiTheme="minorHAnsi"/>
                <w:noProof/>
                <w:color w:val="auto"/>
                <w:sz w:val="22"/>
                <w:lang w:val="en-AU" w:eastAsia="en-AU"/>
              </w:rPr>
              <w:tab/>
            </w:r>
            <w:r w:rsidRPr="007F434A">
              <w:rPr>
                <w:rStyle w:val="Hyperlink"/>
                <w:noProof/>
              </w:rPr>
              <w:t>Introduction</w:t>
            </w:r>
            <w:r>
              <w:rPr>
                <w:noProof/>
                <w:webHidden/>
              </w:rPr>
              <w:tab/>
            </w:r>
            <w:r>
              <w:rPr>
                <w:noProof/>
                <w:webHidden/>
              </w:rPr>
              <w:fldChar w:fldCharType="begin"/>
            </w:r>
            <w:r>
              <w:rPr>
                <w:noProof/>
                <w:webHidden/>
              </w:rPr>
              <w:instrText xml:space="preserve"> PAGEREF _Toc63685986 \h </w:instrText>
            </w:r>
            <w:r>
              <w:rPr>
                <w:noProof/>
                <w:webHidden/>
              </w:rPr>
            </w:r>
            <w:r>
              <w:rPr>
                <w:noProof/>
                <w:webHidden/>
              </w:rPr>
              <w:fldChar w:fldCharType="separate"/>
            </w:r>
            <w:r>
              <w:rPr>
                <w:noProof/>
                <w:webHidden/>
              </w:rPr>
              <w:t>71</w:t>
            </w:r>
            <w:r>
              <w:rPr>
                <w:noProof/>
                <w:webHidden/>
              </w:rPr>
              <w:fldChar w:fldCharType="end"/>
            </w:r>
          </w:hyperlink>
        </w:p>
        <w:p w14:paraId="17638DD5" w14:textId="77777777" w:rsidR="000C6B7B" w:rsidRDefault="000C6B7B">
          <w:pPr>
            <w:pStyle w:val="TOC2"/>
            <w:tabs>
              <w:tab w:val="left" w:pos="1100"/>
              <w:tab w:val="right" w:leader="dot" w:pos="8990"/>
            </w:tabs>
            <w:rPr>
              <w:rFonts w:asciiTheme="minorHAnsi" w:eastAsiaTheme="minorEastAsia" w:hAnsiTheme="minorHAnsi"/>
              <w:noProof/>
              <w:color w:val="auto"/>
              <w:sz w:val="22"/>
              <w:lang w:val="en-AU" w:eastAsia="en-AU"/>
            </w:rPr>
          </w:pPr>
          <w:hyperlink w:anchor="_Toc63685987" w:history="1">
            <w:r w:rsidRPr="007F434A">
              <w:rPr>
                <w:rStyle w:val="Hyperlink"/>
                <w:noProof/>
                <w14:scene3d>
                  <w14:camera w14:prst="orthographicFront"/>
                  <w14:lightRig w14:rig="threePt" w14:dir="t">
                    <w14:rot w14:lat="0" w14:lon="0" w14:rev="0"/>
                  </w14:lightRig>
                </w14:scene3d>
              </w:rPr>
              <w:t>10.2</w:t>
            </w:r>
            <w:r>
              <w:rPr>
                <w:rFonts w:asciiTheme="minorHAnsi" w:eastAsiaTheme="minorEastAsia" w:hAnsiTheme="minorHAnsi"/>
                <w:noProof/>
                <w:color w:val="auto"/>
                <w:sz w:val="22"/>
                <w:lang w:val="en-AU" w:eastAsia="en-AU"/>
              </w:rPr>
              <w:tab/>
            </w:r>
            <w:r w:rsidRPr="007F434A">
              <w:rPr>
                <w:rStyle w:val="Hyperlink"/>
                <w:noProof/>
              </w:rPr>
              <w:t>Tax investment income more fairly and consistently</w:t>
            </w:r>
            <w:r>
              <w:rPr>
                <w:noProof/>
                <w:webHidden/>
              </w:rPr>
              <w:tab/>
            </w:r>
            <w:r>
              <w:rPr>
                <w:noProof/>
                <w:webHidden/>
              </w:rPr>
              <w:fldChar w:fldCharType="begin"/>
            </w:r>
            <w:r>
              <w:rPr>
                <w:noProof/>
                <w:webHidden/>
              </w:rPr>
              <w:instrText xml:space="preserve"> PAGEREF _Toc63685987 \h </w:instrText>
            </w:r>
            <w:r>
              <w:rPr>
                <w:noProof/>
                <w:webHidden/>
              </w:rPr>
            </w:r>
            <w:r>
              <w:rPr>
                <w:noProof/>
                <w:webHidden/>
              </w:rPr>
              <w:fldChar w:fldCharType="separate"/>
            </w:r>
            <w:r>
              <w:rPr>
                <w:noProof/>
                <w:webHidden/>
              </w:rPr>
              <w:t>73</w:t>
            </w:r>
            <w:r>
              <w:rPr>
                <w:noProof/>
                <w:webHidden/>
              </w:rPr>
              <w:fldChar w:fldCharType="end"/>
            </w:r>
          </w:hyperlink>
        </w:p>
        <w:p w14:paraId="6144CFB0" w14:textId="77777777" w:rsidR="000C6B7B" w:rsidRDefault="000C6B7B">
          <w:pPr>
            <w:pStyle w:val="TOC2"/>
            <w:tabs>
              <w:tab w:val="left" w:pos="1100"/>
              <w:tab w:val="right" w:leader="dot" w:pos="8990"/>
            </w:tabs>
            <w:rPr>
              <w:rFonts w:asciiTheme="minorHAnsi" w:eastAsiaTheme="minorEastAsia" w:hAnsiTheme="minorHAnsi"/>
              <w:noProof/>
              <w:color w:val="auto"/>
              <w:sz w:val="22"/>
              <w:lang w:val="en-AU" w:eastAsia="en-AU"/>
            </w:rPr>
          </w:pPr>
          <w:hyperlink w:anchor="_Toc63685988" w:history="1">
            <w:r w:rsidRPr="007F434A">
              <w:rPr>
                <w:rStyle w:val="Hyperlink"/>
                <w:noProof/>
                <w14:scene3d>
                  <w14:camera w14:prst="orthographicFront"/>
                  <w14:lightRig w14:rig="threePt" w14:dir="t">
                    <w14:rot w14:lat="0" w14:lon="0" w14:rev="0"/>
                  </w14:lightRig>
                </w14:scene3d>
              </w:rPr>
              <w:t>10.3</w:t>
            </w:r>
            <w:r>
              <w:rPr>
                <w:rFonts w:asciiTheme="minorHAnsi" w:eastAsiaTheme="minorEastAsia" w:hAnsiTheme="minorHAnsi"/>
                <w:noProof/>
                <w:color w:val="auto"/>
                <w:sz w:val="22"/>
                <w:lang w:val="en-AU" w:eastAsia="en-AU"/>
              </w:rPr>
              <w:tab/>
            </w:r>
            <w:r w:rsidRPr="007F434A">
              <w:rPr>
                <w:rStyle w:val="Hyperlink"/>
                <w:noProof/>
              </w:rPr>
              <w:t>Curb personal tax avoidance using private trusts and companies</w:t>
            </w:r>
            <w:r>
              <w:rPr>
                <w:noProof/>
                <w:webHidden/>
              </w:rPr>
              <w:tab/>
            </w:r>
            <w:r>
              <w:rPr>
                <w:noProof/>
                <w:webHidden/>
              </w:rPr>
              <w:fldChar w:fldCharType="begin"/>
            </w:r>
            <w:r>
              <w:rPr>
                <w:noProof/>
                <w:webHidden/>
              </w:rPr>
              <w:instrText xml:space="preserve"> PAGEREF _Toc63685988 \h </w:instrText>
            </w:r>
            <w:r>
              <w:rPr>
                <w:noProof/>
                <w:webHidden/>
              </w:rPr>
            </w:r>
            <w:r>
              <w:rPr>
                <w:noProof/>
                <w:webHidden/>
              </w:rPr>
              <w:fldChar w:fldCharType="separate"/>
            </w:r>
            <w:r>
              <w:rPr>
                <w:noProof/>
                <w:webHidden/>
              </w:rPr>
              <w:t>75</w:t>
            </w:r>
            <w:r>
              <w:rPr>
                <w:noProof/>
                <w:webHidden/>
              </w:rPr>
              <w:fldChar w:fldCharType="end"/>
            </w:r>
          </w:hyperlink>
        </w:p>
        <w:p w14:paraId="27E06C54" w14:textId="77777777" w:rsidR="000C6B7B" w:rsidRDefault="000C6B7B">
          <w:pPr>
            <w:pStyle w:val="TOC2"/>
            <w:tabs>
              <w:tab w:val="left" w:pos="1100"/>
              <w:tab w:val="right" w:leader="dot" w:pos="8990"/>
            </w:tabs>
            <w:rPr>
              <w:rFonts w:asciiTheme="minorHAnsi" w:eastAsiaTheme="minorEastAsia" w:hAnsiTheme="minorHAnsi"/>
              <w:noProof/>
              <w:color w:val="auto"/>
              <w:sz w:val="22"/>
              <w:lang w:val="en-AU" w:eastAsia="en-AU"/>
            </w:rPr>
          </w:pPr>
          <w:hyperlink w:anchor="_Toc63685989" w:history="1">
            <w:r w:rsidRPr="007F434A">
              <w:rPr>
                <w:rStyle w:val="Hyperlink"/>
                <w:noProof/>
                <w14:scene3d>
                  <w14:camera w14:prst="orthographicFront"/>
                  <w14:lightRig w14:rig="threePt" w14:dir="t">
                    <w14:rot w14:lat="0" w14:lon="0" w14:rev="0"/>
                  </w14:lightRig>
                </w14:scene3d>
              </w:rPr>
              <w:t>10.4</w:t>
            </w:r>
            <w:r>
              <w:rPr>
                <w:rFonts w:asciiTheme="minorHAnsi" w:eastAsiaTheme="minorEastAsia" w:hAnsiTheme="minorHAnsi"/>
                <w:noProof/>
                <w:color w:val="auto"/>
                <w:sz w:val="22"/>
                <w:lang w:val="en-AU" w:eastAsia="en-AU"/>
              </w:rPr>
              <w:tab/>
            </w:r>
            <w:r w:rsidRPr="007F434A">
              <w:rPr>
                <w:rStyle w:val="Hyperlink"/>
                <w:noProof/>
              </w:rPr>
              <w:t>Curb international business tax avoidance</w:t>
            </w:r>
            <w:r>
              <w:rPr>
                <w:noProof/>
                <w:webHidden/>
              </w:rPr>
              <w:tab/>
            </w:r>
            <w:r>
              <w:rPr>
                <w:noProof/>
                <w:webHidden/>
              </w:rPr>
              <w:fldChar w:fldCharType="begin"/>
            </w:r>
            <w:r>
              <w:rPr>
                <w:noProof/>
                <w:webHidden/>
              </w:rPr>
              <w:instrText xml:space="preserve"> PAGEREF _Toc63685989 \h </w:instrText>
            </w:r>
            <w:r>
              <w:rPr>
                <w:noProof/>
                <w:webHidden/>
              </w:rPr>
            </w:r>
            <w:r>
              <w:rPr>
                <w:noProof/>
                <w:webHidden/>
              </w:rPr>
              <w:fldChar w:fldCharType="separate"/>
            </w:r>
            <w:r>
              <w:rPr>
                <w:noProof/>
                <w:webHidden/>
              </w:rPr>
              <w:t>77</w:t>
            </w:r>
            <w:r>
              <w:rPr>
                <w:noProof/>
                <w:webHidden/>
              </w:rPr>
              <w:fldChar w:fldCharType="end"/>
            </w:r>
          </w:hyperlink>
        </w:p>
        <w:p w14:paraId="67A8A0BD" w14:textId="77777777" w:rsidR="000C6B7B" w:rsidRDefault="000C6B7B">
          <w:pPr>
            <w:pStyle w:val="TOC2"/>
            <w:tabs>
              <w:tab w:val="left" w:pos="1100"/>
              <w:tab w:val="right" w:leader="dot" w:pos="8990"/>
            </w:tabs>
            <w:rPr>
              <w:rFonts w:asciiTheme="minorHAnsi" w:eastAsiaTheme="minorEastAsia" w:hAnsiTheme="minorHAnsi"/>
              <w:noProof/>
              <w:color w:val="auto"/>
              <w:sz w:val="22"/>
              <w:lang w:val="en-AU" w:eastAsia="en-AU"/>
            </w:rPr>
          </w:pPr>
          <w:hyperlink w:anchor="_Toc63685990" w:history="1">
            <w:r w:rsidRPr="007F434A">
              <w:rPr>
                <w:rStyle w:val="Hyperlink"/>
                <w:noProof/>
                <w14:scene3d>
                  <w14:camera w14:prst="orthographicFront"/>
                  <w14:lightRig w14:rig="threePt" w14:dir="t">
                    <w14:rot w14:lat="0" w14:lon="0" w14:rev="0"/>
                  </w14:lightRig>
                </w14:scene3d>
              </w:rPr>
              <w:t>10.5</w:t>
            </w:r>
            <w:r>
              <w:rPr>
                <w:rFonts w:asciiTheme="minorHAnsi" w:eastAsiaTheme="minorEastAsia" w:hAnsiTheme="minorHAnsi"/>
                <w:noProof/>
                <w:color w:val="auto"/>
                <w:sz w:val="22"/>
                <w:lang w:val="en-AU" w:eastAsia="en-AU"/>
              </w:rPr>
              <w:tab/>
            </w:r>
            <w:r w:rsidRPr="007F434A">
              <w:rPr>
                <w:rStyle w:val="Hyperlink"/>
                <w:noProof/>
              </w:rPr>
              <w:t>Remove fossil fuel subsidies</w:t>
            </w:r>
            <w:r>
              <w:rPr>
                <w:noProof/>
                <w:webHidden/>
              </w:rPr>
              <w:tab/>
            </w:r>
            <w:r>
              <w:rPr>
                <w:noProof/>
                <w:webHidden/>
              </w:rPr>
              <w:fldChar w:fldCharType="begin"/>
            </w:r>
            <w:r>
              <w:rPr>
                <w:noProof/>
                <w:webHidden/>
              </w:rPr>
              <w:instrText xml:space="preserve"> PAGEREF _Toc63685990 \h </w:instrText>
            </w:r>
            <w:r>
              <w:rPr>
                <w:noProof/>
                <w:webHidden/>
              </w:rPr>
            </w:r>
            <w:r>
              <w:rPr>
                <w:noProof/>
                <w:webHidden/>
              </w:rPr>
              <w:fldChar w:fldCharType="separate"/>
            </w:r>
            <w:r>
              <w:rPr>
                <w:noProof/>
                <w:webHidden/>
              </w:rPr>
              <w:t>77</w:t>
            </w:r>
            <w:r>
              <w:rPr>
                <w:noProof/>
                <w:webHidden/>
              </w:rPr>
              <w:fldChar w:fldCharType="end"/>
            </w:r>
          </w:hyperlink>
        </w:p>
        <w:p w14:paraId="4B2B64C7" w14:textId="77777777" w:rsidR="000C6B7B" w:rsidRDefault="000C6B7B">
          <w:pPr>
            <w:pStyle w:val="TOC2"/>
            <w:tabs>
              <w:tab w:val="left" w:pos="1100"/>
              <w:tab w:val="right" w:leader="dot" w:pos="8990"/>
            </w:tabs>
            <w:rPr>
              <w:rFonts w:asciiTheme="minorHAnsi" w:eastAsiaTheme="minorEastAsia" w:hAnsiTheme="minorHAnsi"/>
              <w:noProof/>
              <w:color w:val="auto"/>
              <w:sz w:val="22"/>
              <w:lang w:val="en-AU" w:eastAsia="en-AU"/>
            </w:rPr>
          </w:pPr>
          <w:hyperlink w:anchor="_Toc63685991" w:history="1">
            <w:r w:rsidRPr="007F434A">
              <w:rPr>
                <w:rStyle w:val="Hyperlink"/>
                <w:noProof/>
                <w14:scene3d>
                  <w14:camera w14:prst="orthographicFront"/>
                  <w14:lightRig w14:rig="threePt" w14:dir="t">
                    <w14:rot w14:lat="0" w14:lon="0" w14:rev="0"/>
                  </w14:lightRig>
                </w14:scene3d>
              </w:rPr>
              <w:t>10.6</w:t>
            </w:r>
            <w:r>
              <w:rPr>
                <w:rFonts w:asciiTheme="minorHAnsi" w:eastAsiaTheme="minorEastAsia" w:hAnsiTheme="minorHAnsi"/>
                <w:noProof/>
                <w:color w:val="auto"/>
                <w:sz w:val="22"/>
                <w:lang w:val="en-AU" w:eastAsia="en-AU"/>
              </w:rPr>
              <w:tab/>
            </w:r>
            <w:r w:rsidRPr="007F434A">
              <w:rPr>
                <w:rStyle w:val="Hyperlink"/>
                <w:noProof/>
              </w:rPr>
              <w:t>Use the tax system to encourage healthy practices and fund preventive health care</w:t>
            </w:r>
            <w:r>
              <w:rPr>
                <w:noProof/>
                <w:webHidden/>
              </w:rPr>
              <w:tab/>
            </w:r>
            <w:r>
              <w:rPr>
                <w:noProof/>
                <w:webHidden/>
              </w:rPr>
              <w:fldChar w:fldCharType="begin"/>
            </w:r>
            <w:r>
              <w:rPr>
                <w:noProof/>
                <w:webHidden/>
              </w:rPr>
              <w:instrText xml:space="preserve"> PAGEREF _Toc63685991 \h </w:instrText>
            </w:r>
            <w:r>
              <w:rPr>
                <w:noProof/>
                <w:webHidden/>
              </w:rPr>
            </w:r>
            <w:r>
              <w:rPr>
                <w:noProof/>
                <w:webHidden/>
              </w:rPr>
              <w:fldChar w:fldCharType="separate"/>
            </w:r>
            <w:r>
              <w:rPr>
                <w:noProof/>
                <w:webHidden/>
              </w:rPr>
              <w:t>78</w:t>
            </w:r>
            <w:r>
              <w:rPr>
                <w:noProof/>
                <w:webHidden/>
              </w:rPr>
              <w:fldChar w:fldCharType="end"/>
            </w:r>
          </w:hyperlink>
        </w:p>
        <w:p w14:paraId="50823044" w14:textId="3C6B44C3" w:rsidR="00977074" w:rsidRDefault="00977074" w:rsidP="000C6B7B">
          <w:pPr>
            <w:pStyle w:val="TOC1"/>
          </w:pPr>
          <w:r>
            <w:rPr>
              <w:bCs/>
            </w:rPr>
            <w:fldChar w:fldCharType="end"/>
          </w:r>
          <w:r w:rsidR="0002757C">
            <w:fldChar w:fldCharType="begin"/>
          </w:r>
          <w:r w:rsidR="0002757C">
            <w:instrText xml:space="preserve"> TOC \o "1-3" \h \z \u </w:instrText>
          </w:r>
          <w:r w:rsidR="0002757C">
            <w:fldChar w:fldCharType="separate"/>
          </w:r>
        </w:p>
        <w:p w14:paraId="0CC9C51C" w14:textId="2FF741C7" w:rsidR="0002757C" w:rsidRDefault="0002757C" w:rsidP="000C6B7B">
          <w:pPr>
            <w:pStyle w:val="TOC1"/>
            <w:rPr>
              <w:lang w:val="en-AU" w:eastAsia="en-AU"/>
            </w:rPr>
          </w:pPr>
        </w:p>
        <w:p w14:paraId="440E5F0F" w14:textId="40834F99" w:rsidR="00B753B1" w:rsidRDefault="0002757C">
          <w:pPr>
            <w:rPr>
              <w:b/>
              <w:bCs/>
              <w:noProof/>
            </w:rPr>
          </w:pPr>
          <w:r>
            <w:rPr>
              <w:b/>
              <w:bCs/>
              <w:noProof/>
            </w:rPr>
            <w:fldChar w:fldCharType="end"/>
          </w:r>
        </w:p>
      </w:sdtContent>
    </w:sdt>
    <w:p w14:paraId="086105B7" w14:textId="77777777" w:rsidR="00B753B1" w:rsidRDefault="00B753B1">
      <w:pPr>
        <w:rPr>
          <w:b/>
          <w:bCs/>
          <w:noProof/>
        </w:rPr>
      </w:pPr>
      <w:r>
        <w:rPr>
          <w:b/>
          <w:bCs/>
          <w:noProof/>
        </w:rPr>
        <w:br w:type="page"/>
      </w:r>
    </w:p>
    <w:p w14:paraId="05B0403D" w14:textId="77777777" w:rsidR="0002757C" w:rsidRPr="003A57DB" w:rsidRDefault="0002757C">
      <w:pPr>
        <w:rPr>
          <w:b/>
          <w:bCs/>
          <w:noProof/>
        </w:rPr>
      </w:pPr>
    </w:p>
    <w:p w14:paraId="54C28D61" w14:textId="102935AA" w:rsidR="00161F8E" w:rsidRDefault="00161F8E" w:rsidP="00F13F51">
      <w:pPr>
        <w:pStyle w:val="Heading1"/>
        <w:numPr>
          <w:ilvl w:val="0"/>
          <w:numId w:val="28"/>
        </w:numPr>
      </w:pPr>
      <w:r>
        <w:t xml:space="preserve"> </w:t>
      </w:r>
      <w:bookmarkStart w:id="11" w:name="_Toc63685907"/>
      <w:r>
        <w:t>Executive Summary</w:t>
      </w:r>
      <w:bookmarkEnd w:id="11"/>
    </w:p>
    <w:p w14:paraId="7934FF4A" w14:textId="30B48D40" w:rsidR="38E47A5D" w:rsidRDefault="38E47A5D" w:rsidP="15FEB2D3">
      <w:r>
        <w:t xml:space="preserve">Last year was extraordinary for the devastation wreaked on communities by bushfires, </w:t>
      </w:r>
      <w:r w:rsidR="00504DD5">
        <w:t>COVID-19</w:t>
      </w:r>
      <w:r>
        <w:t xml:space="preserve"> and the deepest recession in almost a century. Also extra</w:t>
      </w:r>
      <w:r w:rsidR="597C9E4C">
        <w:t xml:space="preserve">ordinary were the </w:t>
      </w:r>
      <w:r w:rsidR="19DC00CB">
        <w:t xml:space="preserve">level of </w:t>
      </w:r>
      <w:r w:rsidR="597C9E4C">
        <w:t>cooperation among</w:t>
      </w:r>
      <w:r w:rsidR="1C96A66E">
        <w:t xml:space="preserve"> our</w:t>
      </w:r>
      <w:r w:rsidR="00E65904">
        <w:t xml:space="preserve"> political leaders, community, </w:t>
      </w:r>
      <w:r w:rsidR="597C9E4C">
        <w:t xml:space="preserve">business and unions to overcome these crises, and the fact that </w:t>
      </w:r>
      <w:r w:rsidR="7A2A2BB3">
        <w:t xml:space="preserve">government policies in response to </w:t>
      </w:r>
      <w:r w:rsidR="00504DD5">
        <w:t>COVID-19</w:t>
      </w:r>
      <w:r w:rsidR="7A2A2BB3">
        <w:t xml:space="preserve"> probably reduced poverty and income inequality despite the recession.</w:t>
      </w:r>
      <w:r w:rsidR="597C9E4C">
        <w:t xml:space="preserve"> </w:t>
      </w:r>
      <w:r>
        <w:t xml:space="preserve"> </w:t>
      </w:r>
    </w:p>
    <w:p w14:paraId="0569718E" w14:textId="279BB26D" w:rsidR="147F5BD1" w:rsidRDefault="147F5BD1" w:rsidP="15FEB2D3">
      <w:r>
        <w:t xml:space="preserve">Along with the </w:t>
      </w:r>
      <w:proofErr w:type="spellStart"/>
      <w:r w:rsidR="00A618BF">
        <w:t>JobKeeper</w:t>
      </w:r>
      <w:proofErr w:type="spellEnd"/>
      <w:r>
        <w:t xml:space="preserve"> wage subsidy and eviction moratoria, t</w:t>
      </w:r>
      <w:r w:rsidR="2A5B1B80">
        <w:t xml:space="preserve">he $275 per week Coronavirus Supplement </w:t>
      </w:r>
      <w:r w:rsidR="14E566F7">
        <w:t>played a c</w:t>
      </w:r>
      <w:r w:rsidR="2A5B1B80">
        <w:t xml:space="preserve">ritical </w:t>
      </w:r>
      <w:r w:rsidR="4CC41A6A">
        <w:t>role in</w:t>
      </w:r>
      <w:r w:rsidR="2A5B1B80">
        <w:t xml:space="preserve"> </w:t>
      </w:r>
      <w:r w:rsidR="6B2946A8">
        <w:t>shielding</w:t>
      </w:r>
      <w:r w:rsidR="2A5B1B80">
        <w:t xml:space="preserve"> t</w:t>
      </w:r>
      <w:r w:rsidR="7EAACC7F">
        <w:t>hose affected by the recession – including the 7</w:t>
      </w:r>
      <w:r w:rsidR="201FA37C">
        <w:t>5</w:t>
      </w:r>
      <w:r w:rsidR="7EAACC7F">
        <w:t xml:space="preserve">0,000 people already on unemployment payments – from destitution. </w:t>
      </w:r>
      <w:r w:rsidR="37661D11">
        <w:t>The Centre for Social Research and Methods estimate</w:t>
      </w:r>
      <w:r w:rsidR="4DE61FEE">
        <w:t>s</w:t>
      </w:r>
      <w:r w:rsidR="37661D11">
        <w:t xml:space="preserve"> that the number of people in poverty declined </w:t>
      </w:r>
      <w:hyperlink r:id="rId15">
        <w:r w:rsidR="04DDB1FB" w:rsidRPr="7B33A330">
          <w:rPr>
            <w:rStyle w:val="Hyperlink"/>
            <w:rFonts w:eastAsia="Verdana" w:cs="Verdana"/>
            <w:szCs w:val="20"/>
          </w:rPr>
          <w:t>from 3 million to 2.6 million people</w:t>
        </w:r>
      </w:hyperlink>
      <w:r w:rsidR="04DDB1FB" w:rsidRPr="7B33A330">
        <w:rPr>
          <w:rFonts w:eastAsia="Verdana" w:cs="Verdana"/>
          <w:szCs w:val="20"/>
        </w:rPr>
        <w:t xml:space="preserve"> </w:t>
      </w:r>
      <w:r w:rsidR="70735144" w:rsidRPr="7B33A330">
        <w:rPr>
          <w:rFonts w:eastAsia="Verdana" w:cs="Verdana"/>
          <w:szCs w:val="20"/>
        </w:rPr>
        <w:t>between 2019 and June 2020,</w:t>
      </w:r>
      <w:r w:rsidR="37661D11">
        <w:t xml:space="preserve"> when </w:t>
      </w:r>
      <w:r w:rsidR="11532D2C">
        <w:t xml:space="preserve">without government intervention it would have increased to </w:t>
      </w:r>
      <w:r w:rsidR="23D65E20">
        <w:t>5.8 million</w:t>
      </w:r>
      <w:r w:rsidR="11532D2C">
        <w:t xml:space="preserve">. Similarly, the Treasury estimated that </w:t>
      </w:r>
      <w:r w:rsidR="2FCC504B">
        <w:t xml:space="preserve">without the </w:t>
      </w:r>
      <w:proofErr w:type="spellStart"/>
      <w:r w:rsidR="00A618BF">
        <w:t>JobKeeper</w:t>
      </w:r>
      <w:proofErr w:type="spellEnd"/>
      <w:r w:rsidR="2FCC504B">
        <w:t xml:space="preserve"> payment, </w:t>
      </w:r>
      <w:r w:rsidR="11532D2C">
        <w:t xml:space="preserve">the unemployment rate would have </w:t>
      </w:r>
      <w:r w:rsidR="3FB32D99">
        <w:t xml:space="preserve">peaked at </w:t>
      </w:r>
      <w:r w:rsidR="3A1C52AE">
        <w:t>15%</w:t>
      </w:r>
      <w:r w:rsidR="19391B30">
        <w:t xml:space="preserve"> rather than 7.5%</w:t>
      </w:r>
      <w:r w:rsidR="219D5EB3">
        <w:t>.</w:t>
      </w:r>
      <w:r w:rsidR="3A1C52AE">
        <w:t xml:space="preserve"> </w:t>
      </w:r>
    </w:p>
    <w:p w14:paraId="0F6C26B0" w14:textId="199B8A8C" w:rsidR="206F5FE8" w:rsidRDefault="206F5FE8" w:rsidP="15FEB2D3">
      <w:r>
        <w:t xml:space="preserve">These policies are </w:t>
      </w:r>
      <w:r w:rsidR="68428069">
        <w:t>emblematic</w:t>
      </w:r>
      <w:r w:rsidR="1AAB82BE">
        <w:t xml:space="preserve"> of the consensus across the community and political spectrum for strong collective action </w:t>
      </w:r>
      <w:r w:rsidR="6409EB69">
        <w:t xml:space="preserve">to protect our health, jobs and incomes in uncertain times. The increase in </w:t>
      </w:r>
      <w:r w:rsidR="11018A35">
        <w:t xml:space="preserve">payments for people who are unemployed, studying or raising a child alone </w:t>
      </w:r>
      <w:proofErr w:type="spellStart"/>
      <w:r w:rsidR="6409EB69">
        <w:t>recognise</w:t>
      </w:r>
      <w:r w:rsidR="75C79865">
        <w:t>d</w:t>
      </w:r>
      <w:proofErr w:type="spellEnd"/>
      <w:r w:rsidR="6409EB69">
        <w:t xml:space="preserve"> </w:t>
      </w:r>
      <w:r w:rsidR="56CDF5F7">
        <w:t xml:space="preserve">the </w:t>
      </w:r>
      <w:r w:rsidR="04AA2782">
        <w:t xml:space="preserve">unacceptable </w:t>
      </w:r>
      <w:r w:rsidR="56CDF5F7">
        <w:t xml:space="preserve">gap between </w:t>
      </w:r>
      <w:r w:rsidR="289B1800">
        <w:t>those</w:t>
      </w:r>
      <w:r w:rsidR="56CDF5F7">
        <w:t xml:space="preserve"> payments and people</w:t>
      </w:r>
      <w:r w:rsidR="295965D0">
        <w:t>'s</w:t>
      </w:r>
      <w:r w:rsidR="56CDF5F7">
        <w:t xml:space="preserve"> basic living costs</w:t>
      </w:r>
      <w:r w:rsidR="6409EB69">
        <w:t xml:space="preserve">, </w:t>
      </w:r>
      <w:r w:rsidR="45A3CAF5">
        <w:t>build</w:t>
      </w:r>
      <w:r w:rsidR="20709B56">
        <w:t xml:space="preserve">ing on </w:t>
      </w:r>
      <w:r w:rsidR="45A3CAF5">
        <w:t xml:space="preserve">a consensus across business, </w:t>
      </w:r>
      <w:r w:rsidR="00E65904">
        <w:t xml:space="preserve">community, </w:t>
      </w:r>
      <w:r w:rsidR="45A3CAF5">
        <w:t xml:space="preserve">unions and </w:t>
      </w:r>
      <w:proofErr w:type="spellStart"/>
      <w:r w:rsidR="00E65904">
        <w:t>labour</w:t>
      </w:r>
      <w:proofErr w:type="spellEnd"/>
      <w:r w:rsidR="00E65904">
        <w:t xml:space="preserve"> market and social policy experts </w:t>
      </w:r>
      <w:r w:rsidR="45A3CAF5">
        <w:t xml:space="preserve">that the payment was </w:t>
      </w:r>
      <w:r w:rsidR="4B862F37">
        <w:t xml:space="preserve">grossly </w:t>
      </w:r>
      <w:r w:rsidR="45A3CAF5">
        <w:t>inadequa</w:t>
      </w:r>
      <w:r w:rsidR="301DF070">
        <w:t>te.</w:t>
      </w:r>
    </w:p>
    <w:p w14:paraId="6704EFD5" w14:textId="7F1EDC78" w:rsidR="00E65904" w:rsidRDefault="00E65904" w:rsidP="7B33A330">
      <w:r>
        <w:t xml:space="preserve">There have been </w:t>
      </w:r>
      <w:r w:rsidR="07F2F74E">
        <w:t xml:space="preserve">welcome reductions in </w:t>
      </w:r>
      <w:r w:rsidR="00504DD5">
        <w:t>COVID-19</w:t>
      </w:r>
      <w:r w:rsidR="07F2F74E">
        <w:t xml:space="preserve"> </w:t>
      </w:r>
      <w:r w:rsidR="2E0AA160">
        <w:t>infections</w:t>
      </w:r>
      <w:r w:rsidR="15B4E58E">
        <w:t xml:space="preserve"> and s</w:t>
      </w:r>
      <w:r w:rsidR="1C578A0F">
        <w:t>olid</w:t>
      </w:r>
      <w:r w:rsidR="15B4E58E">
        <w:t xml:space="preserve"> employment growth in recent months. </w:t>
      </w:r>
      <w:r>
        <w:t xml:space="preserve">However, the need for resolute government action to protect lives and livelihoods remains. </w:t>
      </w:r>
      <w:r w:rsidR="5837D196">
        <w:t xml:space="preserve">The second wave of </w:t>
      </w:r>
      <w:r w:rsidR="00504DD5">
        <w:t>COVID-19</w:t>
      </w:r>
      <w:r w:rsidR="5837D196">
        <w:t xml:space="preserve"> across the world in late 2020, </w:t>
      </w:r>
      <w:r>
        <w:t xml:space="preserve">ongoing domestic breakouts, lockdowns and border closures, </w:t>
      </w:r>
      <w:r w:rsidR="5837D196">
        <w:t>and the fact that 40% of fulltime jobs lost in the recession have not yet been restored</w:t>
      </w:r>
      <w:r w:rsidR="493170F5">
        <w:t xml:space="preserve">, </w:t>
      </w:r>
      <w:r w:rsidR="52A1CC4A">
        <w:t xml:space="preserve">are </w:t>
      </w:r>
      <w:r w:rsidR="7F8DBFEC">
        <w:t>warn</w:t>
      </w:r>
      <w:r w:rsidR="3D1B298C">
        <w:t>ings to government t</w:t>
      </w:r>
      <w:r w:rsidR="7F8DBFEC">
        <w:t xml:space="preserve">o exercise caution </w:t>
      </w:r>
      <w:r w:rsidR="706235E7">
        <w:t>in winding back economic stimulus</w:t>
      </w:r>
      <w:r w:rsidR="493170F5">
        <w:t>.</w:t>
      </w:r>
      <w:r w:rsidR="0C3DA487">
        <w:t xml:space="preserve"> </w:t>
      </w:r>
    </w:p>
    <w:p w14:paraId="43515EF6" w14:textId="33951CD9" w:rsidR="46EA0402" w:rsidRDefault="00E65904" w:rsidP="7B33A330">
      <w:r>
        <w:t xml:space="preserve">Further, the crisis of 2020 </w:t>
      </w:r>
      <w:r w:rsidR="00515F9E">
        <w:t>highlighted</w:t>
      </w:r>
      <w:r>
        <w:t xml:space="preserve"> glaring vulnerabilities in our social and economic protections</w:t>
      </w:r>
      <w:r w:rsidR="00375865">
        <w:t>;</w:t>
      </w:r>
      <w:r>
        <w:t xml:space="preserve"> notably the grossly inadequate levels of </w:t>
      </w:r>
      <w:proofErr w:type="spellStart"/>
      <w:r>
        <w:t>JobSeeker</w:t>
      </w:r>
      <w:proofErr w:type="spellEnd"/>
      <w:r>
        <w:t xml:space="preserve"> and related social security for people affected by unemployment, and the inadequacy of a range of human service systems, include aged care and child-care. Now is the time to fix these protections for the safety, health and wellbeing of the community. </w:t>
      </w:r>
    </w:p>
    <w:p w14:paraId="64658056" w14:textId="570D67B3" w:rsidR="46EA0402" w:rsidRDefault="145E1678" w:rsidP="7B33A330">
      <w:r>
        <w:t>Australia is in a relatively strong position</w:t>
      </w:r>
      <w:r w:rsidR="01AE856E">
        <w:t xml:space="preserve"> now b</w:t>
      </w:r>
      <w:r>
        <w:t xml:space="preserve">ecause </w:t>
      </w:r>
      <w:r w:rsidR="78A722E4">
        <w:t>governments</w:t>
      </w:r>
      <w:r w:rsidR="30D337DA">
        <w:t xml:space="preserve"> </w:t>
      </w:r>
      <w:r w:rsidR="78A722E4">
        <w:t>respond</w:t>
      </w:r>
      <w:r w:rsidR="0DEAA95D">
        <w:t>ed</w:t>
      </w:r>
      <w:r w:rsidR="78A722E4">
        <w:t xml:space="preserve"> to the pandemic with bold policies </w:t>
      </w:r>
      <w:r w:rsidR="184D3723">
        <w:t xml:space="preserve">including </w:t>
      </w:r>
      <w:r w:rsidR="78A722E4">
        <w:t xml:space="preserve">social distancing, </w:t>
      </w:r>
      <w:r w:rsidR="2A8D1468">
        <w:t xml:space="preserve">widespread testing and tracing, </w:t>
      </w:r>
      <w:proofErr w:type="spellStart"/>
      <w:r w:rsidR="00A618BF">
        <w:t>JobSeeker</w:t>
      </w:r>
      <w:proofErr w:type="spellEnd"/>
      <w:r w:rsidR="78A722E4">
        <w:t xml:space="preserve"> and </w:t>
      </w:r>
      <w:proofErr w:type="spellStart"/>
      <w:r w:rsidR="00A618BF">
        <w:t>JobKeeper</w:t>
      </w:r>
      <w:proofErr w:type="spellEnd"/>
      <w:r w:rsidR="00E65904">
        <w:t>, and housing-related protections</w:t>
      </w:r>
      <w:r w:rsidR="3479814A">
        <w:t xml:space="preserve">. </w:t>
      </w:r>
      <w:r w:rsidR="1FB41652">
        <w:t xml:space="preserve">In the absence of these policies, </w:t>
      </w:r>
      <w:r w:rsidR="6D582BC6">
        <w:t>many more people would have died</w:t>
      </w:r>
      <w:r w:rsidR="00375865">
        <w:t>,</w:t>
      </w:r>
      <w:r w:rsidR="6D582BC6">
        <w:t xml:space="preserve"> and </w:t>
      </w:r>
      <w:r w:rsidR="1FB41652">
        <w:t>p</w:t>
      </w:r>
      <w:r w:rsidR="00CCDFE0">
        <w:t xml:space="preserve">overty </w:t>
      </w:r>
      <w:r w:rsidR="00375865">
        <w:t>as well as</w:t>
      </w:r>
      <w:r w:rsidR="00CCDFE0">
        <w:t xml:space="preserve"> income and wealth inequality would have </w:t>
      </w:r>
      <w:r w:rsidR="0A9D1054">
        <w:t>risen</w:t>
      </w:r>
      <w:r w:rsidR="00CCDFE0">
        <w:t xml:space="preserve"> dramatically</w:t>
      </w:r>
      <w:r w:rsidR="3ABF91CE">
        <w:t>. Th</w:t>
      </w:r>
      <w:r w:rsidR="733A9008">
        <w:t>at</w:t>
      </w:r>
      <w:r w:rsidR="3ABF91CE">
        <w:t xml:space="preserve"> could still happen </w:t>
      </w:r>
      <w:r w:rsidR="3A0D3A86">
        <w:t>if income supports and economic stimulus are withdrawn</w:t>
      </w:r>
      <w:r w:rsidR="3536CB0E">
        <w:t xml:space="preserve"> now</w:t>
      </w:r>
      <w:r w:rsidR="3A0D3A86">
        <w:t>.</w:t>
      </w:r>
      <w:r w:rsidR="3928AE76">
        <w:t xml:space="preserve"> </w:t>
      </w:r>
    </w:p>
    <w:p w14:paraId="2FD320C9" w14:textId="7C6F8952" w:rsidR="7A63EB3C" w:rsidRDefault="7A63EB3C" w:rsidP="15FEB2D3">
      <w:r>
        <w:t>Just as it</w:t>
      </w:r>
      <w:r w:rsidR="1F505B46">
        <w:t xml:space="preserve"> i</w:t>
      </w:r>
      <w:r>
        <w:t xml:space="preserve">s not safe to remove all </w:t>
      </w:r>
      <w:r w:rsidR="00504DD5">
        <w:t>COVID-19</w:t>
      </w:r>
      <w:r>
        <w:t xml:space="preserve"> restrictions until we know whether vaccines are effective, it is </w:t>
      </w:r>
      <w:r w:rsidR="4783CE8F">
        <w:t xml:space="preserve">not </w:t>
      </w:r>
      <w:r>
        <w:t xml:space="preserve">safe </w:t>
      </w:r>
      <w:r w:rsidR="4318973B">
        <w:t xml:space="preserve">to rely </w:t>
      </w:r>
      <w:r w:rsidR="6D9EA2E5">
        <w:t xml:space="preserve">exclusively </w:t>
      </w:r>
      <w:r w:rsidR="4318973B">
        <w:t xml:space="preserve">on a </w:t>
      </w:r>
      <w:r w:rsidR="36E0DE53">
        <w:t xml:space="preserve">surge </w:t>
      </w:r>
      <w:r w:rsidR="4318973B">
        <w:t xml:space="preserve">of private investment or </w:t>
      </w:r>
      <w:r w:rsidR="034675EB">
        <w:t>consumer</w:t>
      </w:r>
      <w:r w:rsidR="5219EF0A">
        <w:t xml:space="preserve"> </w:t>
      </w:r>
      <w:r w:rsidR="4318973B">
        <w:t xml:space="preserve">spending </w:t>
      </w:r>
      <w:r w:rsidR="00B159AB">
        <w:t xml:space="preserve">driven </w:t>
      </w:r>
      <w:r w:rsidR="004F766F">
        <w:t>by</w:t>
      </w:r>
      <w:r w:rsidR="4318973B">
        <w:t xml:space="preserve"> tax cuts</w:t>
      </w:r>
      <w:r w:rsidR="004F766F">
        <w:t xml:space="preserve"> for</w:t>
      </w:r>
      <w:r w:rsidR="4318973B">
        <w:t xml:space="preserve"> high income earners who can afford to save them, to deliver a </w:t>
      </w:r>
      <w:r w:rsidR="2B31B14D">
        <w:t xml:space="preserve">quick and </w:t>
      </w:r>
      <w:r w:rsidR="4318973B">
        <w:t xml:space="preserve">robust recovery.  </w:t>
      </w:r>
    </w:p>
    <w:p w14:paraId="18FC310D" w14:textId="77777777" w:rsidR="00B753B1" w:rsidRDefault="74888FB6" w:rsidP="15FEB2D3">
      <w:r>
        <w:t xml:space="preserve">The </w:t>
      </w:r>
      <w:r w:rsidR="00E65904">
        <w:t>Federal Government</w:t>
      </w:r>
      <w:r w:rsidR="5CC15E70">
        <w:t xml:space="preserve"> </w:t>
      </w:r>
      <w:r w:rsidR="0F126ECD">
        <w:t xml:space="preserve">should take </w:t>
      </w:r>
      <w:r w:rsidR="0D92A597">
        <w:t xml:space="preserve">a </w:t>
      </w:r>
      <w:r>
        <w:t xml:space="preserve">more </w:t>
      </w:r>
      <w:r w:rsidR="6EA02C88">
        <w:t xml:space="preserve">active and </w:t>
      </w:r>
      <w:r>
        <w:t xml:space="preserve">ambitious </w:t>
      </w:r>
      <w:r w:rsidR="115DD68F">
        <w:t>approach to restoring employment.</w:t>
      </w:r>
      <w:r>
        <w:t xml:space="preserve"> </w:t>
      </w:r>
      <w:r w:rsidR="0A480BEC">
        <w:t>It</w:t>
      </w:r>
      <w:r w:rsidR="23AA1283">
        <w:t xml:space="preserve"> should </w:t>
      </w:r>
      <w:r w:rsidR="5B87D1C0">
        <w:t xml:space="preserve">aim </w:t>
      </w:r>
      <w:r w:rsidR="44579FEA">
        <w:t xml:space="preserve">to </w:t>
      </w:r>
      <w:r w:rsidR="606A8ED9">
        <w:t xml:space="preserve">bring </w:t>
      </w:r>
      <w:r w:rsidR="44579FEA">
        <w:t xml:space="preserve">unemployment </w:t>
      </w:r>
      <w:r w:rsidR="0F1E6DBA">
        <w:t xml:space="preserve">back </w:t>
      </w:r>
      <w:r w:rsidR="39116D23">
        <w:t xml:space="preserve">to </w:t>
      </w:r>
      <w:r w:rsidR="008A3147">
        <w:t xml:space="preserve">at least </w:t>
      </w:r>
      <w:r w:rsidR="39116D23">
        <w:t xml:space="preserve">5% or less </w:t>
      </w:r>
      <w:r w:rsidR="1F8E1B00">
        <w:t>by the end of the next financial year (</w:t>
      </w:r>
      <w:r w:rsidR="00843680">
        <w:t>June</w:t>
      </w:r>
      <w:r w:rsidR="1F8E1B00">
        <w:t xml:space="preserve"> 2022)</w:t>
      </w:r>
      <w:r w:rsidR="300D5CD5">
        <w:t xml:space="preserve"> rather than </w:t>
      </w:r>
      <w:r w:rsidR="00843680">
        <w:t xml:space="preserve">below 6% in </w:t>
      </w:r>
      <w:r w:rsidR="300D5CD5">
        <w:t>four</w:t>
      </w:r>
      <w:r w:rsidR="77FB82C9">
        <w:t xml:space="preserve"> years</w:t>
      </w:r>
      <w:r w:rsidR="43BD2EDE">
        <w:t xml:space="preserve"> </w:t>
      </w:r>
      <w:r w:rsidR="00843680">
        <w:t xml:space="preserve">as </w:t>
      </w:r>
      <w:r w:rsidR="43BD2EDE">
        <w:t>currently projected</w:t>
      </w:r>
      <w:r w:rsidR="00843680">
        <w:t xml:space="preserve"> in the MYEFO last year. </w:t>
      </w:r>
    </w:p>
    <w:p w14:paraId="5058C395" w14:textId="1DF285EF" w:rsidR="008A3147" w:rsidRDefault="00843680" w:rsidP="15FEB2D3">
      <w:r>
        <w:lastRenderedPageBreak/>
        <w:t>The government should</w:t>
      </w:r>
      <w:r w:rsidR="44579FEA">
        <w:t xml:space="preserve"> make the direct invest</w:t>
      </w:r>
      <w:r w:rsidR="390FD92A">
        <w:t>m</w:t>
      </w:r>
      <w:r w:rsidR="44579FEA">
        <w:t>ents in income support, services, and public infras</w:t>
      </w:r>
      <w:r w:rsidR="2F954481">
        <w:t>tr</w:t>
      </w:r>
      <w:r w:rsidR="44579FEA">
        <w:t>ucture tha</w:t>
      </w:r>
      <w:r w:rsidR="2582B6CC">
        <w:t xml:space="preserve">t </w:t>
      </w:r>
      <w:r w:rsidR="6FD2B7D3">
        <w:t>will</w:t>
      </w:r>
      <w:r w:rsidR="2582B6CC">
        <w:t xml:space="preserve"> be </w:t>
      </w:r>
      <w:r w:rsidR="276216D9">
        <w:t>needed to get there.</w:t>
      </w:r>
      <w:r w:rsidR="15EE00E3">
        <w:t xml:space="preserve"> </w:t>
      </w:r>
      <w:r w:rsidR="008A3147">
        <w:t xml:space="preserve"> </w:t>
      </w:r>
    </w:p>
    <w:p w14:paraId="317A850D" w14:textId="2199FE50" w:rsidR="008A3147" w:rsidRDefault="008A3147" w:rsidP="15FEB2D3">
      <w:r>
        <w:t xml:space="preserve">All </w:t>
      </w:r>
      <w:r w:rsidR="355F7863">
        <w:t xml:space="preserve">budget decisions </w:t>
      </w:r>
      <w:r>
        <w:t>should be the most effective, high value measures to deliver on our national priorities:</w:t>
      </w:r>
    </w:p>
    <w:p w14:paraId="20E490A4" w14:textId="27BD6DFF" w:rsidR="008A3147" w:rsidRPr="00375865" w:rsidRDefault="008A3147" w:rsidP="004F766F">
      <w:pPr>
        <w:pStyle w:val="ListParagraph"/>
        <w:numPr>
          <w:ilvl w:val="0"/>
          <w:numId w:val="53"/>
        </w:numPr>
      </w:pPr>
      <w:r w:rsidRPr="00C91272">
        <w:t>Relieving financ</w:t>
      </w:r>
      <w:r w:rsidR="00C91272" w:rsidRPr="00C91272">
        <w:t>ial</w:t>
      </w:r>
      <w:r w:rsidRPr="00375865">
        <w:t xml:space="preserve"> and mental stress amongst people worst affected</w:t>
      </w:r>
    </w:p>
    <w:p w14:paraId="6D3325B1" w14:textId="5010B200" w:rsidR="008A3147" w:rsidRPr="004F766F" w:rsidRDefault="008A3147" w:rsidP="004F766F">
      <w:pPr>
        <w:pStyle w:val="ListParagraph"/>
        <w:numPr>
          <w:ilvl w:val="0"/>
          <w:numId w:val="53"/>
        </w:numPr>
      </w:pPr>
      <w:r w:rsidRPr="004F766F">
        <w:t>Restoring growth in jobs and incomes</w:t>
      </w:r>
    </w:p>
    <w:p w14:paraId="2B898BA2" w14:textId="3804F997" w:rsidR="008A3147" w:rsidRPr="004F766F" w:rsidRDefault="008A3147" w:rsidP="004F766F">
      <w:pPr>
        <w:pStyle w:val="ListParagraph"/>
        <w:numPr>
          <w:ilvl w:val="0"/>
          <w:numId w:val="53"/>
        </w:numPr>
        <w:rPr>
          <w:bCs w:val="0"/>
        </w:rPr>
      </w:pPr>
      <w:r w:rsidRPr="004F766F">
        <w:t>Reducing carbon emissions, ensure no-one is left behind the energy transition and prepare communities for more extreme weather events</w:t>
      </w:r>
    </w:p>
    <w:p w14:paraId="561DAA8A" w14:textId="77777777" w:rsidR="008A3147" w:rsidRPr="00C91272" w:rsidRDefault="008A3147" w:rsidP="004F766F">
      <w:pPr>
        <w:pStyle w:val="ListParagraph"/>
        <w:numPr>
          <w:ilvl w:val="0"/>
          <w:numId w:val="53"/>
        </w:numPr>
        <w:rPr>
          <w:bCs w:val="0"/>
        </w:rPr>
      </w:pPr>
      <w:r w:rsidRPr="004F766F">
        <w:t>Guaranteeing high quality essential services</w:t>
      </w:r>
    </w:p>
    <w:p w14:paraId="4AE5BDBA" w14:textId="3AE8BAB0" w:rsidR="008A3147" w:rsidRPr="008A3147" w:rsidRDefault="008A3147" w:rsidP="004F766F">
      <w:pPr>
        <w:pStyle w:val="ListParagraph"/>
        <w:numPr>
          <w:ilvl w:val="0"/>
          <w:numId w:val="53"/>
        </w:numPr>
      </w:pPr>
      <w:r w:rsidRPr="00375865">
        <w:rPr>
          <w:bCs w:val="0"/>
          <w:szCs w:val="22"/>
        </w:rPr>
        <w:t>W</w:t>
      </w:r>
      <w:r w:rsidRPr="00375865">
        <w:t>orking with First Nations communities to acknowledge and redress the devastating</w:t>
      </w:r>
      <w:r>
        <w:t xml:space="preserve"> impacts of European invasion and settlement</w:t>
      </w:r>
    </w:p>
    <w:p w14:paraId="1DCE048A" w14:textId="0D074277" w:rsidR="008A3147" w:rsidRDefault="008A3147" w:rsidP="004F766F">
      <w:pPr>
        <w:pStyle w:val="ListParagraph"/>
        <w:numPr>
          <w:ilvl w:val="0"/>
          <w:numId w:val="53"/>
        </w:numPr>
      </w:pPr>
      <w:r>
        <w:t xml:space="preserve">Strengthening our public revenue base to meet current and future needs. </w:t>
      </w:r>
    </w:p>
    <w:p w14:paraId="4357D83A" w14:textId="39D90423" w:rsidR="65564E7E" w:rsidRDefault="008A3147" w:rsidP="7B33A330">
      <w:r>
        <w:t>The</w:t>
      </w:r>
      <w:r w:rsidR="7537254B">
        <w:t xml:space="preserve"> </w:t>
      </w:r>
      <w:r w:rsidR="083CE81D">
        <w:t xml:space="preserve">same </w:t>
      </w:r>
      <w:r w:rsidR="7537254B">
        <w:t xml:space="preserve">policy </w:t>
      </w:r>
      <w:proofErr w:type="spellStart"/>
      <w:r w:rsidR="7537254B">
        <w:t>vigour</w:t>
      </w:r>
      <w:proofErr w:type="spellEnd"/>
      <w:r w:rsidR="7537254B">
        <w:t xml:space="preserve"> and community consensus that have </w:t>
      </w:r>
      <w:r w:rsidR="7CEE18A0">
        <w:t xml:space="preserve">saved lives and jobs in the face of the pandemic should </w:t>
      </w:r>
      <w:r>
        <w:t xml:space="preserve">now </w:t>
      </w:r>
      <w:r w:rsidR="7CEE18A0">
        <w:t xml:space="preserve">be applied to </w:t>
      </w:r>
      <w:r>
        <w:t xml:space="preserve">these </w:t>
      </w:r>
      <w:r w:rsidR="7CEE18A0">
        <w:t xml:space="preserve">major challenges </w:t>
      </w:r>
      <w:r w:rsidR="34396CA2">
        <w:t>we still face</w:t>
      </w:r>
      <w:r>
        <w:t xml:space="preserve">. </w:t>
      </w:r>
      <w:r w:rsidR="66C11986">
        <w:t xml:space="preserve"> </w:t>
      </w:r>
    </w:p>
    <w:p w14:paraId="45EAC3A7" w14:textId="04634E4A" w:rsidR="003520E9" w:rsidRPr="003520E9" w:rsidRDefault="008A3147" w:rsidP="003520E9">
      <w:pPr>
        <w:pStyle w:val="Heading2"/>
        <w:numPr>
          <w:ilvl w:val="1"/>
          <w:numId w:val="28"/>
        </w:numPr>
      </w:pPr>
      <w:bookmarkStart w:id="12" w:name="_Toc63685908"/>
      <w:r>
        <w:t>Six</w:t>
      </w:r>
      <w:r w:rsidR="00D60DF4">
        <w:t xml:space="preserve"> steps to </w:t>
      </w:r>
      <w:r w:rsidR="00D60DF4" w:rsidRPr="00F468D6">
        <w:t>recovery</w:t>
      </w:r>
      <w:r w:rsidR="00D60DF4">
        <w:t xml:space="preserve"> and </w:t>
      </w:r>
      <w:r w:rsidR="00D60DF4" w:rsidRPr="003520E9">
        <w:t>renewal</w:t>
      </w:r>
      <w:bookmarkEnd w:id="12"/>
    </w:p>
    <w:p w14:paraId="75C1850A" w14:textId="4493A096" w:rsidR="7D212995" w:rsidRDefault="7D212995" w:rsidP="15FEB2D3">
      <w:r>
        <w:t xml:space="preserve">In </w:t>
      </w:r>
      <w:r w:rsidR="1298BCCD">
        <w:t xml:space="preserve">this Budget, the government should map </w:t>
      </w:r>
      <w:r w:rsidR="00C91272">
        <w:t xml:space="preserve">six </w:t>
      </w:r>
      <w:r w:rsidR="445AEF00">
        <w:t xml:space="preserve">steps to </w:t>
      </w:r>
      <w:r w:rsidR="671961AD">
        <w:t xml:space="preserve">achieve a </w:t>
      </w:r>
      <w:r w:rsidR="6618FB70">
        <w:t xml:space="preserve">sustainable </w:t>
      </w:r>
      <w:r w:rsidR="445AEF00">
        <w:t>recovery of e</w:t>
      </w:r>
      <w:r w:rsidR="30735E03">
        <w:t>mployment</w:t>
      </w:r>
      <w:r w:rsidR="172DDF46">
        <w:t xml:space="preserve"> and</w:t>
      </w:r>
      <w:r w:rsidR="445AEF00">
        <w:t xml:space="preserve"> incomes</w:t>
      </w:r>
      <w:r w:rsidR="5615B777">
        <w:t xml:space="preserve">, </w:t>
      </w:r>
      <w:r w:rsidR="73F90FC4">
        <w:t xml:space="preserve">reduce carbon emissions and </w:t>
      </w:r>
      <w:r w:rsidR="1FD4B23F">
        <w:t xml:space="preserve">deal with </w:t>
      </w:r>
      <w:r w:rsidR="73F90FC4">
        <w:t xml:space="preserve">the effects of climate change, </w:t>
      </w:r>
      <w:r w:rsidR="60B2CB49">
        <w:t xml:space="preserve">guarantee essential </w:t>
      </w:r>
      <w:r w:rsidR="5615B777">
        <w:t>services</w:t>
      </w:r>
      <w:r w:rsidR="48FD32CE">
        <w:t xml:space="preserve">, and restore the public revenue base that makes these </w:t>
      </w:r>
      <w:r w:rsidR="39BC9A8A">
        <w:t>achievements</w:t>
      </w:r>
      <w:r w:rsidR="48FD32CE">
        <w:t xml:space="preserve"> possible.</w:t>
      </w:r>
      <w:r w:rsidR="445AEF00">
        <w:t xml:space="preserve">  </w:t>
      </w:r>
    </w:p>
    <w:p w14:paraId="6C0230D3" w14:textId="256AFD54" w:rsidR="7398E400" w:rsidRDefault="7398E400" w:rsidP="15FEB2D3">
      <w:r>
        <w:t xml:space="preserve">First, </w:t>
      </w:r>
      <w:r w:rsidR="2F119A8D">
        <w:t xml:space="preserve">take urgent action to </w:t>
      </w:r>
      <w:r w:rsidR="20883BB0" w:rsidRPr="1F64CA26">
        <w:rPr>
          <w:b/>
          <w:bCs/>
        </w:rPr>
        <w:t xml:space="preserve">relieve </w:t>
      </w:r>
      <w:r w:rsidR="1E61061F" w:rsidRPr="1F64CA26">
        <w:rPr>
          <w:b/>
          <w:bCs/>
        </w:rPr>
        <w:t>financial a</w:t>
      </w:r>
      <w:r w:rsidR="20883BB0" w:rsidRPr="1F64CA26">
        <w:rPr>
          <w:b/>
          <w:bCs/>
        </w:rPr>
        <w:t xml:space="preserve">nd mental stress among </w:t>
      </w:r>
      <w:r w:rsidR="67DE37B1" w:rsidRPr="1F64CA26">
        <w:rPr>
          <w:b/>
          <w:bCs/>
        </w:rPr>
        <w:t>those worst affected</w:t>
      </w:r>
      <w:r w:rsidR="5387DE0A">
        <w:t>:</w:t>
      </w:r>
    </w:p>
    <w:p w14:paraId="1A568ED8" w14:textId="2DFE7257" w:rsidR="16E73D8D" w:rsidRPr="002155F2" w:rsidRDefault="16E73D8D" w:rsidP="00F13F51">
      <w:pPr>
        <w:pStyle w:val="ListParagraph"/>
        <w:numPr>
          <w:ilvl w:val="0"/>
          <w:numId w:val="29"/>
        </w:numPr>
        <w:rPr>
          <w:rFonts w:asciiTheme="minorHAnsi" w:eastAsiaTheme="minorEastAsia" w:hAnsiTheme="minorHAnsi"/>
        </w:rPr>
      </w:pPr>
      <w:r w:rsidRPr="002155F2">
        <w:t>Pe</w:t>
      </w:r>
      <w:r w:rsidR="5387DE0A" w:rsidRPr="002155F2">
        <w:t xml:space="preserve">rmanently </w:t>
      </w:r>
      <w:r w:rsidR="5387DE0A" w:rsidRPr="001D137A">
        <w:t>increase</w:t>
      </w:r>
      <w:r w:rsidR="5E8E3D73" w:rsidRPr="001D137A">
        <w:t xml:space="preserve"> </w:t>
      </w:r>
      <w:proofErr w:type="spellStart"/>
      <w:r w:rsidR="00A618BF" w:rsidRPr="001D137A">
        <w:t>JobSeeker</w:t>
      </w:r>
      <w:proofErr w:type="spellEnd"/>
      <w:r w:rsidR="5E8E3D73" w:rsidRPr="001D137A">
        <w:t xml:space="preserve">, Youth Allowance and other allowance payments </w:t>
      </w:r>
      <w:r w:rsidR="5387DE0A" w:rsidRPr="00945D9C">
        <w:t>to pension levels and properly index</w:t>
      </w:r>
      <w:r w:rsidR="7FE0B8CD" w:rsidRPr="00945D9C">
        <w:t xml:space="preserve"> them, </w:t>
      </w:r>
      <w:r w:rsidR="616654BA" w:rsidRPr="00945D9C">
        <w:t>t</w:t>
      </w:r>
      <w:r w:rsidR="616654BA" w:rsidRPr="001D137A">
        <w:rPr>
          <w:rFonts w:eastAsia="Verdana" w:cs="Verdana"/>
        </w:rPr>
        <w:t xml:space="preserve">o protect the 1.4 million people on </w:t>
      </w:r>
      <w:r w:rsidR="79614DC2" w:rsidRPr="001D137A">
        <w:rPr>
          <w:rFonts w:eastAsia="Verdana" w:cs="Verdana"/>
        </w:rPr>
        <w:t xml:space="preserve">those payments </w:t>
      </w:r>
      <w:r w:rsidR="616654BA" w:rsidRPr="001D137A">
        <w:rPr>
          <w:rFonts w:eastAsia="Verdana" w:cs="Verdana"/>
        </w:rPr>
        <w:t>from poverty</w:t>
      </w:r>
      <w:r w:rsidR="001D137A">
        <w:rPr>
          <w:rFonts w:eastAsia="Verdana" w:cs="Verdana"/>
        </w:rPr>
        <w:t>;</w:t>
      </w:r>
    </w:p>
    <w:p w14:paraId="46F8CFE3" w14:textId="6B0574A4" w:rsidR="7788938D" w:rsidRPr="002155F2" w:rsidRDefault="7788938D" w:rsidP="00F13F51">
      <w:pPr>
        <w:pStyle w:val="ListParagraph"/>
        <w:numPr>
          <w:ilvl w:val="0"/>
          <w:numId w:val="29"/>
        </w:numPr>
        <w:rPr>
          <w:rFonts w:asciiTheme="minorHAnsi" w:hAnsiTheme="minorHAnsi"/>
        </w:rPr>
      </w:pPr>
      <w:r w:rsidRPr="002155F2">
        <w:t xml:space="preserve">Extend and improve supplementary payments for </w:t>
      </w:r>
      <w:r w:rsidR="7719CAE3" w:rsidRPr="002155F2">
        <w:t>additional living costs including p</w:t>
      </w:r>
      <w:r w:rsidRPr="002155F2">
        <w:t>rivate rent</w:t>
      </w:r>
      <w:r w:rsidR="7AC2FB4C" w:rsidRPr="002155F2">
        <w:t>s</w:t>
      </w:r>
      <w:r w:rsidRPr="002155F2">
        <w:t xml:space="preserve">, </w:t>
      </w:r>
      <w:r w:rsidR="435E59A2" w:rsidRPr="002155F2">
        <w:t xml:space="preserve">and </w:t>
      </w:r>
      <w:r w:rsidRPr="002155F2">
        <w:t>the costs of sole parenthood and disability</w:t>
      </w:r>
      <w:r w:rsidR="02473EDF" w:rsidRPr="002155F2">
        <w:t>;</w:t>
      </w:r>
      <w:r w:rsidRPr="002155F2">
        <w:t xml:space="preserve"> </w:t>
      </w:r>
    </w:p>
    <w:p w14:paraId="240B7C76" w14:textId="77777777" w:rsidR="00473298" w:rsidRDefault="78EFE5C2" w:rsidP="00F13F51">
      <w:pPr>
        <w:pStyle w:val="ListParagraph"/>
        <w:numPr>
          <w:ilvl w:val="0"/>
          <w:numId w:val="29"/>
        </w:numPr>
      </w:pPr>
      <w:r w:rsidRPr="002155F2">
        <w:t xml:space="preserve">Remove </w:t>
      </w:r>
      <w:r w:rsidR="1FB4D437" w:rsidRPr="002155F2">
        <w:t xml:space="preserve">unwarranted barriers to income support </w:t>
      </w:r>
      <w:r w:rsidR="6E3D55C4" w:rsidRPr="002155F2">
        <w:t xml:space="preserve">including </w:t>
      </w:r>
      <w:r w:rsidR="1FB4D437" w:rsidRPr="002155F2">
        <w:t>cashless welfare cards</w:t>
      </w:r>
      <w:r w:rsidR="0BDAAA99" w:rsidRPr="002155F2">
        <w:t>,</w:t>
      </w:r>
      <w:r w:rsidR="1FB4D437" w:rsidRPr="002155F2">
        <w:t xml:space="preserve"> </w:t>
      </w:r>
      <w:r w:rsidR="34CB401D" w:rsidRPr="002155F2">
        <w:t xml:space="preserve">the </w:t>
      </w:r>
      <w:r w:rsidR="1FB4D437" w:rsidRPr="002155F2">
        <w:t>liquid assets waiting period</w:t>
      </w:r>
      <w:r w:rsidR="7EDA570F" w:rsidRPr="002155F2">
        <w:t>, excessive waiting periods for new migrants, an</w:t>
      </w:r>
      <w:r w:rsidR="1FB4D437" w:rsidRPr="002155F2">
        <w:t xml:space="preserve">d </w:t>
      </w:r>
      <w:r w:rsidRPr="002155F2">
        <w:t>automated suspensions of unemployment payments</w:t>
      </w:r>
      <w:r w:rsidR="5D6A90F9" w:rsidRPr="002155F2">
        <w:t xml:space="preserve"> ($</w:t>
      </w:r>
      <w:r w:rsidR="6DF2922E" w:rsidRPr="002155F2">
        <w:t>250</w:t>
      </w:r>
      <w:r w:rsidR="5D6A90F9" w:rsidRPr="002155F2">
        <w:t xml:space="preserve"> million)</w:t>
      </w:r>
      <w:r w:rsidR="00473298">
        <w:t>;</w:t>
      </w:r>
    </w:p>
    <w:p w14:paraId="5D3CA5C0" w14:textId="21F9F11B" w:rsidR="1F64CA26" w:rsidRDefault="1F64CA26" w:rsidP="1F64CA26"/>
    <w:p w14:paraId="74D60897" w14:textId="03C4148D" w:rsidR="0DDFDB04" w:rsidRDefault="0DDFDB04" w:rsidP="15FEB2D3">
      <w:r>
        <w:t>S</w:t>
      </w:r>
      <w:r w:rsidR="59D1DA98">
        <w:t>econd</w:t>
      </w:r>
      <w:r w:rsidR="71751F21">
        <w:t>,</w:t>
      </w:r>
      <w:r w:rsidR="59D1DA98">
        <w:t xml:space="preserve"> </w:t>
      </w:r>
      <w:r w:rsidR="59D1DA98" w:rsidRPr="1F64CA26">
        <w:rPr>
          <w:b/>
          <w:bCs/>
        </w:rPr>
        <w:t>restore growth in jobs and incomes</w:t>
      </w:r>
      <w:r w:rsidR="59D1DA98">
        <w:t>:</w:t>
      </w:r>
    </w:p>
    <w:p w14:paraId="02FB08B6" w14:textId="0C442E86" w:rsidR="00843680" w:rsidRPr="00843680" w:rsidRDefault="00843680" w:rsidP="00843680">
      <w:pPr>
        <w:pStyle w:val="ListParagraph"/>
        <w:rPr>
          <w:rFonts w:asciiTheme="minorHAnsi" w:eastAsiaTheme="minorEastAsia" w:hAnsiTheme="minorHAnsi"/>
        </w:rPr>
      </w:pPr>
      <w:r w:rsidRPr="00843680">
        <w:t>Set a goal to reduce unemployment below to 5% by the end of next financial year (June 2022);</w:t>
      </w:r>
    </w:p>
    <w:p w14:paraId="7D3D880E" w14:textId="278176BD" w:rsidR="707DFB62" w:rsidRPr="002155F2" w:rsidRDefault="00473298" w:rsidP="00843680">
      <w:pPr>
        <w:pStyle w:val="ListParagraph"/>
        <w:rPr>
          <w:rFonts w:asciiTheme="minorHAnsi" w:eastAsiaTheme="minorEastAsia" w:hAnsiTheme="minorHAnsi"/>
        </w:rPr>
      </w:pPr>
      <w:r>
        <w:t>Make</w:t>
      </w:r>
      <w:r w:rsidR="0FCBF203" w:rsidRPr="002155F2">
        <w:t xml:space="preserve"> t</w:t>
      </w:r>
      <w:r w:rsidR="60E346FD" w:rsidRPr="002155F2">
        <w:t xml:space="preserve">he above </w:t>
      </w:r>
      <w:r w:rsidR="343DBD0A" w:rsidRPr="002155F2">
        <w:t>improvements</w:t>
      </w:r>
      <w:r w:rsidR="2FA5CC89" w:rsidRPr="002155F2">
        <w:t xml:space="preserve"> in</w:t>
      </w:r>
      <w:r w:rsidR="707DFB62" w:rsidRPr="002155F2">
        <w:t xml:space="preserve"> inc</w:t>
      </w:r>
      <w:r w:rsidR="6C620D97" w:rsidRPr="002155F2">
        <w:t>ome support</w:t>
      </w:r>
      <w:r w:rsidR="494FE877" w:rsidRPr="002155F2">
        <w:t xml:space="preserve"> </w:t>
      </w:r>
      <w:r w:rsidR="3E86F2CC" w:rsidRPr="002155F2">
        <w:t>for those on the lowest incomes</w:t>
      </w:r>
      <w:r w:rsidR="27430C4C" w:rsidRPr="002155F2">
        <w:t xml:space="preserve">, as </w:t>
      </w:r>
      <w:r w:rsidR="6C620D97" w:rsidRPr="002155F2">
        <w:t xml:space="preserve">the </w:t>
      </w:r>
      <w:r w:rsidR="1F022F16" w:rsidRPr="002155F2">
        <w:t xml:space="preserve">fastest </w:t>
      </w:r>
      <w:r w:rsidR="3F16B08E" w:rsidRPr="002155F2">
        <w:t xml:space="preserve">and surest </w:t>
      </w:r>
      <w:r w:rsidR="6C620D97" w:rsidRPr="002155F2">
        <w:t xml:space="preserve">way to </w:t>
      </w:r>
      <w:r w:rsidR="4F7CF7A6" w:rsidRPr="002155F2">
        <w:t xml:space="preserve">stimulate growth in </w:t>
      </w:r>
      <w:r w:rsidR="7916A973" w:rsidRPr="002155F2">
        <w:t xml:space="preserve">incomes and </w:t>
      </w:r>
      <w:r w:rsidR="4F7CF7A6" w:rsidRPr="002155F2">
        <w:t>employment</w:t>
      </w:r>
      <w:r w:rsidR="07CB671F" w:rsidRPr="002155F2">
        <w:t>;</w:t>
      </w:r>
      <w:r w:rsidR="70AD4DD3" w:rsidRPr="002155F2">
        <w:t xml:space="preserve"> </w:t>
      </w:r>
    </w:p>
    <w:p w14:paraId="3963D501" w14:textId="0F2AA5C1" w:rsidR="0AD33FB2" w:rsidRPr="002155F2" w:rsidRDefault="0AD33FB2" w:rsidP="00843680">
      <w:pPr>
        <w:pStyle w:val="ListParagraph"/>
      </w:pPr>
      <w:r w:rsidRPr="002155F2">
        <w:t>I</w:t>
      </w:r>
      <w:r w:rsidR="6475F99F" w:rsidRPr="002155F2">
        <w:t>nvest</w:t>
      </w:r>
      <w:r w:rsidR="074734FD" w:rsidRPr="002155F2">
        <w:t xml:space="preserve"> </w:t>
      </w:r>
      <w:r w:rsidR="074734FD" w:rsidRPr="00D60DF4">
        <w:t>$</w:t>
      </w:r>
      <w:r w:rsidR="1FF276F2" w:rsidRPr="00D60DF4">
        <w:t>7</w:t>
      </w:r>
      <w:r w:rsidR="00473298" w:rsidRPr="00D60DF4">
        <w:t>,</w:t>
      </w:r>
      <w:r w:rsidR="5FBDCD78" w:rsidRPr="00D60DF4">
        <w:t>8</w:t>
      </w:r>
      <w:r w:rsidR="00473298" w:rsidRPr="00D60DF4">
        <w:t>00 m</w:t>
      </w:r>
      <w:r w:rsidR="074734FD" w:rsidRPr="00D60DF4">
        <w:t xml:space="preserve">illion </w:t>
      </w:r>
      <w:r w:rsidR="6475F99F" w:rsidRPr="00D60DF4">
        <w:t>in care services</w:t>
      </w:r>
      <w:r w:rsidR="064F78DB" w:rsidRPr="00D60DF4">
        <w:t xml:space="preserve"> (</w:t>
      </w:r>
      <w:r w:rsidR="064F78DB" w:rsidRPr="002155F2">
        <w:t>see below)</w:t>
      </w:r>
      <w:r w:rsidR="0B553ACA" w:rsidRPr="002155F2">
        <w:t xml:space="preserve">, a far more </w:t>
      </w:r>
      <w:r w:rsidR="6475F99F" w:rsidRPr="002155F2">
        <w:t>cost</w:t>
      </w:r>
      <w:r w:rsidR="5894D525" w:rsidRPr="002155F2">
        <w:t>-</w:t>
      </w:r>
      <w:r w:rsidR="6475F99F" w:rsidRPr="002155F2">
        <w:t xml:space="preserve">effective way to boost employment, </w:t>
      </w:r>
      <w:r w:rsidR="2451B8CF" w:rsidRPr="002155F2">
        <w:t xml:space="preserve">especially among women, </w:t>
      </w:r>
      <w:r w:rsidR="6475F99F" w:rsidRPr="002155F2">
        <w:t xml:space="preserve">at an average </w:t>
      </w:r>
      <w:r w:rsidR="05C471DD" w:rsidRPr="002155F2">
        <w:t xml:space="preserve">cost </w:t>
      </w:r>
      <w:r w:rsidR="6475F99F" w:rsidRPr="002155F2">
        <w:t>of $</w:t>
      </w:r>
      <w:r w:rsidR="449627E7" w:rsidRPr="002155F2">
        <w:t>70,000</w:t>
      </w:r>
      <w:r w:rsidR="6475F99F" w:rsidRPr="002155F2">
        <w:t xml:space="preserve"> per job </w:t>
      </w:r>
      <w:r w:rsidR="3187876D" w:rsidRPr="002155F2">
        <w:t xml:space="preserve">(for aged care) </w:t>
      </w:r>
      <w:r w:rsidR="6475F99F" w:rsidRPr="002155F2">
        <w:t>compared with $</w:t>
      </w:r>
      <w:r w:rsidR="2FBF5CC8" w:rsidRPr="002155F2">
        <w:t>475,000</w:t>
      </w:r>
      <w:r w:rsidR="6475F99F" w:rsidRPr="002155F2">
        <w:t xml:space="preserve"> for </w:t>
      </w:r>
      <w:r w:rsidR="0BB75D0C" w:rsidRPr="002155F2">
        <w:t>'Stage 2’</w:t>
      </w:r>
      <w:r w:rsidR="6475F99F" w:rsidRPr="002155F2">
        <w:t xml:space="preserve"> tax cuts</w:t>
      </w:r>
      <w:r w:rsidR="3103554B" w:rsidRPr="002155F2">
        <w:t>;</w:t>
      </w:r>
      <w:r w:rsidRPr="002155F2">
        <w:rPr>
          <w:rStyle w:val="FootnoteReference"/>
          <w:b/>
        </w:rPr>
        <w:footnoteReference w:id="1"/>
      </w:r>
    </w:p>
    <w:p w14:paraId="78C6724C" w14:textId="5C980D61" w:rsidR="03F6B046" w:rsidRPr="002155F2" w:rsidRDefault="30C0904B" w:rsidP="00843680">
      <w:pPr>
        <w:pStyle w:val="ListParagraph"/>
        <w:rPr>
          <w:rFonts w:asciiTheme="minorHAnsi" w:eastAsiaTheme="minorEastAsia" w:hAnsiTheme="minorHAnsi"/>
        </w:rPr>
      </w:pPr>
      <w:r w:rsidRPr="002155F2">
        <w:t>A three-year $7 billion plan to construct 20,000-30,000 social housing dwellings to reduce homelessness and g</w:t>
      </w:r>
      <w:r w:rsidR="5D7CDB94" w:rsidRPr="002155F2">
        <w:t>enerate o</w:t>
      </w:r>
      <w:r w:rsidR="03F6B046" w:rsidRPr="002155F2">
        <w:t xml:space="preserve">ver </w:t>
      </w:r>
      <w:r w:rsidR="4A0A05BD" w:rsidRPr="002155F2">
        <w:t>15</w:t>
      </w:r>
      <w:r w:rsidR="03F6B046" w:rsidRPr="002155F2">
        <w:t xml:space="preserve">,000 jobs </w:t>
      </w:r>
      <w:r w:rsidR="5B62786C" w:rsidRPr="002155F2">
        <w:t>a year</w:t>
      </w:r>
      <w:r w:rsidR="28115325" w:rsidRPr="002155F2">
        <w:t>;</w:t>
      </w:r>
    </w:p>
    <w:p w14:paraId="3DBA2C2E" w14:textId="21D94423" w:rsidR="5C47556B" w:rsidRDefault="67EDD737" w:rsidP="00843680">
      <w:pPr>
        <w:pStyle w:val="ListParagraph"/>
      </w:pPr>
      <w:r w:rsidRPr="002155F2">
        <w:t>A</w:t>
      </w:r>
      <w:r w:rsidR="1F0D7230" w:rsidRPr="002155F2">
        <w:t xml:space="preserve"> </w:t>
      </w:r>
      <w:r w:rsidR="6025C636" w:rsidRPr="002155F2">
        <w:t>$</w:t>
      </w:r>
      <w:r w:rsidR="27D99467" w:rsidRPr="002155F2">
        <w:t>1</w:t>
      </w:r>
      <w:r w:rsidR="00473298">
        <w:t>,</w:t>
      </w:r>
      <w:r w:rsidR="27D99467" w:rsidRPr="002155F2">
        <w:t>4</w:t>
      </w:r>
      <w:r w:rsidR="00473298">
        <w:t>00</w:t>
      </w:r>
      <w:r w:rsidR="27D99467" w:rsidRPr="002155F2">
        <w:t xml:space="preserve"> </w:t>
      </w:r>
      <w:r w:rsidR="00473298">
        <w:t>m</w:t>
      </w:r>
      <w:r w:rsidR="27D99467" w:rsidRPr="002155F2">
        <w:t>illion</w:t>
      </w:r>
      <w:r w:rsidR="6025C636" w:rsidRPr="002155F2">
        <w:t xml:space="preserve"> </w:t>
      </w:r>
      <w:r w:rsidR="4002E1F9" w:rsidRPr="002155F2">
        <w:t>national low-income energy productivity program (NLEPP) t</w:t>
      </w:r>
      <w:r w:rsidR="2D4D2FFF" w:rsidRPr="002155F2">
        <w:t>o</w:t>
      </w:r>
      <w:r w:rsidR="4002E1F9" w:rsidRPr="002155F2">
        <w:t xml:space="preserve"> i</w:t>
      </w:r>
      <w:r w:rsidR="7F3AEA26" w:rsidRPr="002155F2">
        <w:t xml:space="preserve">mprove </w:t>
      </w:r>
      <w:r w:rsidR="4002E1F9" w:rsidRPr="002155F2">
        <w:t>energy efficiency</w:t>
      </w:r>
      <w:r w:rsidR="02E404A1" w:rsidRPr="002155F2">
        <w:t xml:space="preserve"> </w:t>
      </w:r>
      <w:r w:rsidR="4002E1F9" w:rsidRPr="002155F2">
        <w:t>in the homes of people on low-incomes</w:t>
      </w:r>
      <w:r w:rsidR="1E953163" w:rsidRPr="002155F2">
        <w:t xml:space="preserve"> and create tens of thousands of jobs</w:t>
      </w:r>
      <w:r w:rsidR="30792FD6" w:rsidRPr="002155F2">
        <w:t>;</w:t>
      </w:r>
      <w:r w:rsidR="1F0D7230" w:rsidRPr="002155F2">
        <w:t xml:space="preserve"> </w:t>
      </w:r>
      <w:r w:rsidR="67DE37B1" w:rsidRPr="002155F2">
        <w:t xml:space="preserve"> </w:t>
      </w:r>
    </w:p>
    <w:p w14:paraId="200A20AA" w14:textId="77777777" w:rsidR="00B753B1" w:rsidRPr="003A57DB" w:rsidRDefault="00B753B1" w:rsidP="003A57DB">
      <w:pPr>
        <w:pStyle w:val="List3"/>
      </w:pPr>
    </w:p>
    <w:p w14:paraId="37ECEC82" w14:textId="7769CA74" w:rsidR="238C20CF" w:rsidRPr="002155F2" w:rsidRDefault="238C20CF" w:rsidP="00843680">
      <w:pPr>
        <w:pStyle w:val="ListParagraph"/>
        <w:rPr>
          <w:rFonts w:asciiTheme="minorHAnsi" w:eastAsiaTheme="minorEastAsia" w:hAnsiTheme="minorHAnsi"/>
        </w:rPr>
      </w:pPr>
      <w:r w:rsidRPr="002155F2">
        <w:lastRenderedPageBreak/>
        <w:t>A</w:t>
      </w:r>
      <w:r w:rsidR="1DA9BC8D" w:rsidRPr="002155F2">
        <w:t xml:space="preserve"> jobs and training guarantee for the 700,000 people on unemployment payments for more than a year</w:t>
      </w:r>
      <w:r w:rsidR="67BE84C6" w:rsidRPr="002155F2">
        <w:t>,</w:t>
      </w:r>
      <w:r w:rsidR="0DB3BDDD" w:rsidRPr="002155F2">
        <w:t xml:space="preserve"> </w:t>
      </w:r>
      <w:r w:rsidR="2CE7C29D" w:rsidRPr="002155F2">
        <w:t xml:space="preserve">so that </w:t>
      </w:r>
      <w:r w:rsidR="0DB3BDDD" w:rsidRPr="002155F2">
        <w:t xml:space="preserve">those left behind in the </w:t>
      </w:r>
      <w:proofErr w:type="spellStart"/>
      <w:r w:rsidR="0DB3BDDD" w:rsidRPr="002155F2">
        <w:t>labour</w:t>
      </w:r>
      <w:proofErr w:type="spellEnd"/>
      <w:r w:rsidR="0DB3BDDD" w:rsidRPr="002155F2">
        <w:t xml:space="preserve"> market can take advantage of new job opportunities. </w:t>
      </w:r>
      <w:proofErr w:type="spellStart"/>
      <w:r w:rsidR="1AEC5692" w:rsidRPr="002155F2">
        <w:t>J</w:t>
      </w:r>
      <w:r w:rsidR="4B5DBE0F" w:rsidRPr="002155F2">
        <w:t>obMaker</w:t>
      </w:r>
      <w:proofErr w:type="spellEnd"/>
      <w:r w:rsidR="4B5DBE0F" w:rsidRPr="002155F2">
        <w:t xml:space="preserve"> </w:t>
      </w:r>
      <w:r w:rsidR="6C9EAFA3" w:rsidRPr="002155F2">
        <w:t>wage subsidies</w:t>
      </w:r>
      <w:r w:rsidR="40FB72D6" w:rsidRPr="002155F2">
        <w:t xml:space="preserve"> </w:t>
      </w:r>
      <w:r w:rsidR="70DF7A48" w:rsidRPr="002155F2">
        <w:t>sh</w:t>
      </w:r>
      <w:r w:rsidR="40FB72D6" w:rsidRPr="002155F2">
        <w:t>ould extend to this group regardless of age</w:t>
      </w:r>
      <w:r w:rsidR="194E57A7" w:rsidRPr="002155F2">
        <w:t>;</w:t>
      </w:r>
    </w:p>
    <w:p w14:paraId="2CB1FFD3" w14:textId="2741C6EF" w:rsidR="00795663" w:rsidRPr="002155F2" w:rsidRDefault="1DC9EE60" w:rsidP="00843680">
      <w:pPr>
        <w:pStyle w:val="ListParagraph"/>
      </w:pPr>
      <w:r w:rsidRPr="002155F2">
        <w:t xml:space="preserve">Structural </w:t>
      </w:r>
      <w:r w:rsidR="6C9EAFA3" w:rsidRPr="002155F2">
        <w:t xml:space="preserve">reform of employment services </w:t>
      </w:r>
      <w:r w:rsidR="7B3FFD10" w:rsidRPr="002155F2">
        <w:t xml:space="preserve">to shift them from </w:t>
      </w:r>
      <w:r w:rsidR="61A9003D" w:rsidRPr="002155F2">
        <w:t xml:space="preserve">their </w:t>
      </w:r>
      <w:r w:rsidR="39A09E1C" w:rsidRPr="002155F2">
        <w:t xml:space="preserve">benefit </w:t>
      </w:r>
      <w:r w:rsidR="7B3FFD10" w:rsidRPr="002155F2">
        <w:t xml:space="preserve">compliance </w:t>
      </w:r>
      <w:r w:rsidR="4170C685" w:rsidRPr="002155F2">
        <w:t xml:space="preserve">focus </w:t>
      </w:r>
      <w:r w:rsidR="7B3FFD10" w:rsidRPr="002155F2">
        <w:t xml:space="preserve">to </w:t>
      </w:r>
      <w:proofErr w:type="spellStart"/>
      <w:r w:rsidR="7B3FFD10" w:rsidRPr="002155F2">
        <w:t>personalised</w:t>
      </w:r>
      <w:proofErr w:type="spellEnd"/>
      <w:r w:rsidR="7B3FFD10" w:rsidRPr="002155F2">
        <w:t xml:space="preserve"> help </w:t>
      </w:r>
      <w:r w:rsidR="2E0810D7" w:rsidRPr="002155F2">
        <w:t>with</w:t>
      </w:r>
      <w:r w:rsidR="7B3FFD10" w:rsidRPr="002155F2">
        <w:t xml:space="preserve"> barriers to employment, and </w:t>
      </w:r>
      <w:r w:rsidR="71E7EEED" w:rsidRPr="002155F2">
        <w:t xml:space="preserve">forge local partnerships </w:t>
      </w:r>
      <w:r w:rsidR="12750956" w:rsidRPr="002155F2">
        <w:t xml:space="preserve">for jobs </w:t>
      </w:r>
      <w:r w:rsidR="7B3FFD10" w:rsidRPr="002155F2">
        <w:t>with local employers</w:t>
      </w:r>
      <w:r w:rsidR="48A84247" w:rsidRPr="002155F2">
        <w:t>,</w:t>
      </w:r>
      <w:r w:rsidR="7B3FFD10" w:rsidRPr="002155F2">
        <w:t xml:space="preserve"> communi</w:t>
      </w:r>
      <w:r w:rsidR="453AE21C" w:rsidRPr="002155F2">
        <w:t>ty services</w:t>
      </w:r>
      <w:r w:rsidR="41EA873F" w:rsidRPr="002155F2">
        <w:t xml:space="preserve"> and governments</w:t>
      </w:r>
      <w:r w:rsidR="6C9EAFA3" w:rsidRPr="002155F2">
        <w:t>.</w:t>
      </w:r>
    </w:p>
    <w:p w14:paraId="1858C8F1" w14:textId="26F0F25E" w:rsidR="15FEB2D3" w:rsidRDefault="15FEB2D3" w:rsidP="15FEB2D3">
      <w:pPr>
        <w:pStyle w:val="List3"/>
      </w:pPr>
    </w:p>
    <w:p w14:paraId="2A5BEC92" w14:textId="20D81EC6" w:rsidR="7BA61B5F" w:rsidRDefault="7BA61B5F" w:rsidP="15FEB2D3">
      <w:r>
        <w:t xml:space="preserve">Third, </w:t>
      </w:r>
      <w:r w:rsidRPr="7B33A330">
        <w:rPr>
          <w:b/>
          <w:bCs/>
        </w:rPr>
        <w:t>r</w:t>
      </w:r>
      <w:r w:rsidR="1EBA73C5" w:rsidRPr="7B33A330">
        <w:rPr>
          <w:b/>
          <w:bCs/>
        </w:rPr>
        <w:t>educe carbon emissions</w:t>
      </w:r>
      <w:r w:rsidR="049157C5" w:rsidRPr="7B33A330">
        <w:rPr>
          <w:b/>
          <w:bCs/>
        </w:rPr>
        <w:t>, ensure no-one is left behind the energy transition</w:t>
      </w:r>
      <w:r w:rsidR="1EBA73C5" w:rsidRPr="7B33A330">
        <w:rPr>
          <w:b/>
          <w:bCs/>
        </w:rPr>
        <w:t xml:space="preserve"> and prepare communities for </w:t>
      </w:r>
      <w:r w:rsidR="34885744" w:rsidRPr="7B33A330">
        <w:rPr>
          <w:b/>
          <w:bCs/>
        </w:rPr>
        <w:t xml:space="preserve">more </w:t>
      </w:r>
      <w:r w:rsidR="1EBA73C5" w:rsidRPr="7B33A330">
        <w:rPr>
          <w:b/>
          <w:bCs/>
        </w:rPr>
        <w:t>extreme weather events</w:t>
      </w:r>
      <w:r w:rsidR="40E32E16">
        <w:t>:</w:t>
      </w:r>
    </w:p>
    <w:p w14:paraId="1E0C599D" w14:textId="75A36078" w:rsidR="65C07542" w:rsidRPr="002155F2" w:rsidRDefault="65C07542" w:rsidP="00F13F51">
      <w:pPr>
        <w:pStyle w:val="ListParagraph"/>
        <w:numPr>
          <w:ilvl w:val="0"/>
          <w:numId w:val="21"/>
        </w:numPr>
        <w:rPr>
          <w:rFonts w:asciiTheme="minorHAnsi" w:eastAsiaTheme="minorEastAsia" w:hAnsiTheme="minorHAnsi"/>
        </w:rPr>
      </w:pPr>
      <w:r w:rsidRPr="002155F2">
        <w:t>Set</w:t>
      </w:r>
      <w:r w:rsidR="1C1CD6E4" w:rsidRPr="002155F2">
        <w:t xml:space="preserve"> emissions reduction targets of zero net emissions before 2050 and at least 45% by 2030 and transition the energy sector faster</w:t>
      </w:r>
      <w:r w:rsidR="4F6C3221" w:rsidRPr="002155F2">
        <w:t>;</w:t>
      </w:r>
    </w:p>
    <w:p w14:paraId="36188310" w14:textId="515AF6F4" w:rsidR="376A4414" w:rsidRPr="002155F2" w:rsidRDefault="376A4414" w:rsidP="00F13F51">
      <w:pPr>
        <w:pStyle w:val="ListParagraph"/>
        <w:numPr>
          <w:ilvl w:val="0"/>
          <w:numId w:val="21"/>
        </w:numPr>
      </w:pPr>
      <w:r w:rsidRPr="002155F2">
        <w:t>Invest in improving the energy efficiency and productivity of low-income homes</w:t>
      </w:r>
      <w:r w:rsidR="1C1CD6E4" w:rsidRPr="002155F2">
        <w:t xml:space="preserve"> </w:t>
      </w:r>
      <w:r w:rsidR="3103ADB0" w:rsidRPr="002155F2">
        <w:t xml:space="preserve">to slash energy bills, improve health outcomes, cut emissions and create </w:t>
      </w:r>
      <w:r w:rsidR="15C9BBE1" w:rsidRPr="002155F2">
        <w:t xml:space="preserve">thousands of </w:t>
      </w:r>
      <w:r w:rsidR="3103ADB0" w:rsidRPr="002155F2">
        <w:t>jobs</w:t>
      </w:r>
      <w:r w:rsidR="725EC87E" w:rsidRPr="002155F2">
        <w:t xml:space="preserve"> (</w:t>
      </w:r>
      <w:r w:rsidR="5EB3BB3F" w:rsidRPr="002155F2">
        <w:t>$5</w:t>
      </w:r>
      <w:r w:rsidR="00473298">
        <w:t>80</w:t>
      </w:r>
      <w:r w:rsidR="5EB3BB3F" w:rsidRPr="002155F2">
        <w:t xml:space="preserve"> million)</w:t>
      </w:r>
      <w:r w:rsidR="00A618BF" w:rsidRPr="002155F2">
        <w:t>;</w:t>
      </w:r>
    </w:p>
    <w:p w14:paraId="4157D114" w14:textId="1E716C2E" w:rsidR="2E8AEA6F" w:rsidRPr="002155F2" w:rsidRDefault="2E8AEA6F" w:rsidP="00F13F51">
      <w:pPr>
        <w:pStyle w:val="ListParagraph"/>
        <w:numPr>
          <w:ilvl w:val="0"/>
          <w:numId w:val="21"/>
        </w:numPr>
      </w:pPr>
      <w:r w:rsidRPr="002155F2">
        <w:t>Improve energy affordability for people experiencing disadvantage.</w:t>
      </w:r>
    </w:p>
    <w:p w14:paraId="14CEA558" w14:textId="2A0ADD0E" w:rsidR="5E3ED877" w:rsidRPr="002155F2" w:rsidRDefault="5E3ED877" w:rsidP="00F13F51">
      <w:pPr>
        <w:pStyle w:val="ListParagraph"/>
        <w:numPr>
          <w:ilvl w:val="0"/>
          <w:numId w:val="21"/>
        </w:numPr>
      </w:pPr>
      <w:r w:rsidRPr="002155F2">
        <w:t>Just transition for workers and communities ($2 million)</w:t>
      </w:r>
      <w:r w:rsidR="00A618BF" w:rsidRPr="002155F2">
        <w:t>;</w:t>
      </w:r>
    </w:p>
    <w:p w14:paraId="4BFEDEF0" w14:textId="3D31FEA7" w:rsidR="0AEF2784" w:rsidRPr="002155F2" w:rsidRDefault="0AEF2784" w:rsidP="00F13F51">
      <w:pPr>
        <w:pStyle w:val="ListParagraph"/>
        <w:numPr>
          <w:ilvl w:val="0"/>
          <w:numId w:val="21"/>
        </w:numPr>
      </w:pPr>
      <w:r w:rsidRPr="002155F2">
        <w:t>E</w:t>
      </w:r>
      <w:r w:rsidR="70914A54" w:rsidRPr="002155F2">
        <w:t>mpower communities to build the</w:t>
      </w:r>
      <w:r w:rsidR="7C69B38D" w:rsidRPr="002155F2">
        <w:t>i</w:t>
      </w:r>
      <w:r w:rsidR="70914A54" w:rsidRPr="002155F2">
        <w:t xml:space="preserve">r resilience </w:t>
      </w:r>
      <w:r w:rsidR="00D60DF4">
        <w:t xml:space="preserve">to natural disasters </w:t>
      </w:r>
      <w:r w:rsidRPr="002155F2">
        <w:t xml:space="preserve">including </w:t>
      </w:r>
      <w:r w:rsidR="78192E35" w:rsidRPr="002155F2">
        <w:t xml:space="preserve">through establishing </w:t>
      </w:r>
      <w:r w:rsidR="7F6148A6" w:rsidRPr="002155F2">
        <w:t>Local Council Committee</w:t>
      </w:r>
      <w:r w:rsidR="1FA00D64" w:rsidRPr="002155F2">
        <w:t>s</w:t>
      </w:r>
      <w:r w:rsidR="7F6148A6" w:rsidRPr="002155F2">
        <w:t xml:space="preserve"> and C</w:t>
      </w:r>
      <w:r w:rsidRPr="002155F2">
        <w:t xml:space="preserve">ommunity </w:t>
      </w:r>
      <w:r w:rsidR="550C036C" w:rsidRPr="002155F2">
        <w:t>R</w:t>
      </w:r>
      <w:r w:rsidRPr="002155F2">
        <w:t xml:space="preserve">esilience </w:t>
      </w:r>
      <w:r w:rsidR="45FE3AFF" w:rsidRPr="002155F2">
        <w:t>H</w:t>
      </w:r>
      <w:r w:rsidR="16BCB6AD" w:rsidRPr="002155F2">
        <w:t>ubs,</w:t>
      </w:r>
      <w:r w:rsidRPr="002155F2">
        <w:t xml:space="preserve"> </w:t>
      </w:r>
      <w:r w:rsidRPr="00887ADF">
        <w:t>($</w:t>
      </w:r>
      <w:r w:rsidR="7749635E" w:rsidRPr="00887ADF">
        <w:t>32</w:t>
      </w:r>
      <w:r w:rsidR="00473298" w:rsidRPr="00887ADF">
        <w:t>0</w:t>
      </w:r>
      <w:r w:rsidRPr="00887ADF">
        <w:t xml:space="preserve"> million)</w:t>
      </w:r>
      <w:r w:rsidR="323F7FA0" w:rsidRPr="00887ADF">
        <w:t>;</w:t>
      </w:r>
      <w:r w:rsidRPr="002155F2">
        <w:t xml:space="preserve"> </w:t>
      </w:r>
    </w:p>
    <w:p w14:paraId="40B7613E" w14:textId="53974328" w:rsidR="0BDA4A78" w:rsidRPr="002155F2" w:rsidRDefault="0BDA4A78" w:rsidP="00F13F51">
      <w:pPr>
        <w:pStyle w:val="ListParagraph"/>
        <w:numPr>
          <w:ilvl w:val="0"/>
          <w:numId w:val="21"/>
        </w:numPr>
      </w:pPr>
      <w:r w:rsidRPr="002155F2">
        <w:t>Better meet the needs of people impacted by natural disasters (budget impacts will be variable depending on need in a given year)</w:t>
      </w:r>
      <w:r w:rsidR="00A618BF" w:rsidRPr="002155F2">
        <w:t>;</w:t>
      </w:r>
    </w:p>
    <w:p w14:paraId="43702602" w14:textId="7433D7FE" w:rsidR="4BF597B9" w:rsidRPr="002155F2" w:rsidRDefault="4BF597B9" w:rsidP="00F13F51">
      <w:pPr>
        <w:pStyle w:val="ListParagraph"/>
        <w:numPr>
          <w:ilvl w:val="0"/>
          <w:numId w:val="21"/>
        </w:numPr>
        <w:rPr>
          <w:rFonts w:asciiTheme="minorHAnsi" w:eastAsiaTheme="minorEastAsia" w:hAnsiTheme="minorHAnsi"/>
        </w:rPr>
      </w:pPr>
      <w:r w:rsidRPr="002155F2">
        <w:t xml:space="preserve">Support community </w:t>
      </w:r>
      <w:proofErr w:type="spellStart"/>
      <w:r w:rsidRPr="002155F2">
        <w:t>organisations</w:t>
      </w:r>
      <w:proofErr w:type="spellEnd"/>
      <w:r w:rsidRPr="002155F2">
        <w:t xml:space="preserve"> to prepare for extreme weather events and to assist communities affected by them ($</w:t>
      </w:r>
      <w:r w:rsidR="42E08776" w:rsidRPr="002155F2">
        <w:t>3</w:t>
      </w:r>
      <w:r w:rsidR="406E93A2" w:rsidRPr="002155F2">
        <w:t>6</w:t>
      </w:r>
      <w:r w:rsidR="00473298">
        <w:t>0</w:t>
      </w:r>
      <w:r w:rsidR="42E08776" w:rsidRPr="002155F2">
        <w:t xml:space="preserve"> million</w:t>
      </w:r>
      <w:r w:rsidRPr="002155F2">
        <w:t>)</w:t>
      </w:r>
      <w:r w:rsidR="00A618BF" w:rsidRPr="002155F2">
        <w:t>;</w:t>
      </w:r>
    </w:p>
    <w:p w14:paraId="2103AAAA" w14:textId="7EF01804" w:rsidR="2D9F2001" w:rsidRPr="002155F2" w:rsidRDefault="2D9F2001" w:rsidP="00F13F51">
      <w:pPr>
        <w:pStyle w:val="ListParagraph"/>
        <w:numPr>
          <w:ilvl w:val="0"/>
          <w:numId w:val="21"/>
        </w:numPr>
      </w:pPr>
      <w:r w:rsidRPr="002155F2">
        <w:t>Create more a</w:t>
      </w:r>
      <w:r w:rsidR="7F907A97" w:rsidRPr="002155F2">
        <w:t>ffordable</w:t>
      </w:r>
      <w:r w:rsidR="16DA5BBB" w:rsidRPr="002155F2">
        <w:t>,</w:t>
      </w:r>
      <w:r w:rsidR="611C2109" w:rsidRPr="002155F2">
        <w:t xml:space="preserve"> accessible insurance ($</w:t>
      </w:r>
      <w:r w:rsidR="00473298">
        <w:t>2</w:t>
      </w:r>
      <w:r w:rsidR="611C2109" w:rsidRPr="002155F2">
        <w:t xml:space="preserve"> million</w:t>
      </w:r>
      <w:r w:rsidR="57645E56" w:rsidRPr="002155F2">
        <w:t>)</w:t>
      </w:r>
      <w:r w:rsidR="00777ED0">
        <w:t>.</w:t>
      </w:r>
    </w:p>
    <w:p w14:paraId="6D6D278B" w14:textId="6B35E994" w:rsidR="7B33A330" w:rsidRDefault="7B33A330" w:rsidP="7B33A330">
      <w:pPr>
        <w:pStyle w:val="List3"/>
      </w:pPr>
    </w:p>
    <w:p w14:paraId="7B48CEDE" w14:textId="0A9D2B8B" w:rsidR="40E32E16" w:rsidRDefault="40E32E16" w:rsidP="15FEB2D3">
      <w:r>
        <w:t xml:space="preserve">Fourth, </w:t>
      </w:r>
      <w:r w:rsidR="1EBA73C5" w:rsidRPr="15FEB2D3">
        <w:rPr>
          <w:b/>
          <w:bCs/>
        </w:rPr>
        <w:t>guarantee e</w:t>
      </w:r>
      <w:r w:rsidR="159033B1" w:rsidRPr="15FEB2D3">
        <w:rPr>
          <w:b/>
          <w:bCs/>
        </w:rPr>
        <w:t xml:space="preserve">ssential </w:t>
      </w:r>
      <w:r w:rsidR="1202B075" w:rsidRPr="15FEB2D3">
        <w:rPr>
          <w:b/>
          <w:bCs/>
        </w:rPr>
        <w:t>s</w:t>
      </w:r>
      <w:r w:rsidR="159033B1" w:rsidRPr="15FEB2D3">
        <w:rPr>
          <w:b/>
          <w:bCs/>
        </w:rPr>
        <w:t xml:space="preserve">ervices </w:t>
      </w:r>
      <w:r w:rsidR="5FE6A41B">
        <w:t xml:space="preserve">for all </w:t>
      </w:r>
      <w:r w:rsidR="159033B1">
        <w:t xml:space="preserve">and </w:t>
      </w:r>
      <w:r w:rsidR="3D67800D">
        <w:t>ensure they are of good quality.</w:t>
      </w:r>
    </w:p>
    <w:p w14:paraId="72C32DEB" w14:textId="0E358F26" w:rsidR="1AC51528" w:rsidRDefault="3E0580C7" w:rsidP="00F13F51">
      <w:pPr>
        <w:pStyle w:val="List3"/>
        <w:numPr>
          <w:ilvl w:val="0"/>
          <w:numId w:val="23"/>
        </w:numPr>
        <w:rPr>
          <w:rFonts w:asciiTheme="minorHAnsi" w:eastAsiaTheme="minorEastAsia" w:hAnsiTheme="minorHAnsi"/>
          <w:szCs w:val="20"/>
        </w:rPr>
      </w:pPr>
      <w:r>
        <w:t>Reduce the wait for Home Care Packages to no more than three months ($1</w:t>
      </w:r>
      <w:r w:rsidR="00473298">
        <w:t>,</w:t>
      </w:r>
      <w:r>
        <w:t>7</w:t>
      </w:r>
      <w:r w:rsidR="00473298">
        <w:t>00 m</w:t>
      </w:r>
      <w:r>
        <w:t>illion)</w:t>
      </w:r>
      <w:r w:rsidR="49DFE4D1">
        <w:t>;</w:t>
      </w:r>
    </w:p>
    <w:p w14:paraId="1122BB56" w14:textId="53B4A7BD" w:rsidR="24C20F10" w:rsidRDefault="484D4F9A" w:rsidP="00F13F51">
      <w:pPr>
        <w:pStyle w:val="List3"/>
        <w:numPr>
          <w:ilvl w:val="0"/>
          <w:numId w:val="23"/>
        </w:numPr>
        <w:rPr>
          <w:rFonts w:asciiTheme="minorHAnsi" w:eastAsiaTheme="minorEastAsia" w:hAnsiTheme="minorHAnsi"/>
          <w:szCs w:val="20"/>
        </w:rPr>
      </w:pPr>
      <w:r>
        <w:t>Lift child care subsidies to 95% of costs and remove activity requirements to r</w:t>
      </w:r>
      <w:r w:rsidR="24C20F10">
        <w:t>educe t</w:t>
      </w:r>
      <w:r w:rsidR="49DFE4D1">
        <w:t>he cost of child care for people with low and modest</w:t>
      </w:r>
      <w:r w:rsidR="381BEC27">
        <w:t xml:space="preserve"> </w:t>
      </w:r>
      <w:r w:rsidR="49DFE4D1">
        <w:t xml:space="preserve">incomes </w:t>
      </w:r>
      <w:r w:rsidR="51BB69E3">
        <w:t>($</w:t>
      </w:r>
      <w:r w:rsidR="3B5D8444">
        <w:t>5</w:t>
      </w:r>
      <w:r w:rsidR="00473298">
        <w:t>,</w:t>
      </w:r>
      <w:r w:rsidR="3B5D8444">
        <w:t>5</w:t>
      </w:r>
      <w:r w:rsidR="00473298">
        <w:t>00</w:t>
      </w:r>
      <w:r w:rsidR="401173F7">
        <w:t xml:space="preserve"> </w:t>
      </w:r>
      <w:r w:rsidR="00473298">
        <w:t>m</w:t>
      </w:r>
      <w:r w:rsidR="51BB69E3">
        <w:t>illion)</w:t>
      </w:r>
      <w:r w:rsidR="00A618BF">
        <w:t>;</w:t>
      </w:r>
    </w:p>
    <w:p w14:paraId="616023B9" w14:textId="261656F6" w:rsidR="5D48A546" w:rsidRDefault="5D48A546" w:rsidP="00F13F51">
      <w:pPr>
        <w:pStyle w:val="List3"/>
        <w:numPr>
          <w:ilvl w:val="0"/>
          <w:numId w:val="23"/>
        </w:numPr>
        <w:rPr>
          <w:szCs w:val="20"/>
        </w:rPr>
      </w:pPr>
      <w:r>
        <w:t>A</w:t>
      </w:r>
      <w:r w:rsidR="4FC21705">
        <w:t xml:space="preserve"> phased transition to a universal dental care scheme</w:t>
      </w:r>
      <w:r w:rsidR="3573EFA4">
        <w:t xml:space="preserve"> ($1</w:t>
      </w:r>
      <w:r w:rsidR="00473298">
        <w:t>,</w:t>
      </w:r>
      <w:r w:rsidR="3573EFA4">
        <w:t>1</w:t>
      </w:r>
      <w:r w:rsidR="00473298">
        <w:t>00</w:t>
      </w:r>
      <w:r w:rsidR="3573EFA4">
        <w:t xml:space="preserve"> </w:t>
      </w:r>
      <w:r w:rsidR="00473298">
        <w:t>m</w:t>
      </w:r>
      <w:r w:rsidR="50CAE618">
        <w:t>illion)</w:t>
      </w:r>
      <w:r w:rsidR="00A618BF">
        <w:t>;</w:t>
      </w:r>
    </w:p>
    <w:p w14:paraId="18862627" w14:textId="7CDD1AC8" w:rsidR="7A10D49D" w:rsidRPr="006447EE" w:rsidRDefault="16466540" w:rsidP="00F13F51">
      <w:pPr>
        <w:pStyle w:val="List3"/>
        <w:numPr>
          <w:ilvl w:val="0"/>
          <w:numId w:val="23"/>
        </w:numPr>
        <w:rPr>
          <w:szCs w:val="20"/>
        </w:rPr>
      </w:pPr>
      <w:r>
        <w:t>Extend the g</w:t>
      </w:r>
      <w:r w:rsidR="7A10D49D">
        <w:t xml:space="preserve">uarantee </w:t>
      </w:r>
      <w:r w:rsidR="56DF4E9C">
        <w:t xml:space="preserve">of </w:t>
      </w:r>
      <w:r w:rsidR="7A10D49D">
        <w:t>ongoing funding for equal p</w:t>
      </w:r>
      <w:r w:rsidR="2FC0328C">
        <w:t xml:space="preserve">ay </w:t>
      </w:r>
      <w:r w:rsidR="75E37212">
        <w:t>for workers in community services</w:t>
      </w:r>
      <w:r w:rsidR="526279DC">
        <w:t xml:space="preserve"> </w:t>
      </w:r>
      <w:r w:rsidR="1A4A0448">
        <w:t>beyond DSS-funded programs</w:t>
      </w:r>
      <w:r w:rsidR="526279DC">
        <w:t xml:space="preserve"> ($</w:t>
      </w:r>
      <w:r w:rsidR="3C861996">
        <w:t>62</w:t>
      </w:r>
      <w:r w:rsidR="526279DC">
        <w:t xml:space="preserve"> </w:t>
      </w:r>
      <w:r w:rsidR="2C3F219B">
        <w:t>million</w:t>
      </w:r>
      <w:r w:rsidR="526279DC">
        <w:t>)</w:t>
      </w:r>
      <w:r w:rsidR="00A618BF">
        <w:t>;</w:t>
      </w:r>
    </w:p>
    <w:p w14:paraId="1A18F4B3" w14:textId="7ACC44CB" w:rsidR="008507A3" w:rsidRDefault="006447EE" w:rsidP="006447EE">
      <w:pPr>
        <w:pStyle w:val="List3"/>
        <w:numPr>
          <w:ilvl w:val="0"/>
          <w:numId w:val="23"/>
        </w:numPr>
        <w:rPr>
          <w:szCs w:val="20"/>
        </w:rPr>
      </w:pPr>
      <w:r>
        <w:t>Undertake a comprehensive needs analysis and then boost funding for community services ($10 million)</w:t>
      </w:r>
      <w:r w:rsidR="008507A3">
        <w:t>;</w:t>
      </w:r>
    </w:p>
    <w:p w14:paraId="7F6C07B4" w14:textId="66868E8D" w:rsidR="006447EE" w:rsidRPr="008507A3" w:rsidRDefault="006447EE" w:rsidP="008507A3">
      <w:pPr>
        <w:pStyle w:val="List3"/>
        <w:numPr>
          <w:ilvl w:val="0"/>
          <w:numId w:val="23"/>
        </w:numPr>
        <w:rPr>
          <w:szCs w:val="20"/>
        </w:rPr>
      </w:pPr>
      <w:r>
        <w:t xml:space="preserve">Increase funding for community services by $2,000 </w:t>
      </w:r>
      <w:r w:rsidR="00555B63">
        <w:t xml:space="preserve">million </w:t>
      </w:r>
      <w:r>
        <w:t xml:space="preserve">to reverse cuts from 2014; </w:t>
      </w:r>
    </w:p>
    <w:p w14:paraId="23D80473" w14:textId="0A701B43" w:rsidR="008A3147" w:rsidRDefault="008A3147" w:rsidP="003A57DB">
      <w:pPr>
        <w:pStyle w:val="List3"/>
        <w:rPr>
          <w:szCs w:val="20"/>
        </w:rPr>
      </w:pPr>
    </w:p>
    <w:p w14:paraId="24FF3412" w14:textId="71F4EDA6" w:rsidR="008A3147" w:rsidRDefault="008A3147" w:rsidP="00867EAE">
      <w:pPr>
        <w:rPr>
          <w:b/>
        </w:rPr>
      </w:pPr>
      <w:r>
        <w:t xml:space="preserve">Fifth, work with First Nations communities to </w:t>
      </w:r>
      <w:r w:rsidRPr="00867EAE">
        <w:rPr>
          <w:b/>
        </w:rPr>
        <w:t>acknowledge and redress the devastating impacts of European invasion and settlement</w:t>
      </w:r>
      <w:r w:rsidR="00555B63">
        <w:rPr>
          <w:b/>
        </w:rPr>
        <w:t>.</w:t>
      </w:r>
    </w:p>
    <w:p w14:paraId="33758905" w14:textId="07F01314" w:rsidR="00555B63" w:rsidRDefault="00555B63" w:rsidP="00867EAE">
      <w:pPr>
        <w:pStyle w:val="ListParagraph"/>
        <w:numPr>
          <w:ilvl w:val="0"/>
          <w:numId w:val="54"/>
        </w:numPr>
      </w:pPr>
      <w:r>
        <w:t>Support the Uluru Statement from the Heart</w:t>
      </w:r>
      <w:r w:rsidR="00CA34C1">
        <w:t>;</w:t>
      </w:r>
    </w:p>
    <w:p w14:paraId="7CDE153C" w14:textId="5CDBE361" w:rsidR="008507A3" w:rsidRDefault="008507A3" w:rsidP="00867EAE">
      <w:pPr>
        <w:pStyle w:val="List3"/>
        <w:numPr>
          <w:ilvl w:val="0"/>
          <w:numId w:val="54"/>
        </w:numPr>
      </w:pPr>
      <w:r>
        <w:t>Provide core funding for the institutional capacity of Aboriginal and Torres Strait Islander representation in policy making and national decision-making ($10 million);</w:t>
      </w:r>
    </w:p>
    <w:p w14:paraId="1834810C" w14:textId="1D50866C" w:rsidR="008507A3" w:rsidRDefault="008507A3" w:rsidP="008507A3">
      <w:pPr>
        <w:pStyle w:val="List3"/>
        <w:numPr>
          <w:ilvl w:val="0"/>
          <w:numId w:val="54"/>
        </w:numPr>
      </w:pPr>
      <w:r w:rsidRPr="00985429">
        <w:t>Replace the Community Development Program with a Fair Work and Strong Communities scheme</w:t>
      </w:r>
      <w:r w:rsidRPr="008507A3" w:rsidDel="008507A3">
        <w:t xml:space="preserve"> </w:t>
      </w:r>
      <w:r>
        <w:t>($250 million in 2022-23)</w:t>
      </w:r>
    </w:p>
    <w:p w14:paraId="3C2ED646" w14:textId="77777777" w:rsidR="00B753B1" w:rsidRDefault="00B753B1" w:rsidP="003A57DB">
      <w:pPr>
        <w:pStyle w:val="List3"/>
      </w:pPr>
    </w:p>
    <w:p w14:paraId="1C52A1BD" w14:textId="35418E3D" w:rsidR="008507A3" w:rsidRPr="008507A3" w:rsidRDefault="008507A3" w:rsidP="008507A3">
      <w:pPr>
        <w:pStyle w:val="List3"/>
        <w:numPr>
          <w:ilvl w:val="0"/>
          <w:numId w:val="54"/>
        </w:numPr>
      </w:pPr>
      <w:r w:rsidRPr="008507A3">
        <w:rPr>
          <w:rFonts w:eastAsiaTheme="minorEastAsia"/>
          <w:bCs/>
          <w:szCs w:val="20"/>
        </w:rPr>
        <w:lastRenderedPageBreak/>
        <w:t xml:space="preserve">Develop a new national Aboriginal and Torres Strait Islander housing strategy with a 10% boost to funding under the National Housing and Homelessness Agreement earmarked to build capacity for Indigenous Community Housing </w:t>
      </w:r>
      <w:proofErr w:type="spellStart"/>
      <w:r w:rsidRPr="008507A3">
        <w:rPr>
          <w:rFonts w:eastAsiaTheme="minorEastAsia"/>
          <w:bCs/>
          <w:szCs w:val="20"/>
        </w:rPr>
        <w:t>Organisations</w:t>
      </w:r>
      <w:proofErr w:type="spellEnd"/>
      <w:r w:rsidRPr="008507A3">
        <w:rPr>
          <w:rFonts w:eastAsiaTheme="minorEastAsia"/>
          <w:bCs/>
          <w:szCs w:val="20"/>
        </w:rPr>
        <w:t xml:space="preserve"> (ICHOs) in urban, rural, regional and remote areas</w:t>
      </w:r>
      <w:r>
        <w:rPr>
          <w:rFonts w:eastAsiaTheme="minorEastAsia"/>
          <w:bCs/>
          <w:szCs w:val="20"/>
        </w:rPr>
        <w:t xml:space="preserve"> ($170 million)</w:t>
      </w:r>
      <w:r w:rsidRPr="008507A3">
        <w:rPr>
          <w:rFonts w:eastAsiaTheme="minorEastAsia"/>
          <w:bCs/>
          <w:szCs w:val="20"/>
        </w:rPr>
        <w:t xml:space="preserve">. </w:t>
      </w:r>
    </w:p>
    <w:p w14:paraId="0C921E01" w14:textId="3A45A4D7" w:rsidR="00555B63" w:rsidRPr="008507A3" w:rsidRDefault="008507A3" w:rsidP="008507A3">
      <w:pPr>
        <w:pStyle w:val="List3"/>
        <w:numPr>
          <w:ilvl w:val="0"/>
          <w:numId w:val="54"/>
        </w:numPr>
      </w:pPr>
      <w:r>
        <w:t xml:space="preserve">Ensure Aboriginal and Torres Strait Islander children get access to high quality early education that is culturally safe, delivered by appropriately skilled teachers ($73 million). </w:t>
      </w:r>
    </w:p>
    <w:p w14:paraId="62D5B796" w14:textId="58FBC3D9" w:rsidR="6EEE580F" w:rsidRDefault="00C91272" w:rsidP="15FEB2D3">
      <w:r>
        <w:t>Sixth</w:t>
      </w:r>
      <w:r w:rsidR="6EEE580F">
        <w:t xml:space="preserve">, </w:t>
      </w:r>
      <w:r w:rsidR="6EEE580F" w:rsidRPr="15FEB2D3">
        <w:rPr>
          <w:b/>
          <w:bCs/>
        </w:rPr>
        <w:t>strengthen the public revenue base</w:t>
      </w:r>
      <w:r w:rsidR="6EEE580F">
        <w:t xml:space="preserve"> to meet </w:t>
      </w:r>
      <w:r w:rsidR="000F3825">
        <w:t xml:space="preserve">current and </w:t>
      </w:r>
      <w:r w:rsidR="6EEE580F">
        <w:t>future needs.</w:t>
      </w:r>
    </w:p>
    <w:p w14:paraId="016049B2" w14:textId="1DE7F488" w:rsidR="72B7436D" w:rsidRPr="002155F2" w:rsidRDefault="72B7436D" w:rsidP="00F13F51">
      <w:pPr>
        <w:pStyle w:val="ListParagraph"/>
        <w:numPr>
          <w:ilvl w:val="0"/>
          <w:numId w:val="20"/>
        </w:numPr>
      </w:pPr>
      <w:r w:rsidRPr="002155F2">
        <w:t>Do not proceed with $</w:t>
      </w:r>
      <w:r w:rsidR="00473298">
        <w:t>17 billion</w:t>
      </w:r>
      <w:r w:rsidRPr="002155F2">
        <w:t xml:space="preserve"> per annum in tax cuts for people with high incomes;</w:t>
      </w:r>
    </w:p>
    <w:p w14:paraId="60B4C0B9" w14:textId="558F3171" w:rsidR="080ED0FB" w:rsidRPr="002155F2" w:rsidRDefault="080ED0FB" w:rsidP="00F13F51">
      <w:pPr>
        <w:pStyle w:val="ListParagraph"/>
        <w:numPr>
          <w:ilvl w:val="0"/>
          <w:numId w:val="20"/>
        </w:numPr>
        <w:rPr>
          <w:rFonts w:asciiTheme="minorHAnsi" w:eastAsiaTheme="minorEastAsia" w:hAnsiTheme="minorHAnsi"/>
        </w:rPr>
      </w:pPr>
      <w:r w:rsidRPr="002155F2">
        <w:t>Extend the 15% tax rate on super fund investment income to post retirement accounts to fund</w:t>
      </w:r>
      <w:r w:rsidR="0DF1353D" w:rsidRPr="002155F2">
        <w:t xml:space="preserve"> </w:t>
      </w:r>
      <w:r w:rsidR="7B263BE9" w:rsidRPr="002155F2">
        <w:t xml:space="preserve">a </w:t>
      </w:r>
      <w:r w:rsidR="0DF1353D" w:rsidRPr="002155F2">
        <w:t xml:space="preserve">guarantee of </w:t>
      </w:r>
      <w:r w:rsidR="45F222F6" w:rsidRPr="002155F2">
        <w:t>high-quality</w:t>
      </w:r>
      <w:r w:rsidR="0DF1353D" w:rsidRPr="002155F2">
        <w:t xml:space="preserve"> aged care services</w:t>
      </w:r>
      <w:r w:rsidR="38A50973" w:rsidRPr="002155F2">
        <w:t xml:space="preserve"> for all</w:t>
      </w:r>
      <w:r w:rsidR="2036F5A4" w:rsidRPr="002155F2">
        <w:t xml:space="preserve"> ($2</w:t>
      </w:r>
      <w:r w:rsidR="00473298">
        <w:t>,</w:t>
      </w:r>
      <w:r w:rsidR="2036F5A4" w:rsidRPr="002155F2">
        <w:t>5</w:t>
      </w:r>
      <w:r w:rsidR="00473298">
        <w:t>00</w:t>
      </w:r>
      <w:r w:rsidR="2036F5A4" w:rsidRPr="002155F2">
        <w:t xml:space="preserve"> </w:t>
      </w:r>
      <w:r w:rsidR="00473298">
        <w:t>m</w:t>
      </w:r>
      <w:r w:rsidR="2036F5A4" w:rsidRPr="002155F2">
        <w:t>illion)</w:t>
      </w:r>
      <w:r w:rsidR="6CEE5860" w:rsidRPr="002155F2">
        <w:t>;</w:t>
      </w:r>
    </w:p>
    <w:p w14:paraId="63B7F481" w14:textId="5BAE59D6" w:rsidR="67DE4557" w:rsidRPr="002155F2" w:rsidRDefault="67DE4557" w:rsidP="00F13F51">
      <w:pPr>
        <w:pStyle w:val="ListParagraph"/>
        <w:numPr>
          <w:ilvl w:val="0"/>
          <w:numId w:val="20"/>
        </w:numPr>
      </w:pPr>
      <w:r w:rsidRPr="002155F2">
        <w:t>Reduce tax breaks for capital gains and remove the tax advantages of negative gearing strategies</w:t>
      </w:r>
      <w:r w:rsidR="7C9949A6" w:rsidRPr="002155F2">
        <w:t xml:space="preserve"> - this would also help prevent another surge in house prices</w:t>
      </w:r>
      <w:r w:rsidR="5BC12E0B" w:rsidRPr="002155F2">
        <w:t xml:space="preserve"> ($2</w:t>
      </w:r>
      <w:r w:rsidR="00473298">
        <w:t>,</w:t>
      </w:r>
      <w:r w:rsidR="5BC12E0B" w:rsidRPr="002155F2">
        <w:t>1</w:t>
      </w:r>
      <w:r w:rsidR="00473298">
        <w:t>00</w:t>
      </w:r>
      <w:r w:rsidR="5BC12E0B" w:rsidRPr="002155F2">
        <w:t xml:space="preserve"> </w:t>
      </w:r>
      <w:r w:rsidR="00473298">
        <w:t>m</w:t>
      </w:r>
      <w:r w:rsidR="5BC12E0B" w:rsidRPr="002155F2">
        <w:t>illion in 2022-23)</w:t>
      </w:r>
      <w:r w:rsidR="168A04C9" w:rsidRPr="002155F2">
        <w:t>;</w:t>
      </w:r>
    </w:p>
    <w:p w14:paraId="5130E74D" w14:textId="7D9DF75A" w:rsidR="67DE4557" w:rsidRPr="002155F2" w:rsidRDefault="67DE4557" w:rsidP="00F13F51">
      <w:pPr>
        <w:pStyle w:val="ListParagraph"/>
        <w:numPr>
          <w:ilvl w:val="0"/>
          <w:numId w:val="20"/>
        </w:numPr>
      </w:pPr>
      <w:r w:rsidRPr="002155F2">
        <w:t>Curb personal income tax avoidance through private trusts and companies</w:t>
      </w:r>
      <w:r w:rsidR="7C6EBB72" w:rsidRPr="002155F2">
        <w:t xml:space="preserve"> ($2</w:t>
      </w:r>
      <w:r w:rsidR="00473298">
        <w:t>,</w:t>
      </w:r>
      <w:r w:rsidR="7C6EBB72" w:rsidRPr="002155F2">
        <w:t>9</w:t>
      </w:r>
      <w:r w:rsidR="00473298">
        <w:t>00</w:t>
      </w:r>
      <w:r w:rsidR="7C6EBB72" w:rsidRPr="002155F2">
        <w:t xml:space="preserve"> </w:t>
      </w:r>
      <w:r w:rsidR="00473298">
        <w:t>m</w:t>
      </w:r>
      <w:r w:rsidR="7C6EBB72" w:rsidRPr="002155F2">
        <w:t>illion in 2022-23)</w:t>
      </w:r>
      <w:r w:rsidR="73ECB3AB" w:rsidRPr="002155F2">
        <w:t>;</w:t>
      </w:r>
    </w:p>
    <w:p w14:paraId="3B9F48BF" w14:textId="77777777" w:rsidR="00887ADF" w:rsidRDefault="67DE4557" w:rsidP="00161F8E">
      <w:pPr>
        <w:pStyle w:val="ListParagraph"/>
        <w:numPr>
          <w:ilvl w:val="0"/>
          <w:numId w:val="20"/>
        </w:numPr>
      </w:pPr>
      <w:r w:rsidRPr="002155F2">
        <w:t>Curb tax avoidance by multinational companies</w:t>
      </w:r>
      <w:r w:rsidR="51F843E2" w:rsidRPr="002155F2">
        <w:t xml:space="preserve"> ($500 million in 2022-23)</w:t>
      </w:r>
      <w:r w:rsidRPr="002155F2">
        <w:t xml:space="preserve">.  </w:t>
      </w:r>
    </w:p>
    <w:p w14:paraId="6846316C" w14:textId="3FBC07EF" w:rsidR="00555B63" w:rsidRDefault="00D60DF4" w:rsidP="00555B63">
      <w:pPr>
        <w:pStyle w:val="ListParagraph"/>
        <w:numPr>
          <w:ilvl w:val="0"/>
          <w:numId w:val="20"/>
        </w:numPr>
      </w:pPr>
      <w:r w:rsidRPr="00D60DF4">
        <w:t xml:space="preserve">Phase out </w:t>
      </w:r>
      <w:r>
        <w:t xml:space="preserve">diesel fuel subsidies for off-road use (except agriculture) </w:t>
      </w:r>
      <w:r w:rsidRPr="00D60DF4">
        <w:t>and divert expenditure into climate change transition and resilience strengthening measures.</w:t>
      </w:r>
    </w:p>
    <w:p w14:paraId="747DD9EE" w14:textId="77777777" w:rsidR="003520E9" w:rsidRPr="003520E9" w:rsidRDefault="003520E9" w:rsidP="003520E9">
      <w:pPr>
        <w:pStyle w:val="List3"/>
        <w:ind w:left="0" w:firstLine="0"/>
      </w:pPr>
    </w:p>
    <w:p w14:paraId="2E89FE72" w14:textId="62265AFF" w:rsidR="008745B7" w:rsidRDefault="008745B7" w:rsidP="003520E9">
      <w:pPr>
        <w:pStyle w:val="Heading2"/>
      </w:pPr>
      <w:bookmarkStart w:id="13" w:name="_Toc63685909"/>
      <w:r>
        <w:t>Budget impact of our proposals</w:t>
      </w:r>
      <w:bookmarkEnd w:id="13"/>
    </w:p>
    <w:p w14:paraId="53828DF5" w14:textId="097814F0" w:rsidR="008745B7" w:rsidRDefault="00555B63" w:rsidP="008745B7">
      <w:r>
        <w:t xml:space="preserve">The </w:t>
      </w:r>
      <w:r w:rsidR="008745B7">
        <w:t xml:space="preserve">proposals in this submission would strengthen growth in incomes and employment, especially in 2021-22 when there is a risk that growth will flag. </w:t>
      </w:r>
    </w:p>
    <w:p w14:paraId="528CCBF1" w14:textId="7F68B9B9" w:rsidR="008745B7" w:rsidRDefault="008745B7" w:rsidP="008745B7">
      <w:r>
        <w:t xml:space="preserve">We were not able to cost all recommendations, including a number of social security proposals, the proposed extension of the </w:t>
      </w:r>
      <w:proofErr w:type="spellStart"/>
      <w:r>
        <w:t>Jobkeeper</w:t>
      </w:r>
      <w:proofErr w:type="spellEnd"/>
      <w:r>
        <w:t xml:space="preserve"> wage subsidy, and a jobs and training guarantee for people unemployed long-term</w:t>
      </w:r>
      <w:r w:rsidR="00555B63">
        <w:t xml:space="preserve">. </w:t>
      </w:r>
      <w:r>
        <w:t xml:space="preserve"> </w:t>
      </w:r>
    </w:p>
    <w:p w14:paraId="7E78B184" w14:textId="690EE2B8" w:rsidR="008745B7" w:rsidRDefault="008745B7" w:rsidP="008745B7">
      <w:r>
        <w:t xml:space="preserve">The </w:t>
      </w:r>
      <w:r w:rsidR="00555B63">
        <w:t xml:space="preserve">costed </w:t>
      </w:r>
      <w:r>
        <w:t xml:space="preserve">recommendations </w:t>
      </w:r>
      <w:r w:rsidR="00555B63">
        <w:t xml:space="preserve">invest </w:t>
      </w:r>
      <w:r>
        <w:t xml:space="preserve">$13 billion </w:t>
      </w:r>
      <w:r w:rsidR="00555B63">
        <w:t xml:space="preserve">in expenditures </w:t>
      </w:r>
      <w:r>
        <w:t>and raise $4 billion in additional revenue. They would increase the Budget deficit by approximately $9 billion in 2021-22, so this is a minimum value for the economic stimulus imparted in the first year.</w:t>
      </w:r>
    </w:p>
    <w:p w14:paraId="773F1467" w14:textId="1330992D" w:rsidR="008745B7" w:rsidRDefault="008745B7" w:rsidP="008745B7">
      <w:r>
        <w:t xml:space="preserve">In 2022-23, the costed expenditure proposals increase to $23 billion but they are partly offset by $20 billion in revenue-raising measures, which mostly commence in that year. The net budget impact in 2022-23 would be an increase of </w:t>
      </w:r>
      <w:r w:rsidR="00555B63">
        <w:t>about</w:t>
      </w:r>
      <w:r>
        <w:t xml:space="preserve"> $3 billion</w:t>
      </w:r>
      <w:r w:rsidR="00555B63">
        <w:t xml:space="preserve"> in expenditures</w:t>
      </w:r>
      <w:r>
        <w:t>.</w:t>
      </w:r>
    </w:p>
    <w:p w14:paraId="49FEB292" w14:textId="77777777" w:rsidR="008745B7" w:rsidRDefault="008745B7" w:rsidP="008745B7">
      <w:r>
        <w:t xml:space="preserve">Given the very low interest rates on public borrowings, a substantial increase in the Budget deficit is not a problem from the standpoint of annual interest expenses over the forward estimates period. On top of the unprecedented fiscal stimulus in 2020, this would aid economic recovery. </w:t>
      </w:r>
    </w:p>
    <w:p w14:paraId="75B6C9FB" w14:textId="77777777" w:rsidR="003520E9" w:rsidRDefault="008745B7" w:rsidP="00945D9C">
      <w:r>
        <w:t xml:space="preserve">Over time, the phasing out of some major expenditures such as the </w:t>
      </w:r>
      <w:proofErr w:type="spellStart"/>
      <w:r>
        <w:t>Jobkeeper</w:t>
      </w:r>
      <w:proofErr w:type="spellEnd"/>
      <w:r>
        <w:t xml:space="preserve"> wage subsidies, and the maturation of </w:t>
      </w:r>
      <w:r w:rsidR="009B7D05">
        <w:t>our</w:t>
      </w:r>
      <w:r>
        <w:t xml:space="preserve"> revenue measures, would substantially reduce future budget deficits and public debt. This applies especially to the </w:t>
      </w:r>
      <w:r w:rsidR="009B7D05">
        <w:t xml:space="preserve">removal of </w:t>
      </w:r>
      <w:r>
        <w:t xml:space="preserve">$17 billion in annual tax cuts scheduled from 2024-25. </w:t>
      </w:r>
      <w:r w:rsidR="003C5828">
        <w:t>Future budgets will need to continue to pursue measures to strengthen our revenue base to ensure we can meet community needs.</w:t>
      </w:r>
    </w:p>
    <w:p w14:paraId="60061E4C" w14:textId="47861186" w:rsidR="00BE6CB1" w:rsidRPr="00BE6CB1" w:rsidRDefault="00F468D6" w:rsidP="003520E9">
      <w:pPr>
        <w:pStyle w:val="Heading2"/>
      </w:pPr>
      <w:r>
        <w:br w:type="column"/>
      </w:r>
      <w:r w:rsidR="00FD1810">
        <w:lastRenderedPageBreak/>
        <w:t xml:space="preserve"> </w:t>
      </w:r>
      <w:bookmarkStart w:id="14" w:name="_Toc63685910"/>
      <w:r w:rsidR="00161F8E">
        <w:t>Summary of recommendations</w:t>
      </w:r>
      <w:bookmarkEnd w:id="14"/>
    </w:p>
    <w:tbl>
      <w:tblPr>
        <w:tblW w:w="9778" w:type="dxa"/>
        <w:tblLook w:val="00E0" w:firstRow="1" w:lastRow="1" w:firstColumn="1" w:lastColumn="0" w:noHBand="0" w:noVBand="0"/>
      </w:tblPr>
      <w:tblGrid>
        <w:gridCol w:w="1134"/>
        <w:gridCol w:w="4108"/>
        <w:gridCol w:w="2268"/>
        <w:gridCol w:w="2268"/>
      </w:tblGrid>
      <w:tr w:rsidR="00473298" w14:paraId="52340BE5" w14:textId="77777777" w:rsidTr="00F3461C">
        <w:trPr>
          <w:trHeight w:val="350"/>
          <w:tblHeader/>
        </w:trPr>
        <w:tc>
          <w:tcPr>
            <w:tcW w:w="1134" w:type="dxa"/>
            <w:tcBorders>
              <w:top w:val="single" w:sz="2" w:space="0" w:color="707070"/>
              <w:left w:val="single" w:sz="2" w:space="0" w:color="707070"/>
              <w:bottom w:val="single" w:sz="2" w:space="0" w:color="707070"/>
              <w:right w:val="single" w:sz="2" w:space="0" w:color="707070"/>
            </w:tcBorders>
            <w:shd w:val="clear" w:color="auto" w:fill="C5E0B3" w:themeFill="accent6" w:themeFillTint="66"/>
          </w:tcPr>
          <w:p w14:paraId="5AF23C7C" w14:textId="77777777" w:rsidR="00473298" w:rsidRDefault="00473298">
            <w:pPr>
              <w:jc w:val="both"/>
              <w:rPr>
                <w:rFonts w:eastAsiaTheme="majorEastAsia" w:cstheme="majorBidi"/>
                <w:b/>
                <w:i/>
                <w:iCs/>
                <w:color w:val="CE2028"/>
                <w:sz w:val="18"/>
                <w:szCs w:val="18"/>
                <w:lang w:val="en-AU"/>
              </w:rPr>
            </w:pPr>
          </w:p>
        </w:tc>
        <w:tc>
          <w:tcPr>
            <w:tcW w:w="4108" w:type="dxa"/>
            <w:tcBorders>
              <w:top w:val="single" w:sz="2" w:space="0" w:color="707070"/>
              <w:left w:val="single" w:sz="2" w:space="0" w:color="707070"/>
              <w:bottom w:val="single" w:sz="2" w:space="0" w:color="707070"/>
              <w:right w:val="single" w:sz="2" w:space="0" w:color="707070"/>
            </w:tcBorders>
            <w:shd w:val="clear" w:color="auto" w:fill="C5E0B3" w:themeFill="accent6" w:themeFillTint="66"/>
            <w:hideMark/>
          </w:tcPr>
          <w:p w14:paraId="1A074767" w14:textId="77777777" w:rsidR="00473298" w:rsidRDefault="00473298">
            <w:pPr>
              <w:jc w:val="both"/>
              <w:rPr>
                <w:rFonts w:eastAsiaTheme="majorEastAsia" w:cstheme="majorBidi"/>
                <w:b/>
                <w:i/>
                <w:iCs/>
                <w:color w:val="CE2028"/>
                <w:sz w:val="18"/>
                <w:szCs w:val="18"/>
                <w:lang w:val="en-AU"/>
              </w:rPr>
            </w:pPr>
            <w:r>
              <w:rPr>
                <w:rFonts w:eastAsiaTheme="majorEastAsia" w:cstheme="majorBidi"/>
                <w:b/>
                <w:i/>
                <w:iCs/>
                <w:color w:val="CE2028"/>
                <w:sz w:val="18"/>
                <w:szCs w:val="18"/>
                <w:lang w:val="en-AU"/>
              </w:rPr>
              <w:t>Expenditure Measures</w:t>
            </w:r>
          </w:p>
        </w:tc>
        <w:tc>
          <w:tcPr>
            <w:tcW w:w="2268" w:type="dxa"/>
            <w:tcBorders>
              <w:top w:val="single" w:sz="2" w:space="0" w:color="707070"/>
              <w:left w:val="single" w:sz="2" w:space="0" w:color="707070"/>
              <w:bottom w:val="single" w:sz="2" w:space="0" w:color="707070"/>
              <w:right w:val="single" w:sz="2" w:space="0" w:color="707070"/>
            </w:tcBorders>
            <w:shd w:val="clear" w:color="auto" w:fill="C5E0B3" w:themeFill="accent6" w:themeFillTint="66"/>
            <w:hideMark/>
          </w:tcPr>
          <w:p w14:paraId="244AF28B" w14:textId="77777777" w:rsidR="00473298" w:rsidRDefault="00473298">
            <w:pPr>
              <w:rPr>
                <w:b/>
                <w:sz w:val="18"/>
                <w:szCs w:val="18"/>
                <w:lang w:val="en-AU"/>
              </w:rPr>
            </w:pPr>
            <w:r>
              <w:rPr>
                <w:b/>
                <w:sz w:val="18"/>
                <w:szCs w:val="18"/>
                <w:lang w:val="en-AU"/>
              </w:rPr>
              <w:t xml:space="preserve">2021-22 </w:t>
            </w:r>
          </w:p>
        </w:tc>
        <w:tc>
          <w:tcPr>
            <w:tcW w:w="2268" w:type="dxa"/>
            <w:tcBorders>
              <w:top w:val="single" w:sz="2" w:space="0" w:color="707070"/>
              <w:left w:val="single" w:sz="2" w:space="0" w:color="707070"/>
              <w:bottom w:val="single" w:sz="2" w:space="0" w:color="707070"/>
              <w:right w:val="single" w:sz="2" w:space="0" w:color="707070"/>
            </w:tcBorders>
            <w:shd w:val="clear" w:color="auto" w:fill="C5E0B3" w:themeFill="accent6" w:themeFillTint="66"/>
            <w:hideMark/>
          </w:tcPr>
          <w:p w14:paraId="6A4773D8" w14:textId="77777777" w:rsidR="00473298" w:rsidRDefault="00473298">
            <w:pPr>
              <w:rPr>
                <w:b/>
                <w:sz w:val="18"/>
                <w:szCs w:val="18"/>
                <w:lang w:val="en-AU"/>
              </w:rPr>
            </w:pPr>
            <w:r>
              <w:rPr>
                <w:b/>
                <w:sz w:val="18"/>
                <w:szCs w:val="18"/>
                <w:lang w:val="en-AU"/>
              </w:rPr>
              <w:t>2022-23</w:t>
            </w:r>
          </w:p>
        </w:tc>
      </w:tr>
      <w:tr w:rsidR="00473298" w14:paraId="40CB3D6C" w14:textId="77777777" w:rsidTr="00F3461C">
        <w:trPr>
          <w:trHeight w:val="430"/>
          <w:tblHeader/>
        </w:trPr>
        <w:tc>
          <w:tcPr>
            <w:tcW w:w="1134" w:type="dxa"/>
            <w:tcBorders>
              <w:top w:val="single" w:sz="2" w:space="0" w:color="707070"/>
              <w:left w:val="single" w:sz="2" w:space="0" w:color="707070"/>
              <w:bottom w:val="single" w:sz="2" w:space="0" w:color="707070"/>
              <w:right w:val="single" w:sz="2" w:space="0" w:color="707070"/>
            </w:tcBorders>
            <w:shd w:val="clear" w:color="auto" w:fill="E2EFD9" w:themeFill="accent6" w:themeFillTint="33"/>
            <w:hideMark/>
          </w:tcPr>
          <w:p w14:paraId="31B935A5" w14:textId="77777777" w:rsidR="00473298" w:rsidRDefault="00473298">
            <w:pPr>
              <w:jc w:val="both"/>
              <w:rPr>
                <w:rFonts w:eastAsiaTheme="majorEastAsia" w:cstheme="majorBidi"/>
                <w:b/>
                <w:i/>
                <w:iCs/>
                <w:color w:val="CE2028"/>
                <w:sz w:val="18"/>
                <w:szCs w:val="18"/>
                <w:lang w:val="en-AU"/>
              </w:rPr>
            </w:pPr>
            <w:r>
              <w:rPr>
                <w:rFonts w:eastAsiaTheme="majorEastAsia" w:cstheme="majorBidi"/>
                <w:b/>
                <w:i/>
                <w:iCs/>
                <w:color w:val="CE2028"/>
                <w:szCs w:val="18"/>
                <w:lang w:val="en-AU"/>
              </w:rPr>
              <w:t>Number</w:t>
            </w:r>
          </w:p>
        </w:tc>
        <w:tc>
          <w:tcPr>
            <w:tcW w:w="4108" w:type="dxa"/>
            <w:tcBorders>
              <w:top w:val="single" w:sz="2" w:space="0" w:color="707070"/>
              <w:left w:val="single" w:sz="2" w:space="0" w:color="707070"/>
              <w:bottom w:val="single" w:sz="2" w:space="0" w:color="707070"/>
              <w:right w:val="single" w:sz="2" w:space="0" w:color="707070"/>
            </w:tcBorders>
            <w:shd w:val="clear" w:color="auto" w:fill="E2EFD9" w:themeFill="accent6" w:themeFillTint="33"/>
          </w:tcPr>
          <w:p w14:paraId="294BD289" w14:textId="77777777" w:rsidR="00473298" w:rsidRDefault="00473298">
            <w:pPr>
              <w:jc w:val="both"/>
              <w:rPr>
                <w:rFonts w:eastAsiaTheme="majorEastAsia" w:cstheme="majorBidi"/>
                <w:b/>
                <w:i/>
                <w:iCs/>
                <w:color w:val="CE2028"/>
                <w:szCs w:val="18"/>
                <w:lang w:val="en-AU"/>
              </w:rPr>
            </w:pPr>
          </w:p>
        </w:tc>
        <w:tc>
          <w:tcPr>
            <w:tcW w:w="2268" w:type="dxa"/>
            <w:tcBorders>
              <w:top w:val="single" w:sz="2" w:space="0" w:color="707070"/>
              <w:left w:val="single" w:sz="2" w:space="0" w:color="707070"/>
              <w:bottom w:val="single" w:sz="2" w:space="0" w:color="707070"/>
              <w:right w:val="single" w:sz="2" w:space="0" w:color="707070"/>
            </w:tcBorders>
            <w:shd w:val="clear" w:color="auto" w:fill="E2EFD9" w:themeFill="accent6" w:themeFillTint="33"/>
            <w:hideMark/>
          </w:tcPr>
          <w:p w14:paraId="5CD89235" w14:textId="77777777" w:rsidR="00473298" w:rsidRDefault="00473298">
            <w:pPr>
              <w:rPr>
                <w:b/>
                <w:szCs w:val="18"/>
                <w:lang w:val="en-AU"/>
              </w:rPr>
            </w:pPr>
            <w:r>
              <w:rPr>
                <w:b/>
                <w:szCs w:val="18"/>
                <w:lang w:val="en-AU"/>
              </w:rPr>
              <w:t>Budget impact $m</w:t>
            </w:r>
          </w:p>
        </w:tc>
        <w:tc>
          <w:tcPr>
            <w:tcW w:w="2268" w:type="dxa"/>
            <w:tcBorders>
              <w:top w:val="single" w:sz="2" w:space="0" w:color="707070"/>
              <w:left w:val="single" w:sz="2" w:space="0" w:color="707070"/>
              <w:bottom w:val="single" w:sz="2" w:space="0" w:color="707070"/>
              <w:right w:val="single" w:sz="2" w:space="0" w:color="707070"/>
            </w:tcBorders>
            <w:shd w:val="clear" w:color="auto" w:fill="E2EFD9" w:themeFill="accent6" w:themeFillTint="33"/>
            <w:hideMark/>
          </w:tcPr>
          <w:p w14:paraId="7B6DDD2F" w14:textId="77777777" w:rsidR="00473298" w:rsidRDefault="00473298">
            <w:pPr>
              <w:rPr>
                <w:b/>
                <w:szCs w:val="18"/>
                <w:lang w:val="en-AU"/>
              </w:rPr>
            </w:pPr>
            <w:r>
              <w:rPr>
                <w:b/>
                <w:szCs w:val="18"/>
                <w:lang w:val="en-AU"/>
              </w:rPr>
              <w:t>Budget impact $m</w:t>
            </w:r>
          </w:p>
        </w:tc>
      </w:tr>
      <w:tr w:rsidR="00473298" w14:paraId="462B1702" w14:textId="77777777" w:rsidTr="00F3461C">
        <w:trPr>
          <w:trHeight w:val="430"/>
        </w:trPr>
        <w:tc>
          <w:tcPr>
            <w:tcW w:w="1134" w:type="dxa"/>
            <w:tcBorders>
              <w:top w:val="single" w:sz="2" w:space="0" w:color="707070"/>
              <w:left w:val="single" w:sz="2" w:space="0" w:color="707070"/>
              <w:bottom w:val="single" w:sz="2" w:space="0" w:color="707070"/>
              <w:right w:val="single" w:sz="2" w:space="0" w:color="707070"/>
            </w:tcBorders>
          </w:tcPr>
          <w:p w14:paraId="5000410F" w14:textId="77777777" w:rsidR="00473298" w:rsidRDefault="00473298">
            <w:pPr>
              <w:rPr>
                <w:b/>
                <w:szCs w:val="18"/>
                <w:lang w:val="en-AU"/>
              </w:rPr>
            </w:pPr>
          </w:p>
        </w:tc>
        <w:tc>
          <w:tcPr>
            <w:tcW w:w="4108" w:type="dxa"/>
            <w:tcBorders>
              <w:top w:val="single" w:sz="2" w:space="0" w:color="707070"/>
              <w:left w:val="single" w:sz="2" w:space="0" w:color="707070"/>
              <w:bottom w:val="single" w:sz="2" w:space="0" w:color="707070"/>
              <w:right w:val="single" w:sz="2" w:space="0" w:color="707070"/>
            </w:tcBorders>
            <w:hideMark/>
          </w:tcPr>
          <w:p w14:paraId="34CCBAB6" w14:textId="77777777" w:rsidR="00473298" w:rsidRDefault="00473298">
            <w:pPr>
              <w:rPr>
                <w:b/>
                <w:szCs w:val="18"/>
                <w:lang w:val="en-AU"/>
              </w:rPr>
            </w:pPr>
            <w:r>
              <w:rPr>
                <w:b/>
                <w:szCs w:val="18"/>
                <w:lang w:val="en-AU"/>
              </w:rPr>
              <w:t>Social security</w:t>
            </w:r>
          </w:p>
        </w:tc>
        <w:tc>
          <w:tcPr>
            <w:tcW w:w="2268" w:type="dxa"/>
            <w:tcBorders>
              <w:top w:val="single" w:sz="2" w:space="0" w:color="707070"/>
              <w:left w:val="single" w:sz="2" w:space="0" w:color="707070"/>
              <w:bottom w:val="single" w:sz="2" w:space="0" w:color="707070"/>
              <w:right w:val="single" w:sz="2" w:space="0" w:color="707070"/>
            </w:tcBorders>
          </w:tcPr>
          <w:p w14:paraId="2D239EED" w14:textId="77777777" w:rsidR="00473298" w:rsidRDefault="00473298">
            <w:pPr>
              <w:rPr>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4A94B686" w14:textId="77777777" w:rsidR="00473298" w:rsidRDefault="00473298">
            <w:pPr>
              <w:rPr>
                <w:szCs w:val="18"/>
                <w:lang w:val="en-AU"/>
              </w:rPr>
            </w:pPr>
          </w:p>
        </w:tc>
      </w:tr>
      <w:tr w:rsidR="00473298" w14:paraId="3E0418CC" w14:textId="77777777" w:rsidTr="00F3461C">
        <w:trPr>
          <w:trHeight w:val="400"/>
        </w:trPr>
        <w:tc>
          <w:tcPr>
            <w:tcW w:w="1134" w:type="dxa"/>
            <w:tcBorders>
              <w:top w:val="single" w:sz="2" w:space="0" w:color="707070"/>
              <w:left w:val="single" w:sz="2" w:space="0" w:color="707070"/>
              <w:bottom w:val="single" w:sz="2" w:space="0" w:color="707070"/>
              <w:right w:val="single" w:sz="2" w:space="0" w:color="707070"/>
            </w:tcBorders>
            <w:hideMark/>
          </w:tcPr>
          <w:p w14:paraId="7E1E89E1" w14:textId="77777777" w:rsidR="00473298" w:rsidRDefault="00473298">
            <w:pPr>
              <w:rPr>
                <w:szCs w:val="18"/>
                <w:lang w:val="en-AU"/>
              </w:rPr>
            </w:pPr>
            <w:r>
              <w:rPr>
                <w:szCs w:val="18"/>
                <w:lang w:val="en-AU"/>
              </w:rPr>
              <w:t>1.</w:t>
            </w:r>
          </w:p>
        </w:tc>
        <w:tc>
          <w:tcPr>
            <w:tcW w:w="4108" w:type="dxa"/>
            <w:tcBorders>
              <w:top w:val="single" w:sz="2" w:space="0" w:color="707070"/>
              <w:left w:val="single" w:sz="2" w:space="0" w:color="707070"/>
              <w:bottom w:val="single" w:sz="2" w:space="0" w:color="707070"/>
              <w:right w:val="single" w:sz="2" w:space="0" w:color="707070"/>
            </w:tcBorders>
            <w:hideMark/>
          </w:tcPr>
          <w:p w14:paraId="749C7AFD" w14:textId="77777777" w:rsidR="00473298" w:rsidRDefault="00473298">
            <w:pPr>
              <w:rPr>
                <w:szCs w:val="18"/>
                <w:lang w:val="en-AU"/>
              </w:rPr>
            </w:pPr>
            <w:r>
              <w:rPr>
                <w:szCs w:val="18"/>
                <w:lang w:val="en-AU"/>
              </w:rPr>
              <w:t xml:space="preserve">Permanently increase </w:t>
            </w:r>
            <w:proofErr w:type="spellStart"/>
            <w:r>
              <w:rPr>
                <w:szCs w:val="18"/>
                <w:lang w:val="en-AU"/>
              </w:rPr>
              <w:t>JobSeeker</w:t>
            </w:r>
            <w:proofErr w:type="spellEnd"/>
            <w:r>
              <w:rPr>
                <w:szCs w:val="18"/>
                <w:lang w:val="en-AU"/>
              </w:rPr>
              <w:t>, Youth Allowance, Parenting Payment and related income support</w:t>
            </w:r>
          </w:p>
        </w:tc>
        <w:tc>
          <w:tcPr>
            <w:tcW w:w="2268" w:type="dxa"/>
            <w:tcBorders>
              <w:top w:val="single" w:sz="2" w:space="0" w:color="707070"/>
              <w:left w:val="single" w:sz="2" w:space="0" w:color="707070"/>
              <w:bottom w:val="single" w:sz="2" w:space="0" w:color="707070"/>
              <w:right w:val="single" w:sz="2" w:space="0" w:color="707070"/>
            </w:tcBorders>
            <w:hideMark/>
          </w:tcPr>
          <w:p w14:paraId="32273EA9" w14:textId="02EB3B07" w:rsidR="00473298" w:rsidRPr="00867EAE" w:rsidRDefault="00867EAE">
            <w:r w:rsidRPr="00867EAE">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hideMark/>
          </w:tcPr>
          <w:p w14:paraId="269BB1E3" w14:textId="15442355" w:rsidR="00473298" w:rsidRPr="00867EAE" w:rsidRDefault="00867EAE">
            <w:r w:rsidRPr="00867EAE">
              <w:rPr>
                <w:szCs w:val="18"/>
                <w:lang w:val="en-AU"/>
              </w:rPr>
              <w:t>not available</w:t>
            </w:r>
          </w:p>
        </w:tc>
      </w:tr>
      <w:tr w:rsidR="00473298" w14:paraId="03EB3CB7" w14:textId="77777777" w:rsidTr="00F3461C">
        <w:trPr>
          <w:trHeight w:val="400"/>
        </w:trPr>
        <w:tc>
          <w:tcPr>
            <w:tcW w:w="1134" w:type="dxa"/>
            <w:tcBorders>
              <w:top w:val="single" w:sz="2" w:space="0" w:color="707070"/>
              <w:left w:val="single" w:sz="2" w:space="0" w:color="707070"/>
              <w:bottom w:val="single" w:sz="2" w:space="0" w:color="707070"/>
              <w:right w:val="single" w:sz="2" w:space="0" w:color="707070"/>
            </w:tcBorders>
            <w:hideMark/>
          </w:tcPr>
          <w:p w14:paraId="3E3820F4" w14:textId="77777777" w:rsidR="00473298" w:rsidRDefault="00473298">
            <w:pPr>
              <w:rPr>
                <w:sz w:val="18"/>
                <w:szCs w:val="18"/>
                <w:lang w:val="en-AU"/>
              </w:rPr>
            </w:pPr>
            <w:r>
              <w:rPr>
                <w:szCs w:val="18"/>
                <w:lang w:val="en-AU"/>
              </w:rPr>
              <w:t>2.</w:t>
            </w:r>
          </w:p>
        </w:tc>
        <w:tc>
          <w:tcPr>
            <w:tcW w:w="4108" w:type="dxa"/>
            <w:tcBorders>
              <w:top w:val="single" w:sz="2" w:space="0" w:color="707070"/>
              <w:left w:val="single" w:sz="2" w:space="0" w:color="707070"/>
              <w:bottom w:val="single" w:sz="2" w:space="0" w:color="707070"/>
              <w:right w:val="single" w:sz="2" w:space="0" w:color="707070"/>
            </w:tcBorders>
            <w:hideMark/>
          </w:tcPr>
          <w:p w14:paraId="0A54F820" w14:textId="77777777" w:rsidR="00473298" w:rsidRDefault="00473298">
            <w:pPr>
              <w:rPr>
                <w:szCs w:val="18"/>
                <w:lang w:val="en-AU"/>
              </w:rPr>
            </w:pPr>
            <w:r>
              <w:rPr>
                <w:szCs w:val="18"/>
                <w:lang w:val="en-AU"/>
              </w:rPr>
              <w:t>Provide supplementary payments to meet specific need</w:t>
            </w:r>
          </w:p>
        </w:tc>
        <w:tc>
          <w:tcPr>
            <w:tcW w:w="2268" w:type="dxa"/>
            <w:tcBorders>
              <w:top w:val="single" w:sz="2" w:space="0" w:color="707070"/>
              <w:left w:val="single" w:sz="2" w:space="0" w:color="707070"/>
              <w:bottom w:val="single" w:sz="2" w:space="0" w:color="707070"/>
              <w:right w:val="single" w:sz="2" w:space="0" w:color="707070"/>
            </w:tcBorders>
            <w:hideMark/>
          </w:tcPr>
          <w:p w14:paraId="78BFA20A" w14:textId="720C38AA" w:rsidR="00473298" w:rsidRPr="00561516" w:rsidRDefault="00867EAE">
            <w:pPr>
              <w:rPr>
                <w:szCs w:val="18"/>
                <w:lang w:val="en-AU"/>
              </w:rPr>
            </w:pPr>
            <w:r w:rsidRPr="00561516">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tcPr>
          <w:p w14:paraId="6AB83F3C" w14:textId="034EA75E" w:rsidR="00473298" w:rsidRPr="00561516" w:rsidRDefault="00867EAE">
            <w:r w:rsidRPr="00561516">
              <w:rPr>
                <w:szCs w:val="18"/>
                <w:lang w:val="en-AU"/>
              </w:rPr>
              <w:t>not available</w:t>
            </w:r>
          </w:p>
          <w:p w14:paraId="395EC653" w14:textId="77777777" w:rsidR="00473298" w:rsidRPr="00561516" w:rsidRDefault="00473298">
            <w:pPr>
              <w:rPr>
                <w:sz w:val="18"/>
                <w:szCs w:val="18"/>
                <w:lang w:val="en-AU"/>
              </w:rPr>
            </w:pPr>
          </w:p>
        </w:tc>
      </w:tr>
      <w:tr w:rsidR="00473298" w14:paraId="190EAA22"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7284F4CC" w14:textId="77777777" w:rsidR="00473298" w:rsidRDefault="00473298">
            <w:pPr>
              <w:rPr>
                <w:szCs w:val="18"/>
                <w:lang w:val="en-AU"/>
              </w:rPr>
            </w:pPr>
            <w:r>
              <w:rPr>
                <w:szCs w:val="18"/>
                <w:lang w:val="en-AU"/>
              </w:rPr>
              <w:t>3.</w:t>
            </w:r>
          </w:p>
        </w:tc>
        <w:tc>
          <w:tcPr>
            <w:tcW w:w="4108" w:type="dxa"/>
            <w:tcBorders>
              <w:top w:val="single" w:sz="2" w:space="0" w:color="707070"/>
              <w:left w:val="single" w:sz="2" w:space="0" w:color="707070"/>
              <w:bottom w:val="single" w:sz="2" w:space="0" w:color="707070"/>
              <w:right w:val="single" w:sz="2" w:space="0" w:color="707070"/>
            </w:tcBorders>
            <w:hideMark/>
          </w:tcPr>
          <w:p w14:paraId="71B0186A" w14:textId="77777777" w:rsidR="00473298" w:rsidRDefault="00473298">
            <w:pPr>
              <w:rPr>
                <w:szCs w:val="18"/>
                <w:lang w:val="en-AU"/>
              </w:rPr>
            </w:pPr>
            <w:r>
              <w:rPr>
                <w:szCs w:val="18"/>
                <w:lang w:val="en-AU"/>
              </w:rPr>
              <w:t>Abolish compulsory Cashless Debit Card and Income Management</w:t>
            </w:r>
          </w:p>
        </w:tc>
        <w:tc>
          <w:tcPr>
            <w:tcW w:w="2268" w:type="dxa"/>
            <w:tcBorders>
              <w:top w:val="single" w:sz="2" w:space="0" w:color="707070"/>
              <w:left w:val="single" w:sz="2" w:space="0" w:color="707070"/>
              <w:bottom w:val="single" w:sz="2" w:space="0" w:color="707070"/>
              <w:right w:val="single" w:sz="2" w:space="0" w:color="707070"/>
            </w:tcBorders>
            <w:hideMark/>
          </w:tcPr>
          <w:p w14:paraId="0BA58057" w14:textId="77777777" w:rsidR="00473298" w:rsidRDefault="00473298">
            <w:pPr>
              <w:rPr>
                <w:szCs w:val="18"/>
                <w:lang w:val="en-AU"/>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67393762" w14:textId="77777777" w:rsidR="00473298" w:rsidRDefault="00473298">
            <w:pPr>
              <w:rPr>
                <w:szCs w:val="18"/>
                <w:lang w:val="en-AU"/>
              </w:rPr>
            </w:pPr>
            <w:r>
              <w:rPr>
                <w:szCs w:val="18"/>
                <w:lang w:val="en-AU"/>
              </w:rPr>
              <w:t>0</w:t>
            </w:r>
          </w:p>
        </w:tc>
      </w:tr>
      <w:tr w:rsidR="00473298" w14:paraId="2FCDE36E"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62A193AB" w14:textId="77777777" w:rsidR="00473298" w:rsidRDefault="00473298">
            <w:pPr>
              <w:rPr>
                <w:rFonts w:eastAsia="Verdana" w:cs="Verdana"/>
                <w:szCs w:val="18"/>
                <w:lang w:val="en-AU"/>
              </w:rPr>
            </w:pPr>
            <w:r>
              <w:rPr>
                <w:rFonts w:eastAsia="Verdana" w:cs="Verdana"/>
                <w:szCs w:val="18"/>
                <w:lang w:val="en-AU"/>
              </w:rPr>
              <w:t>4.</w:t>
            </w:r>
          </w:p>
        </w:tc>
        <w:tc>
          <w:tcPr>
            <w:tcW w:w="4108" w:type="dxa"/>
            <w:tcBorders>
              <w:top w:val="single" w:sz="2" w:space="0" w:color="707070"/>
              <w:left w:val="single" w:sz="2" w:space="0" w:color="707070"/>
              <w:bottom w:val="single" w:sz="2" w:space="0" w:color="707070"/>
              <w:right w:val="single" w:sz="2" w:space="0" w:color="707070"/>
            </w:tcBorders>
            <w:hideMark/>
          </w:tcPr>
          <w:p w14:paraId="6BAB0599" w14:textId="77777777" w:rsidR="00473298" w:rsidRDefault="00473298">
            <w:r>
              <w:rPr>
                <w:rFonts w:eastAsia="Verdana" w:cs="Verdana"/>
                <w:szCs w:val="18"/>
                <w:lang w:val="en-AU"/>
              </w:rPr>
              <w:t>Extend income support to temporary visa holders, people seeking asylum and international students</w:t>
            </w:r>
          </w:p>
        </w:tc>
        <w:tc>
          <w:tcPr>
            <w:tcW w:w="2268" w:type="dxa"/>
            <w:tcBorders>
              <w:top w:val="single" w:sz="2" w:space="0" w:color="707070"/>
              <w:left w:val="single" w:sz="2" w:space="0" w:color="707070"/>
              <w:bottom w:val="single" w:sz="2" w:space="0" w:color="707070"/>
              <w:right w:val="single" w:sz="2" w:space="0" w:color="707070"/>
            </w:tcBorders>
            <w:hideMark/>
          </w:tcPr>
          <w:p w14:paraId="1B02AFCD" w14:textId="7074C153" w:rsidR="00473298" w:rsidRDefault="00F3461C">
            <w:pPr>
              <w:rPr>
                <w:sz w:val="18"/>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hideMark/>
          </w:tcPr>
          <w:p w14:paraId="511F10A1" w14:textId="0F41CF95" w:rsidR="00473298" w:rsidRDefault="00F3461C">
            <w:pPr>
              <w:rPr>
                <w:szCs w:val="18"/>
                <w:lang w:val="en-AU"/>
              </w:rPr>
            </w:pPr>
            <w:r>
              <w:rPr>
                <w:szCs w:val="18"/>
                <w:lang w:val="en-AU"/>
              </w:rPr>
              <w:t>not available</w:t>
            </w:r>
          </w:p>
        </w:tc>
      </w:tr>
      <w:tr w:rsidR="00473298" w14:paraId="565F826D"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089ABEDE" w14:textId="77777777" w:rsidR="00473298" w:rsidRDefault="00473298">
            <w:pPr>
              <w:rPr>
                <w:rFonts w:eastAsia="Verdana" w:cs="Verdana"/>
                <w:szCs w:val="18"/>
                <w:lang w:val="en-AU"/>
              </w:rPr>
            </w:pPr>
            <w:r>
              <w:rPr>
                <w:rFonts w:eastAsia="Verdana" w:cs="Verdana"/>
                <w:szCs w:val="18"/>
                <w:lang w:val="en-AU"/>
              </w:rPr>
              <w:t>5.</w:t>
            </w:r>
          </w:p>
        </w:tc>
        <w:tc>
          <w:tcPr>
            <w:tcW w:w="4108" w:type="dxa"/>
            <w:tcBorders>
              <w:top w:val="single" w:sz="2" w:space="0" w:color="707070"/>
              <w:left w:val="single" w:sz="2" w:space="0" w:color="707070"/>
              <w:bottom w:val="single" w:sz="2" w:space="0" w:color="707070"/>
              <w:right w:val="single" w:sz="2" w:space="0" w:color="707070"/>
            </w:tcBorders>
            <w:hideMark/>
          </w:tcPr>
          <w:p w14:paraId="3398FE33" w14:textId="77777777" w:rsidR="00473298" w:rsidRDefault="00473298">
            <w:pPr>
              <w:rPr>
                <w:rFonts w:eastAsia="Verdana" w:cs="Verdana"/>
                <w:szCs w:val="18"/>
                <w:lang w:val="en-AU"/>
              </w:rPr>
            </w:pPr>
            <w:r>
              <w:rPr>
                <w:rFonts w:eastAsia="Verdana" w:cs="Verdana"/>
                <w:szCs w:val="18"/>
                <w:lang w:val="en-AU"/>
              </w:rPr>
              <w:t>Abolish the Liquid Assets Waiting Period</w:t>
            </w:r>
          </w:p>
        </w:tc>
        <w:tc>
          <w:tcPr>
            <w:tcW w:w="2268" w:type="dxa"/>
            <w:tcBorders>
              <w:top w:val="single" w:sz="2" w:space="0" w:color="707070"/>
              <w:left w:val="single" w:sz="2" w:space="0" w:color="707070"/>
              <w:bottom w:val="single" w:sz="2" w:space="0" w:color="707070"/>
              <w:right w:val="single" w:sz="2" w:space="0" w:color="707070"/>
            </w:tcBorders>
            <w:hideMark/>
          </w:tcPr>
          <w:p w14:paraId="0F5CC32C" w14:textId="77777777" w:rsidR="00473298" w:rsidRDefault="00473298">
            <w:pPr>
              <w:rPr>
                <w:szCs w:val="18"/>
                <w:lang w:val="en-AU"/>
              </w:rPr>
            </w:pPr>
            <w:r>
              <w:rPr>
                <w:szCs w:val="18"/>
                <w:lang w:val="en-AU"/>
              </w:rPr>
              <w:t>-30</w:t>
            </w:r>
          </w:p>
        </w:tc>
        <w:tc>
          <w:tcPr>
            <w:tcW w:w="2268" w:type="dxa"/>
            <w:tcBorders>
              <w:top w:val="single" w:sz="2" w:space="0" w:color="707070"/>
              <w:left w:val="single" w:sz="2" w:space="0" w:color="707070"/>
              <w:bottom w:val="single" w:sz="2" w:space="0" w:color="707070"/>
              <w:right w:val="single" w:sz="2" w:space="0" w:color="707070"/>
            </w:tcBorders>
            <w:hideMark/>
          </w:tcPr>
          <w:p w14:paraId="74B81DE3" w14:textId="77777777" w:rsidR="00473298" w:rsidRDefault="00473298">
            <w:pPr>
              <w:rPr>
                <w:szCs w:val="18"/>
                <w:lang w:val="en-AU"/>
              </w:rPr>
            </w:pPr>
            <w:r>
              <w:rPr>
                <w:szCs w:val="18"/>
                <w:lang w:val="en-AU"/>
              </w:rPr>
              <w:t>-31</w:t>
            </w:r>
          </w:p>
        </w:tc>
      </w:tr>
      <w:tr w:rsidR="00473298" w14:paraId="4FCB53DE"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291B7E45" w14:textId="77777777" w:rsidR="00473298" w:rsidRDefault="00473298">
            <w:pPr>
              <w:rPr>
                <w:rFonts w:eastAsia="Verdana" w:cs="Verdana"/>
                <w:szCs w:val="18"/>
                <w:lang w:val="en-AU"/>
              </w:rPr>
            </w:pPr>
            <w:r>
              <w:rPr>
                <w:rFonts w:eastAsia="Verdana" w:cs="Verdana"/>
                <w:szCs w:val="18"/>
                <w:lang w:val="en-AU"/>
              </w:rPr>
              <w:t>6.</w:t>
            </w:r>
          </w:p>
        </w:tc>
        <w:tc>
          <w:tcPr>
            <w:tcW w:w="4108" w:type="dxa"/>
            <w:tcBorders>
              <w:top w:val="single" w:sz="2" w:space="0" w:color="707070"/>
              <w:left w:val="single" w:sz="2" w:space="0" w:color="707070"/>
              <w:bottom w:val="single" w:sz="2" w:space="0" w:color="707070"/>
              <w:right w:val="single" w:sz="2" w:space="0" w:color="707070"/>
            </w:tcBorders>
            <w:hideMark/>
          </w:tcPr>
          <w:p w14:paraId="1EC7DB69" w14:textId="77777777" w:rsidR="00473298" w:rsidRDefault="00473298">
            <w:pPr>
              <w:rPr>
                <w:rFonts w:eastAsia="Verdana" w:cs="Verdana"/>
                <w:szCs w:val="18"/>
                <w:lang w:val="en-AU"/>
              </w:rPr>
            </w:pPr>
            <w:r>
              <w:rPr>
                <w:rFonts w:eastAsia="Verdana" w:cs="Verdana"/>
                <w:szCs w:val="18"/>
                <w:lang w:val="en-AU"/>
              </w:rPr>
              <w:t>Reduce waiting periods for newly arrived migrants</w:t>
            </w:r>
          </w:p>
        </w:tc>
        <w:tc>
          <w:tcPr>
            <w:tcW w:w="2268" w:type="dxa"/>
            <w:tcBorders>
              <w:top w:val="single" w:sz="2" w:space="0" w:color="707070"/>
              <w:left w:val="single" w:sz="2" w:space="0" w:color="707070"/>
              <w:bottom w:val="single" w:sz="2" w:space="0" w:color="707070"/>
              <w:right w:val="single" w:sz="2" w:space="0" w:color="707070"/>
            </w:tcBorders>
            <w:hideMark/>
          </w:tcPr>
          <w:p w14:paraId="7439036A" w14:textId="77777777" w:rsidR="00473298" w:rsidRDefault="00473298">
            <w:pPr>
              <w:rPr>
                <w:szCs w:val="18"/>
                <w:lang w:val="en-AU"/>
              </w:rPr>
            </w:pPr>
            <w:r>
              <w:rPr>
                <w:szCs w:val="18"/>
                <w:lang w:val="en-AU"/>
              </w:rPr>
              <w:t>-60</w:t>
            </w:r>
          </w:p>
        </w:tc>
        <w:tc>
          <w:tcPr>
            <w:tcW w:w="2268" w:type="dxa"/>
            <w:tcBorders>
              <w:top w:val="single" w:sz="2" w:space="0" w:color="707070"/>
              <w:left w:val="single" w:sz="2" w:space="0" w:color="707070"/>
              <w:bottom w:val="single" w:sz="2" w:space="0" w:color="707070"/>
              <w:right w:val="single" w:sz="2" w:space="0" w:color="707070"/>
            </w:tcBorders>
            <w:hideMark/>
          </w:tcPr>
          <w:p w14:paraId="4A44E328" w14:textId="77777777" w:rsidR="00473298" w:rsidRDefault="00473298">
            <w:pPr>
              <w:rPr>
                <w:szCs w:val="18"/>
                <w:lang w:val="en-AU"/>
              </w:rPr>
            </w:pPr>
            <w:r>
              <w:rPr>
                <w:szCs w:val="18"/>
                <w:lang w:val="en-AU"/>
              </w:rPr>
              <w:t>-61</w:t>
            </w:r>
          </w:p>
        </w:tc>
      </w:tr>
      <w:tr w:rsidR="00473298" w14:paraId="1467EDCF"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465D396D" w14:textId="77777777" w:rsidR="00473298" w:rsidRDefault="00473298">
            <w:pPr>
              <w:rPr>
                <w:rFonts w:eastAsia="Verdana" w:cs="Verdana"/>
                <w:szCs w:val="18"/>
                <w:lang w:val="en-AU"/>
              </w:rPr>
            </w:pPr>
            <w:r>
              <w:rPr>
                <w:rFonts w:eastAsia="Verdana" w:cs="Verdana"/>
                <w:szCs w:val="18"/>
                <w:lang w:val="en-AU"/>
              </w:rPr>
              <w:t>7.</w:t>
            </w:r>
          </w:p>
        </w:tc>
        <w:tc>
          <w:tcPr>
            <w:tcW w:w="4108" w:type="dxa"/>
            <w:tcBorders>
              <w:top w:val="single" w:sz="2" w:space="0" w:color="707070"/>
              <w:left w:val="single" w:sz="2" w:space="0" w:color="707070"/>
              <w:bottom w:val="single" w:sz="2" w:space="0" w:color="707070"/>
              <w:right w:val="single" w:sz="2" w:space="0" w:color="707070"/>
            </w:tcBorders>
            <w:hideMark/>
          </w:tcPr>
          <w:p w14:paraId="0170D2E8" w14:textId="77777777" w:rsidR="00473298" w:rsidRDefault="00473298">
            <w:pPr>
              <w:rPr>
                <w:rFonts w:eastAsia="Verdana" w:cs="Verdana"/>
                <w:szCs w:val="18"/>
                <w:lang w:val="en-AU"/>
              </w:rPr>
            </w:pPr>
            <w:r>
              <w:rPr>
                <w:rFonts w:eastAsia="Verdana" w:cs="Verdana"/>
                <w:szCs w:val="18"/>
                <w:lang w:val="en-AU"/>
              </w:rPr>
              <w:t>Improve access to income support</w:t>
            </w:r>
          </w:p>
        </w:tc>
        <w:tc>
          <w:tcPr>
            <w:tcW w:w="2268" w:type="dxa"/>
            <w:tcBorders>
              <w:top w:val="single" w:sz="2" w:space="0" w:color="707070"/>
              <w:left w:val="single" w:sz="2" w:space="0" w:color="707070"/>
              <w:bottom w:val="single" w:sz="2" w:space="0" w:color="707070"/>
              <w:right w:val="single" w:sz="2" w:space="0" w:color="707070"/>
            </w:tcBorders>
            <w:hideMark/>
          </w:tcPr>
          <w:p w14:paraId="6057CC9F" w14:textId="77777777" w:rsidR="00473298" w:rsidRDefault="00473298">
            <w:pPr>
              <w:rPr>
                <w:szCs w:val="18"/>
                <w:lang w:val="en-AU"/>
              </w:rPr>
            </w:pPr>
            <w:r>
              <w:rPr>
                <w:szCs w:val="18"/>
                <w:lang w:val="en-AU"/>
              </w:rPr>
              <w:t>-160</w:t>
            </w:r>
          </w:p>
        </w:tc>
        <w:tc>
          <w:tcPr>
            <w:tcW w:w="2268" w:type="dxa"/>
            <w:tcBorders>
              <w:top w:val="single" w:sz="2" w:space="0" w:color="707070"/>
              <w:left w:val="single" w:sz="2" w:space="0" w:color="707070"/>
              <w:bottom w:val="single" w:sz="2" w:space="0" w:color="707070"/>
              <w:right w:val="single" w:sz="2" w:space="0" w:color="707070"/>
            </w:tcBorders>
            <w:hideMark/>
          </w:tcPr>
          <w:p w14:paraId="2351CE66" w14:textId="77777777" w:rsidR="00473298" w:rsidRDefault="00473298">
            <w:pPr>
              <w:rPr>
                <w:szCs w:val="18"/>
                <w:lang w:val="en-AU"/>
              </w:rPr>
            </w:pPr>
            <w:r>
              <w:rPr>
                <w:szCs w:val="18"/>
                <w:lang w:val="en-AU"/>
              </w:rPr>
              <w:t>-160</w:t>
            </w:r>
          </w:p>
        </w:tc>
      </w:tr>
      <w:tr w:rsidR="00473298" w14:paraId="003348C0"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721ACE00" w14:textId="77777777" w:rsidR="00473298" w:rsidRDefault="00473298">
            <w:pPr>
              <w:rPr>
                <w:rFonts w:eastAsia="Verdana" w:cs="Verdana"/>
                <w:szCs w:val="18"/>
                <w:lang w:val="en-AU"/>
              </w:rPr>
            </w:pPr>
            <w:r>
              <w:rPr>
                <w:rFonts w:eastAsia="Verdana" w:cs="Verdana"/>
                <w:szCs w:val="18"/>
                <w:lang w:val="en-AU"/>
              </w:rPr>
              <w:t>8.</w:t>
            </w:r>
          </w:p>
        </w:tc>
        <w:tc>
          <w:tcPr>
            <w:tcW w:w="4108" w:type="dxa"/>
            <w:tcBorders>
              <w:top w:val="single" w:sz="2" w:space="0" w:color="707070"/>
              <w:left w:val="single" w:sz="2" w:space="0" w:color="707070"/>
              <w:bottom w:val="single" w:sz="2" w:space="0" w:color="707070"/>
              <w:right w:val="single" w:sz="2" w:space="0" w:color="707070"/>
            </w:tcBorders>
            <w:hideMark/>
          </w:tcPr>
          <w:p w14:paraId="095DD1DC" w14:textId="77777777" w:rsidR="00473298" w:rsidRDefault="00473298">
            <w:pPr>
              <w:rPr>
                <w:rFonts w:eastAsia="Verdana" w:cs="Verdana"/>
                <w:szCs w:val="18"/>
                <w:lang w:val="en-AU"/>
              </w:rPr>
            </w:pPr>
            <w:r>
              <w:rPr>
                <w:rFonts w:eastAsia="Verdana" w:cs="Verdana"/>
                <w:szCs w:val="18"/>
                <w:lang w:val="en-AU"/>
              </w:rPr>
              <w:t>Establish a social security commission</w:t>
            </w:r>
          </w:p>
        </w:tc>
        <w:tc>
          <w:tcPr>
            <w:tcW w:w="2268" w:type="dxa"/>
            <w:tcBorders>
              <w:top w:val="single" w:sz="2" w:space="0" w:color="707070"/>
              <w:left w:val="single" w:sz="2" w:space="0" w:color="707070"/>
              <w:bottom w:val="single" w:sz="2" w:space="0" w:color="707070"/>
              <w:right w:val="single" w:sz="2" w:space="0" w:color="707070"/>
            </w:tcBorders>
            <w:hideMark/>
          </w:tcPr>
          <w:p w14:paraId="6F48A223" w14:textId="77777777" w:rsidR="00473298" w:rsidRDefault="00473298">
            <w:pPr>
              <w:rPr>
                <w:szCs w:val="18"/>
                <w:lang w:val="en-AU"/>
              </w:rPr>
            </w:pPr>
            <w:r>
              <w:rPr>
                <w:szCs w:val="18"/>
                <w:lang w:val="en-AU"/>
              </w:rPr>
              <w:t>-4</w:t>
            </w:r>
          </w:p>
        </w:tc>
        <w:tc>
          <w:tcPr>
            <w:tcW w:w="2268" w:type="dxa"/>
            <w:tcBorders>
              <w:top w:val="single" w:sz="2" w:space="0" w:color="707070"/>
              <w:left w:val="single" w:sz="2" w:space="0" w:color="707070"/>
              <w:bottom w:val="single" w:sz="2" w:space="0" w:color="707070"/>
              <w:right w:val="single" w:sz="2" w:space="0" w:color="707070"/>
            </w:tcBorders>
            <w:hideMark/>
          </w:tcPr>
          <w:p w14:paraId="508101EA" w14:textId="77777777" w:rsidR="00473298" w:rsidRDefault="00473298">
            <w:pPr>
              <w:rPr>
                <w:szCs w:val="18"/>
                <w:lang w:val="en-AU"/>
              </w:rPr>
            </w:pPr>
            <w:r>
              <w:rPr>
                <w:szCs w:val="18"/>
                <w:lang w:val="en-AU"/>
              </w:rPr>
              <w:t>-4</w:t>
            </w:r>
          </w:p>
        </w:tc>
      </w:tr>
      <w:tr w:rsidR="00473298" w14:paraId="3DB162DC"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tcPr>
          <w:p w14:paraId="4A7A9FF4" w14:textId="77777777" w:rsidR="00473298" w:rsidRDefault="00473298">
            <w:pPr>
              <w:rPr>
                <w:b/>
                <w:szCs w:val="18"/>
                <w:lang w:val="en-AU"/>
              </w:rPr>
            </w:pPr>
          </w:p>
        </w:tc>
        <w:tc>
          <w:tcPr>
            <w:tcW w:w="4108" w:type="dxa"/>
            <w:tcBorders>
              <w:top w:val="single" w:sz="2" w:space="0" w:color="707070"/>
              <w:left w:val="single" w:sz="2" w:space="0" w:color="707070"/>
              <w:bottom w:val="single" w:sz="2" w:space="0" w:color="707070"/>
              <w:right w:val="single" w:sz="2" w:space="0" w:color="707070"/>
            </w:tcBorders>
            <w:hideMark/>
          </w:tcPr>
          <w:p w14:paraId="5D5721F1" w14:textId="77777777" w:rsidR="00473298" w:rsidRDefault="00473298">
            <w:pPr>
              <w:rPr>
                <w:b/>
                <w:szCs w:val="18"/>
                <w:lang w:val="en-AU"/>
              </w:rPr>
            </w:pPr>
            <w:r>
              <w:rPr>
                <w:b/>
                <w:szCs w:val="18"/>
                <w:lang w:val="en-AU"/>
              </w:rPr>
              <w:t>Employment</w:t>
            </w:r>
          </w:p>
        </w:tc>
        <w:tc>
          <w:tcPr>
            <w:tcW w:w="2268" w:type="dxa"/>
            <w:tcBorders>
              <w:top w:val="single" w:sz="2" w:space="0" w:color="707070"/>
              <w:left w:val="single" w:sz="2" w:space="0" w:color="707070"/>
              <w:bottom w:val="single" w:sz="2" w:space="0" w:color="707070"/>
              <w:right w:val="single" w:sz="2" w:space="0" w:color="707070"/>
            </w:tcBorders>
          </w:tcPr>
          <w:p w14:paraId="72BDFBA8" w14:textId="77777777" w:rsidR="00473298" w:rsidRDefault="00473298">
            <w:pPr>
              <w:rPr>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7D6C4574" w14:textId="77777777" w:rsidR="00473298" w:rsidRDefault="00473298">
            <w:pPr>
              <w:rPr>
                <w:szCs w:val="18"/>
                <w:lang w:val="en-AU"/>
              </w:rPr>
            </w:pPr>
          </w:p>
        </w:tc>
      </w:tr>
      <w:tr w:rsidR="00824E95" w14:paraId="5E70A4B2"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tcPr>
          <w:p w14:paraId="2116403C" w14:textId="7ACAEA59" w:rsidR="00824E95" w:rsidRDefault="00824E95">
            <w:pPr>
              <w:rPr>
                <w:szCs w:val="18"/>
                <w:lang w:val="en-AU"/>
              </w:rPr>
            </w:pPr>
            <w:r>
              <w:rPr>
                <w:szCs w:val="18"/>
                <w:lang w:val="en-AU"/>
              </w:rPr>
              <w:t>9.</w:t>
            </w:r>
          </w:p>
        </w:tc>
        <w:tc>
          <w:tcPr>
            <w:tcW w:w="4108" w:type="dxa"/>
            <w:tcBorders>
              <w:top w:val="single" w:sz="2" w:space="0" w:color="707070"/>
              <w:left w:val="single" w:sz="2" w:space="0" w:color="707070"/>
              <w:bottom w:val="single" w:sz="2" w:space="0" w:color="707070"/>
              <w:right w:val="single" w:sz="2" w:space="0" w:color="707070"/>
            </w:tcBorders>
          </w:tcPr>
          <w:p w14:paraId="6DAAF83D" w14:textId="01D35951" w:rsidR="00824E95" w:rsidRDefault="00824E95" w:rsidP="00824E95">
            <w:pPr>
              <w:rPr>
                <w:szCs w:val="18"/>
                <w:lang w:val="en-AU"/>
              </w:rPr>
            </w:pPr>
            <w:r>
              <w:rPr>
                <w:szCs w:val="18"/>
                <w:lang w:val="en-AU"/>
              </w:rPr>
              <w:t>Set a goal to reduce unemployment below 5% by June 2022</w:t>
            </w:r>
          </w:p>
        </w:tc>
        <w:tc>
          <w:tcPr>
            <w:tcW w:w="2268" w:type="dxa"/>
            <w:tcBorders>
              <w:top w:val="single" w:sz="2" w:space="0" w:color="707070"/>
              <w:left w:val="single" w:sz="2" w:space="0" w:color="707070"/>
              <w:bottom w:val="single" w:sz="2" w:space="0" w:color="707070"/>
              <w:right w:val="single" w:sz="2" w:space="0" w:color="707070"/>
            </w:tcBorders>
          </w:tcPr>
          <w:p w14:paraId="53023013" w14:textId="5249E3CD" w:rsidR="00824E95" w:rsidRDefault="00824E95">
            <w:pPr>
              <w:rPr>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tcPr>
          <w:p w14:paraId="15FB22BF" w14:textId="77B52149" w:rsidR="00824E95" w:rsidRDefault="00824E95" w:rsidP="00F3461C">
            <w:pPr>
              <w:rPr>
                <w:szCs w:val="18"/>
                <w:lang w:val="en-AU"/>
              </w:rPr>
            </w:pPr>
            <w:r>
              <w:rPr>
                <w:szCs w:val="18"/>
                <w:lang w:val="en-AU"/>
              </w:rPr>
              <w:t>not available</w:t>
            </w:r>
          </w:p>
        </w:tc>
      </w:tr>
      <w:tr w:rsidR="00473298" w14:paraId="57E7B56D"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592A652A" w14:textId="2856EADE" w:rsidR="00473298" w:rsidRDefault="00824E95">
            <w:pPr>
              <w:rPr>
                <w:szCs w:val="18"/>
                <w:lang w:val="en-AU"/>
              </w:rPr>
            </w:pPr>
            <w:r>
              <w:rPr>
                <w:szCs w:val="18"/>
                <w:lang w:val="en-AU"/>
              </w:rPr>
              <w:t>10</w:t>
            </w:r>
            <w:r w:rsidR="00473298">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4A77F4E4" w14:textId="77777777" w:rsidR="00473298" w:rsidRDefault="00473298">
            <w:pPr>
              <w:rPr>
                <w:szCs w:val="18"/>
                <w:lang w:val="en-AU"/>
              </w:rPr>
            </w:pPr>
            <w:r>
              <w:rPr>
                <w:szCs w:val="18"/>
                <w:lang w:val="en-AU"/>
              </w:rPr>
              <w:t xml:space="preserve">Maintain </w:t>
            </w:r>
            <w:proofErr w:type="spellStart"/>
            <w:r>
              <w:rPr>
                <w:szCs w:val="18"/>
                <w:lang w:val="en-AU"/>
              </w:rPr>
              <w:t>Jobkeeper</w:t>
            </w:r>
            <w:proofErr w:type="spellEnd"/>
            <w:r>
              <w:rPr>
                <w:szCs w:val="18"/>
                <w:lang w:val="en-AU"/>
              </w:rPr>
              <w:t xml:space="preserve"> payments in a more targeted form </w:t>
            </w:r>
          </w:p>
        </w:tc>
        <w:tc>
          <w:tcPr>
            <w:tcW w:w="2268" w:type="dxa"/>
            <w:tcBorders>
              <w:top w:val="single" w:sz="2" w:space="0" w:color="707070"/>
              <w:left w:val="single" w:sz="2" w:space="0" w:color="707070"/>
              <w:bottom w:val="single" w:sz="2" w:space="0" w:color="707070"/>
              <w:right w:val="single" w:sz="2" w:space="0" w:color="707070"/>
            </w:tcBorders>
            <w:hideMark/>
          </w:tcPr>
          <w:p w14:paraId="76FAB999" w14:textId="2F2632C9" w:rsidR="00473298" w:rsidRDefault="00F3461C">
            <w:pPr>
              <w:rPr>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hideMark/>
          </w:tcPr>
          <w:p w14:paraId="0BAF1C92" w14:textId="644D64F8" w:rsidR="00473298" w:rsidRDefault="00F3461C" w:rsidP="00F3461C">
            <w:pPr>
              <w:rPr>
                <w:szCs w:val="18"/>
                <w:lang w:val="en-AU"/>
              </w:rPr>
            </w:pPr>
            <w:r>
              <w:rPr>
                <w:szCs w:val="18"/>
                <w:lang w:val="en-AU"/>
              </w:rPr>
              <w:t>not available</w:t>
            </w:r>
          </w:p>
        </w:tc>
      </w:tr>
      <w:tr w:rsidR="00473298" w14:paraId="6129DAF2"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6F27ECC3" w14:textId="3BDF006D" w:rsidR="00473298" w:rsidRDefault="00473298" w:rsidP="00824E95">
            <w:pPr>
              <w:rPr>
                <w:szCs w:val="18"/>
                <w:lang w:val="en-AU"/>
              </w:rPr>
            </w:pPr>
            <w:r>
              <w:rPr>
                <w:szCs w:val="18"/>
                <w:lang w:val="en-AU"/>
              </w:rPr>
              <w:t>1</w:t>
            </w:r>
            <w:r w:rsidR="00824E95">
              <w:rPr>
                <w:szCs w:val="18"/>
                <w:lang w:val="en-AU"/>
              </w:rPr>
              <w:t>1</w:t>
            </w:r>
            <w:r>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69B2F0B2" w14:textId="77777777" w:rsidR="00473298" w:rsidRDefault="00473298">
            <w:pPr>
              <w:rPr>
                <w:szCs w:val="18"/>
                <w:lang w:val="en-AU"/>
              </w:rPr>
            </w:pPr>
            <w:r>
              <w:rPr>
                <w:szCs w:val="18"/>
                <w:lang w:val="en-AU"/>
              </w:rPr>
              <w:t>Jobs and training guarantee</w:t>
            </w:r>
          </w:p>
        </w:tc>
        <w:tc>
          <w:tcPr>
            <w:tcW w:w="2268" w:type="dxa"/>
            <w:tcBorders>
              <w:top w:val="single" w:sz="2" w:space="0" w:color="707070"/>
              <w:left w:val="single" w:sz="2" w:space="0" w:color="707070"/>
              <w:bottom w:val="single" w:sz="2" w:space="0" w:color="707070"/>
              <w:right w:val="single" w:sz="2" w:space="0" w:color="707070"/>
            </w:tcBorders>
            <w:hideMark/>
          </w:tcPr>
          <w:p w14:paraId="10C8C03F" w14:textId="61221C5A" w:rsidR="00473298" w:rsidRDefault="00F3461C">
            <w:pPr>
              <w:rPr>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hideMark/>
          </w:tcPr>
          <w:p w14:paraId="0083F3BA" w14:textId="6B9E3861" w:rsidR="00473298" w:rsidRDefault="00F3461C">
            <w:pPr>
              <w:rPr>
                <w:szCs w:val="18"/>
                <w:lang w:val="en-AU"/>
              </w:rPr>
            </w:pPr>
            <w:r>
              <w:rPr>
                <w:szCs w:val="18"/>
                <w:lang w:val="en-AU"/>
              </w:rPr>
              <w:t>not available</w:t>
            </w:r>
          </w:p>
        </w:tc>
      </w:tr>
      <w:tr w:rsidR="00473298" w14:paraId="2ACAB404"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1DC14E7C" w14:textId="6CAF258A" w:rsidR="00473298" w:rsidRDefault="00473298" w:rsidP="00824E95">
            <w:pPr>
              <w:rPr>
                <w:szCs w:val="18"/>
                <w:lang w:val="en-AU"/>
              </w:rPr>
            </w:pPr>
            <w:r>
              <w:rPr>
                <w:szCs w:val="18"/>
                <w:lang w:val="en-AU"/>
              </w:rPr>
              <w:t>1</w:t>
            </w:r>
            <w:r w:rsidR="00824E95">
              <w:rPr>
                <w:szCs w:val="18"/>
                <w:lang w:val="en-AU"/>
              </w:rPr>
              <w:t>2</w:t>
            </w:r>
            <w:r>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1BEC9E73" w14:textId="77777777" w:rsidR="00473298" w:rsidRDefault="00473298">
            <w:pPr>
              <w:rPr>
                <w:szCs w:val="18"/>
                <w:lang w:val="en-AU"/>
              </w:rPr>
            </w:pPr>
            <w:r>
              <w:rPr>
                <w:szCs w:val="18"/>
                <w:lang w:val="en-AU"/>
              </w:rPr>
              <w:t xml:space="preserve">Local partnerships for jobs </w:t>
            </w:r>
            <w:r>
              <w:br/>
            </w:r>
          </w:p>
        </w:tc>
        <w:tc>
          <w:tcPr>
            <w:tcW w:w="2268" w:type="dxa"/>
            <w:tcBorders>
              <w:top w:val="single" w:sz="2" w:space="0" w:color="707070"/>
              <w:left w:val="single" w:sz="2" w:space="0" w:color="707070"/>
              <w:bottom w:val="single" w:sz="2" w:space="0" w:color="707070"/>
              <w:right w:val="single" w:sz="2" w:space="0" w:color="707070"/>
            </w:tcBorders>
            <w:hideMark/>
          </w:tcPr>
          <w:p w14:paraId="5F876C7B" w14:textId="77777777" w:rsidR="00473298" w:rsidRDefault="00473298">
            <w:pPr>
              <w:rPr>
                <w:szCs w:val="18"/>
                <w:lang w:val="en-AU"/>
              </w:rPr>
            </w:pPr>
            <w:r>
              <w:rPr>
                <w:szCs w:val="18"/>
                <w:lang w:val="en-AU"/>
              </w:rPr>
              <w:t>-50</w:t>
            </w:r>
          </w:p>
        </w:tc>
        <w:tc>
          <w:tcPr>
            <w:tcW w:w="2268" w:type="dxa"/>
            <w:tcBorders>
              <w:top w:val="single" w:sz="2" w:space="0" w:color="707070"/>
              <w:left w:val="single" w:sz="2" w:space="0" w:color="707070"/>
              <w:bottom w:val="single" w:sz="2" w:space="0" w:color="707070"/>
              <w:right w:val="single" w:sz="2" w:space="0" w:color="707070"/>
            </w:tcBorders>
            <w:hideMark/>
          </w:tcPr>
          <w:p w14:paraId="69598831" w14:textId="77777777" w:rsidR="00473298" w:rsidRDefault="00473298">
            <w:r>
              <w:rPr>
                <w:szCs w:val="18"/>
                <w:lang w:val="en-AU"/>
              </w:rPr>
              <w:t>-100</w:t>
            </w:r>
          </w:p>
        </w:tc>
      </w:tr>
      <w:tr w:rsidR="00473298" w14:paraId="61D4A0E6"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3D68CCBA" w14:textId="3571F2D1" w:rsidR="00473298" w:rsidRDefault="00473298" w:rsidP="00824E95">
            <w:pPr>
              <w:rPr>
                <w:sz w:val="18"/>
                <w:szCs w:val="18"/>
                <w:lang w:val="en-AU"/>
              </w:rPr>
            </w:pPr>
            <w:r>
              <w:rPr>
                <w:szCs w:val="18"/>
                <w:lang w:val="en-AU"/>
              </w:rPr>
              <w:t>1</w:t>
            </w:r>
            <w:r w:rsidR="00824E95">
              <w:rPr>
                <w:szCs w:val="18"/>
                <w:lang w:val="en-AU"/>
              </w:rPr>
              <w:t>3</w:t>
            </w:r>
            <w:r>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7882DC26" w14:textId="6F7D10E4" w:rsidR="00473298" w:rsidRDefault="00473298">
            <w:pPr>
              <w:rPr>
                <w:szCs w:val="18"/>
                <w:lang w:val="en-AU"/>
              </w:rPr>
            </w:pPr>
            <w:r>
              <w:rPr>
                <w:szCs w:val="18"/>
                <w:lang w:val="en-AU"/>
              </w:rPr>
              <w:t xml:space="preserve">Career guidance and training for those who need it </w:t>
            </w:r>
          </w:p>
        </w:tc>
        <w:tc>
          <w:tcPr>
            <w:tcW w:w="2268" w:type="dxa"/>
            <w:tcBorders>
              <w:top w:val="single" w:sz="2" w:space="0" w:color="707070"/>
              <w:left w:val="single" w:sz="2" w:space="0" w:color="707070"/>
              <w:bottom w:val="single" w:sz="2" w:space="0" w:color="707070"/>
              <w:right w:val="single" w:sz="2" w:space="0" w:color="707070"/>
            </w:tcBorders>
            <w:hideMark/>
          </w:tcPr>
          <w:p w14:paraId="4F44A32D" w14:textId="77777777" w:rsidR="00473298" w:rsidRDefault="00473298">
            <w:pPr>
              <w:rPr>
                <w:szCs w:val="18"/>
                <w:lang w:val="en-AU"/>
              </w:rPr>
            </w:pPr>
            <w:r>
              <w:rPr>
                <w:szCs w:val="18"/>
                <w:lang w:val="en-AU"/>
              </w:rPr>
              <w:t>-200</w:t>
            </w:r>
          </w:p>
        </w:tc>
        <w:tc>
          <w:tcPr>
            <w:tcW w:w="2268" w:type="dxa"/>
            <w:tcBorders>
              <w:top w:val="single" w:sz="2" w:space="0" w:color="707070"/>
              <w:left w:val="single" w:sz="2" w:space="0" w:color="707070"/>
              <w:bottom w:val="single" w:sz="2" w:space="0" w:color="707070"/>
              <w:right w:val="single" w:sz="2" w:space="0" w:color="707070"/>
            </w:tcBorders>
            <w:hideMark/>
          </w:tcPr>
          <w:p w14:paraId="1734DB7A" w14:textId="77777777" w:rsidR="00473298" w:rsidRDefault="00473298">
            <w:r>
              <w:rPr>
                <w:szCs w:val="18"/>
                <w:lang w:val="en-AU"/>
              </w:rPr>
              <w:t>-400</w:t>
            </w:r>
          </w:p>
        </w:tc>
      </w:tr>
      <w:tr w:rsidR="00473298" w14:paraId="158D5D44"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352D7FA2" w14:textId="497774F2" w:rsidR="00473298" w:rsidRDefault="00473298" w:rsidP="00824E95">
            <w:pPr>
              <w:rPr>
                <w:rFonts w:eastAsia="Verdana" w:cs="Verdana"/>
                <w:sz w:val="18"/>
                <w:szCs w:val="18"/>
                <w:lang w:val="en-AU"/>
              </w:rPr>
            </w:pPr>
            <w:r>
              <w:rPr>
                <w:rFonts w:eastAsia="Verdana" w:cs="Verdana"/>
                <w:szCs w:val="18"/>
                <w:lang w:val="en-AU"/>
              </w:rPr>
              <w:t>1</w:t>
            </w:r>
            <w:r w:rsidR="00824E95">
              <w:rPr>
                <w:rFonts w:eastAsia="Verdana" w:cs="Verdana"/>
                <w:szCs w:val="18"/>
                <w:lang w:val="en-AU"/>
              </w:rPr>
              <w:t>4</w:t>
            </w:r>
            <w:r>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2D8628CB" w14:textId="77777777" w:rsidR="00473298" w:rsidRDefault="00473298">
            <w:r>
              <w:rPr>
                <w:rFonts w:eastAsia="Verdana" w:cs="Verdana"/>
                <w:szCs w:val="18"/>
                <w:lang w:val="en-AU"/>
              </w:rPr>
              <w:t>Restructure employment services</w:t>
            </w:r>
          </w:p>
        </w:tc>
        <w:tc>
          <w:tcPr>
            <w:tcW w:w="2268" w:type="dxa"/>
            <w:tcBorders>
              <w:top w:val="single" w:sz="2" w:space="0" w:color="707070"/>
              <w:left w:val="single" w:sz="2" w:space="0" w:color="707070"/>
              <w:bottom w:val="single" w:sz="2" w:space="0" w:color="707070"/>
              <w:right w:val="single" w:sz="2" w:space="0" w:color="707070"/>
            </w:tcBorders>
            <w:hideMark/>
          </w:tcPr>
          <w:p w14:paraId="0ED7BD67" w14:textId="1C2F9577" w:rsidR="00473298" w:rsidRDefault="00F3461C">
            <w:pPr>
              <w:rPr>
                <w:sz w:val="18"/>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hideMark/>
          </w:tcPr>
          <w:p w14:paraId="0589E11A" w14:textId="0E6001F2" w:rsidR="00473298" w:rsidRDefault="00F3461C">
            <w:pPr>
              <w:rPr>
                <w:szCs w:val="18"/>
                <w:lang w:val="en-AU"/>
              </w:rPr>
            </w:pPr>
            <w:r>
              <w:rPr>
                <w:szCs w:val="18"/>
                <w:lang w:val="en-AU"/>
              </w:rPr>
              <w:t>not available</w:t>
            </w:r>
          </w:p>
        </w:tc>
      </w:tr>
      <w:tr w:rsidR="00473298" w14:paraId="1421D737"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6B3FC3BB" w14:textId="3324AA9F" w:rsidR="00473298" w:rsidRDefault="00473298" w:rsidP="00824E95">
            <w:pPr>
              <w:rPr>
                <w:rFonts w:eastAsia="Verdana" w:cs="Verdana"/>
                <w:szCs w:val="18"/>
                <w:lang w:val="en-AU"/>
              </w:rPr>
            </w:pPr>
            <w:r>
              <w:rPr>
                <w:rFonts w:eastAsia="Verdana" w:cs="Verdana"/>
                <w:szCs w:val="18"/>
                <w:lang w:val="en-AU"/>
              </w:rPr>
              <w:t>1</w:t>
            </w:r>
            <w:r w:rsidR="00824E95">
              <w:rPr>
                <w:rFonts w:eastAsia="Verdana" w:cs="Verdana"/>
                <w:szCs w:val="18"/>
                <w:lang w:val="en-AU"/>
              </w:rPr>
              <w:t>5</w:t>
            </w:r>
            <w:r>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0844C876" w14:textId="77777777" w:rsidR="00473298" w:rsidRDefault="00473298">
            <w:pPr>
              <w:rPr>
                <w:rFonts w:eastAsia="Verdana" w:cs="Verdana"/>
                <w:szCs w:val="18"/>
                <w:lang w:val="en-AU"/>
              </w:rPr>
            </w:pPr>
            <w:r>
              <w:rPr>
                <w:rFonts w:eastAsia="Verdana" w:cs="Verdana"/>
                <w:szCs w:val="18"/>
                <w:lang w:val="en-AU"/>
              </w:rPr>
              <w:t>Remove harsh compliance arrangements</w:t>
            </w:r>
          </w:p>
        </w:tc>
        <w:tc>
          <w:tcPr>
            <w:tcW w:w="2268" w:type="dxa"/>
            <w:tcBorders>
              <w:top w:val="single" w:sz="2" w:space="0" w:color="707070"/>
              <w:left w:val="single" w:sz="2" w:space="0" w:color="707070"/>
              <w:bottom w:val="single" w:sz="2" w:space="0" w:color="707070"/>
              <w:right w:val="single" w:sz="2" w:space="0" w:color="707070"/>
            </w:tcBorders>
            <w:hideMark/>
          </w:tcPr>
          <w:p w14:paraId="51CAFD28" w14:textId="6C72E36A" w:rsidR="00473298" w:rsidRDefault="00F3461C">
            <w:pPr>
              <w:rPr>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hideMark/>
          </w:tcPr>
          <w:p w14:paraId="735EBA66" w14:textId="59902B89" w:rsidR="00473298" w:rsidRDefault="00F3461C">
            <w:pPr>
              <w:rPr>
                <w:szCs w:val="18"/>
                <w:lang w:val="en-AU"/>
              </w:rPr>
            </w:pPr>
            <w:r>
              <w:rPr>
                <w:szCs w:val="18"/>
                <w:lang w:val="en-AU"/>
              </w:rPr>
              <w:t>not available</w:t>
            </w:r>
          </w:p>
        </w:tc>
      </w:tr>
      <w:tr w:rsidR="00824E95" w14:paraId="039A3588"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tcPr>
          <w:p w14:paraId="79CB1766" w14:textId="4E0445FF" w:rsidR="00824E95" w:rsidRDefault="00824E95" w:rsidP="00824E95">
            <w:pPr>
              <w:rPr>
                <w:rFonts w:eastAsia="Verdana" w:cs="Verdana"/>
                <w:szCs w:val="18"/>
                <w:lang w:val="en-AU"/>
              </w:rPr>
            </w:pPr>
            <w:r>
              <w:rPr>
                <w:rFonts w:eastAsia="Verdana" w:cs="Verdana"/>
                <w:szCs w:val="18"/>
                <w:lang w:val="en-AU"/>
              </w:rPr>
              <w:t>16.</w:t>
            </w:r>
          </w:p>
        </w:tc>
        <w:tc>
          <w:tcPr>
            <w:tcW w:w="4108" w:type="dxa"/>
            <w:tcBorders>
              <w:top w:val="single" w:sz="2" w:space="0" w:color="707070"/>
              <w:left w:val="single" w:sz="2" w:space="0" w:color="707070"/>
              <w:bottom w:val="single" w:sz="2" w:space="0" w:color="707070"/>
              <w:right w:val="single" w:sz="2" w:space="0" w:color="707070"/>
            </w:tcBorders>
          </w:tcPr>
          <w:p w14:paraId="36F5E98F" w14:textId="77777777" w:rsidR="004653F9" w:rsidRDefault="00824E95">
            <w:pPr>
              <w:rPr>
                <w:rFonts w:eastAsia="Verdana" w:cs="Verdana"/>
                <w:szCs w:val="18"/>
                <w:lang w:val="en-AU"/>
              </w:rPr>
            </w:pPr>
            <w:r>
              <w:rPr>
                <w:rFonts w:eastAsia="Verdana" w:cs="Verdana"/>
                <w:szCs w:val="18"/>
                <w:lang w:val="en-AU"/>
              </w:rPr>
              <w:t>Replace Community Development Program</w:t>
            </w:r>
          </w:p>
          <w:p w14:paraId="7F4D909F" w14:textId="289D29EA" w:rsidR="004653F9" w:rsidRDefault="004653F9">
            <w:pPr>
              <w:rPr>
                <w:rFonts w:eastAsia="Verdana" w:cs="Verdana"/>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5DB22B9B" w14:textId="75F2247F" w:rsidR="00824E95" w:rsidRDefault="00824E95">
            <w:pPr>
              <w:rPr>
                <w:szCs w:val="18"/>
                <w:lang w:val="en-AU"/>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tcPr>
          <w:p w14:paraId="173FBF4A" w14:textId="656F0E07" w:rsidR="00824E95" w:rsidRDefault="00824E95">
            <w:pPr>
              <w:rPr>
                <w:szCs w:val="18"/>
                <w:lang w:val="en-AU"/>
              </w:rPr>
            </w:pPr>
            <w:r>
              <w:rPr>
                <w:szCs w:val="18"/>
                <w:lang w:val="en-AU"/>
              </w:rPr>
              <w:t>250</w:t>
            </w:r>
          </w:p>
        </w:tc>
      </w:tr>
      <w:tr w:rsidR="00473298" w14:paraId="67A32386"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tcPr>
          <w:p w14:paraId="714A0BB4" w14:textId="77777777" w:rsidR="004653F9" w:rsidRDefault="004653F9">
            <w:pPr>
              <w:rPr>
                <w:b/>
                <w:szCs w:val="18"/>
                <w:lang w:val="en-AU"/>
              </w:rPr>
            </w:pPr>
          </w:p>
        </w:tc>
        <w:tc>
          <w:tcPr>
            <w:tcW w:w="4108" w:type="dxa"/>
            <w:tcBorders>
              <w:top w:val="single" w:sz="2" w:space="0" w:color="707070"/>
              <w:left w:val="single" w:sz="2" w:space="0" w:color="707070"/>
              <w:bottom w:val="single" w:sz="2" w:space="0" w:color="707070"/>
              <w:right w:val="single" w:sz="2" w:space="0" w:color="707070"/>
            </w:tcBorders>
            <w:hideMark/>
          </w:tcPr>
          <w:p w14:paraId="40AFF778" w14:textId="77777777" w:rsidR="00473298" w:rsidRDefault="00473298">
            <w:pPr>
              <w:rPr>
                <w:b/>
                <w:szCs w:val="18"/>
                <w:lang w:val="en-AU"/>
              </w:rPr>
            </w:pPr>
            <w:r>
              <w:rPr>
                <w:b/>
                <w:szCs w:val="18"/>
                <w:lang w:val="en-AU"/>
              </w:rPr>
              <w:t>Climate Change - just transition and community resilience</w:t>
            </w:r>
          </w:p>
        </w:tc>
        <w:tc>
          <w:tcPr>
            <w:tcW w:w="2268" w:type="dxa"/>
            <w:tcBorders>
              <w:top w:val="single" w:sz="2" w:space="0" w:color="707070"/>
              <w:left w:val="single" w:sz="2" w:space="0" w:color="707070"/>
              <w:bottom w:val="single" w:sz="2" w:space="0" w:color="707070"/>
              <w:right w:val="single" w:sz="2" w:space="0" w:color="707070"/>
            </w:tcBorders>
          </w:tcPr>
          <w:p w14:paraId="39B592D5" w14:textId="77777777" w:rsidR="00473298" w:rsidRDefault="00473298">
            <w:pPr>
              <w:rPr>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05CEBFDD" w14:textId="77777777" w:rsidR="00473298" w:rsidRDefault="00473298">
            <w:pPr>
              <w:rPr>
                <w:szCs w:val="18"/>
                <w:lang w:val="en-AU"/>
              </w:rPr>
            </w:pPr>
          </w:p>
        </w:tc>
      </w:tr>
      <w:tr w:rsidR="00473298" w14:paraId="6C234EF0"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7896CC41" w14:textId="335CE234" w:rsidR="00473298" w:rsidRDefault="00887ADF" w:rsidP="00824E95">
            <w:pPr>
              <w:rPr>
                <w:rFonts w:eastAsia="Verdana" w:cs="Verdana"/>
                <w:szCs w:val="18"/>
              </w:rPr>
            </w:pPr>
            <w:r>
              <w:rPr>
                <w:rFonts w:eastAsia="Verdana" w:cs="Verdana"/>
                <w:szCs w:val="18"/>
              </w:rPr>
              <w:t>17.</w:t>
            </w:r>
          </w:p>
        </w:tc>
        <w:tc>
          <w:tcPr>
            <w:tcW w:w="4108" w:type="dxa"/>
            <w:tcBorders>
              <w:top w:val="single" w:sz="2" w:space="0" w:color="707070"/>
              <w:left w:val="single" w:sz="2" w:space="0" w:color="707070"/>
              <w:bottom w:val="single" w:sz="2" w:space="0" w:color="707070"/>
              <w:right w:val="single" w:sz="2" w:space="0" w:color="707070"/>
            </w:tcBorders>
            <w:hideMark/>
          </w:tcPr>
          <w:p w14:paraId="4C26CE20" w14:textId="77777777" w:rsidR="00473298" w:rsidRDefault="00473298">
            <w:pPr>
              <w:rPr>
                <w:rFonts w:eastAsia="Verdana" w:cs="Verdana"/>
                <w:szCs w:val="18"/>
              </w:rPr>
            </w:pPr>
            <w:r>
              <w:rPr>
                <w:rFonts w:eastAsia="Verdana" w:cs="Verdana"/>
                <w:szCs w:val="18"/>
              </w:rPr>
              <w:t>Set emissions reduction targets of zero net emissions before 2050 and at least 45% by 2030 and transition the energy sector faster</w:t>
            </w:r>
          </w:p>
        </w:tc>
        <w:tc>
          <w:tcPr>
            <w:tcW w:w="2268" w:type="dxa"/>
            <w:tcBorders>
              <w:top w:val="single" w:sz="2" w:space="0" w:color="707070"/>
              <w:left w:val="single" w:sz="2" w:space="0" w:color="707070"/>
              <w:bottom w:val="single" w:sz="2" w:space="0" w:color="707070"/>
              <w:right w:val="single" w:sz="2" w:space="0" w:color="707070"/>
            </w:tcBorders>
            <w:hideMark/>
          </w:tcPr>
          <w:p w14:paraId="07BE8CDA" w14:textId="4480D0FA" w:rsidR="00473298" w:rsidRDefault="00F3461C">
            <w:pPr>
              <w:rPr>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hideMark/>
          </w:tcPr>
          <w:p w14:paraId="342E37E6" w14:textId="0892F2F7" w:rsidR="00473298" w:rsidRDefault="00F3461C">
            <w:pPr>
              <w:rPr>
                <w:szCs w:val="18"/>
                <w:lang w:val="en-AU"/>
              </w:rPr>
            </w:pPr>
            <w:r>
              <w:rPr>
                <w:szCs w:val="18"/>
                <w:lang w:val="en-AU"/>
              </w:rPr>
              <w:t>not available</w:t>
            </w:r>
          </w:p>
        </w:tc>
      </w:tr>
      <w:tr w:rsidR="00473298" w14:paraId="155EBD55"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21984BF8" w14:textId="7EA2E14A" w:rsidR="00473298" w:rsidRDefault="00887ADF" w:rsidP="005B6388">
            <w:pPr>
              <w:rPr>
                <w:szCs w:val="18"/>
                <w:lang w:val="en-AU"/>
              </w:rPr>
            </w:pPr>
            <w:r>
              <w:rPr>
                <w:szCs w:val="18"/>
                <w:lang w:val="en-AU"/>
              </w:rPr>
              <w:t>18</w:t>
            </w:r>
            <w:r w:rsidR="00473298">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6AA72974" w14:textId="77777777" w:rsidR="00473298" w:rsidRDefault="00473298">
            <w:r>
              <w:rPr>
                <w:szCs w:val="18"/>
                <w:lang w:val="en-AU"/>
              </w:rPr>
              <w:t>Healthy, low-energy low-income homes</w:t>
            </w:r>
          </w:p>
        </w:tc>
        <w:tc>
          <w:tcPr>
            <w:tcW w:w="2268" w:type="dxa"/>
            <w:tcBorders>
              <w:top w:val="single" w:sz="2" w:space="0" w:color="707070"/>
              <w:left w:val="single" w:sz="2" w:space="0" w:color="707070"/>
              <w:bottom w:val="single" w:sz="2" w:space="0" w:color="707070"/>
              <w:right w:val="single" w:sz="2" w:space="0" w:color="707070"/>
            </w:tcBorders>
            <w:hideMark/>
          </w:tcPr>
          <w:p w14:paraId="29EE4878" w14:textId="77777777" w:rsidR="00473298" w:rsidRDefault="00473298">
            <w:pPr>
              <w:rPr>
                <w:sz w:val="18"/>
                <w:szCs w:val="18"/>
                <w:lang w:val="en-AU"/>
              </w:rPr>
            </w:pPr>
            <w:r>
              <w:rPr>
                <w:szCs w:val="18"/>
                <w:lang w:val="en-AU"/>
              </w:rPr>
              <w:t>-580</w:t>
            </w:r>
          </w:p>
        </w:tc>
        <w:tc>
          <w:tcPr>
            <w:tcW w:w="2268" w:type="dxa"/>
            <w:tcBorders>
              <w:top w:val="single" w:sz="2" w:space="0" w:color="707070"/>
              <w:left w:val="single" w:sz="2" w:space="0" w:color="707070"/>
              <w:bottom w:val="single" w:sz="2" w:space="0" w:color="707070"/>
              <w:right w:val="single" w:sz="2" w:space="0" w:color="707070"/>
            </w:tcBorders>
            <w:hideMark/>
          </w:tcPr>
          <w:p w14:paraId="355EEAB4" w14:textId="77777777" w:rsidR="00473298" w:rsidRDefault="00473298">
            <w:pPr>
              <w:rPr>
                <w:szCs w:val="18"/>
                <w:lang w:val="en-AU"/>
              </w:rPr>
            </w:pPr>
            <w:r>
              <w:rPr>
                <w:szCs w:val="18"/>
                <w:lang w:val="en-AU"/>
              </w:rPr>
              <w:t>-2,360</w:t>
            </w:r>
          </w:p>
        </w:tc>
      </w:tr>
      <w:tr w:rsidR="00473298" w14:paraId="58FB051F"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6E92135C" w14:textId="0D5EB79D" w:rsidR="00473298" w:rsidRDefault="00887ADF" w:rsidP="00E104F0">
            <w:pPr>
              <w:rPr>
                <w:szCs w:val="18"/>
                <w:lang w:val="en-AU"/>
              </w:rPr>
            </w:pPr>
            <w:r>
              <w:rPr>
                <w:szCs w:val="18"/>
                <w:lang w:val="en-AU"/>
              </w:rPr>
              <w:t>19.</w:t>
            </w:r>
          </w:p>
        </w:tc>
        <w:tc>
          <w:tcPr>
            <w:tcW w:w="4108" w:type="dxa"/>
            <w:tcBorders>
              <w:top w:val="single" w:sz="2" w:space="0" w:color="707070"/>
              <w:left w:val="single" w:sz="2" w:space="0" w:color="707070"/>
              <w:bottom w:val="single" w:sz="2" w:space="0" w:color="707070"/>
              <w:right w:val="single" w:sz="2" w:space="0" w:color="707070"/>
            </w:tcBorders>
            <w:hideMark/>
          </w:tcPr>
          <w:p w14:paraId="74FD9413" w14:textId="77777777" w:rsidR="00473298" w:rsidRDefault="00473298">
            <w:r>
              <w:rPr>
                <w:szCs w:val="18"/>
                <w:lang w:val="en-AU"/>
              </w:rPr>
              <w:t>Clean, affordable, dependable energy for Aboriginal and Torres Strait Islander communities</w:t>
            </w:r>
          </w:p>
        </w:tc>
        <w:tc>
          <w:tcPr>
            <w:tcW w:w="2268" w:type="dxa"/>
            <w:tcBorders>
              <w:top w:val="single" w:sz="2" w:space="0" w:color="707070"/>
              <w:left w:val="single" w:sz="2" w:space="0" w:color="707070"/>
              <w:bottom w:val="single" w:sz="2" w:space="0" w:color="707070"/>
              <w:right w:val="single" w:sz="2" w:space="0" w:color="707070"/>
            </w:tcBorders>
            <w:hideMark/>
          </w:tcPr>
          <w:p w14:paraId="3F268D38" w14:textId="77777777" w:rsidR="00473298" w:rsidRDefault="00473298">
            <w:pPr>
              <w:rPr>
                <w:sz w:val="18"/>
                <w:szCs w:val="18"/>
                <w:lang w:val="en-AU"/>
              </w:rPr>
            </w:pPr>
            <w:r>
              <w:rPr>
                <w:szCs w:val="18"/>
                <w:lang w:val="en-AU"/>
              </w:rPr>
              <w:t>-500</w:t>
            </w:r>
          </w:p>
        </w:tc>
        <w:tc>
          <w:tcPr>
            <w:tcW w:w="2268" w:type="dxa"/>
            <w:tcBorders>
              <w:top w:val="single" w:sz="2" w:space="0" w:color="707070"/>
              <w:left w:val="single" w:sz="2" w:space="0" w:color="707070"/>
              <w:bottom w:val="single" w:sz="2" w:space="0" w:color="707070"/>
              <w:right w:val="single" w:sz="2" w:space="0" w:color="707070"/>
            </w:tcBorders>
            <w:hideMark/>
          </w:tcPr>
          <w:p w14:paraId="450481F9" w14:textId="77777777" w:rsidR="00473298" w:rsidRDefault="00473298">
            <w:pPr>
              <w:rPr>
                <w:szCs w:val="18"/>
              </w:rPr>
            </w:pPr>
            <w:r>
              <w:rPr>
                <w:szCs w:val="18"/>
                <w:lang w:val="en-AU"/>
              </w:rPr>
              <w:t>-500</w:t>
            </w:r>
          </w:p>
        </w:tc>
      </w:tr>
      <w:tr w:rsidR="00473298" w14:paraId="2532D1F3"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31006408" w14:textId="05B6C9E5" w:rsidR="00473298" w:rsidRDefault="00887ADF" w:rsidP="00E104F0">
            <w:pPr>
              <w:rPr>
                <w:szCs w:val="18"/>
                <w:lang w:val="en-AU"/>
              </w:rPr>
            </w:pPr>
            <w:r>
              <w:rPr>
                <w:szCs w:val="18"/>
                <w:lang w:val="en-AU"/>
              </w:rPr>
              <w:t>20.</w:t>
            </w:r>
          </w:p>
        </w:tc>
        <w:tc>
          <w:tcPr>
            <w:tcW w:w="4108" w:type="dxa"/>
            <w:tcBorders>
              <w:top w:val="single" w:sz="2" w:space="0" w:color="707070"/>
              <w:left w:val="single" w:sz="2" w:space="0" w:color="707070"/>
              <w:bottom w:val="single" w:sz="2" w:space="0" w:color="707070"/>
              <w:right w:val="single" w:sz="2" w:space="0" w:color="707070"/>
            </w:tcBorders>
            <w:hideMark/>
          </w:tcPr>
          <w:p w14:paraId="770A64B7" w14:textId="77777777" w:rsidR="00473298" w:rsidRDefault="00473298">
            <w:r>
              <w:rPr>
                <w:szCs w:val="18"/>
                <w:lang w:val="en-AU"/>
              </w:rPr>
              <w:t>COVID energy hardship payment</w:t>
            </w:r>
          </w:p>
        </w:tc>
        <w:tc>
          <w:tcPr>
            <w:tcW w:w="2268" w:type="dxa"/>
            <w:tcBorders>
              <w:top w:val="single" w:sz="2" w:space="0" w:color="707070"/>
              <w:left w:val="single" w:sz="2" w:space="0" w:color="707070"/>
              <w:bottom w:val="single" w:sz="2" w:space="0" w:color="707070"/>
              <w:right w:val="single" w:sz="2" w:space="0" w:color="707070"/>
            </w:tcBorders>
            <w:hideMark/>
          </w:tcPr>
          <w:p w14:paraId="64C6AA34" w14:textId="230D834A" w:rsidR="00473298" w:rsidRDefault="00F3461C">
            <w:pPr>
              <w:rPr>
                <w:sz w:val="18"/>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hideMark/>
          </w:tcPr>
          <w:p w14:paraId="347C721F" w14:textId="3B8BA45D" w:rsidR="00473298" w:rsidRDefault="00F3461C">
            <w:pPr>
              <w:rPr>
                <w:szCs w:val="18"/>
                <w:lang w:val="en-AU"/>
              </w:rPr>
            </w:pPr>
            <w:r>
              <w:rPr>
                <w:szCs w:val="18"/>
                <w:lang w:val="en-AU"/>
              </w:rPr>
              <w:t>not available</w:t>
            </w:r>
          </w:p>
        </w:tc>
      </w:tr>
      <w:tr w:rsidR="00473298" w14:paraId="56ECF7DB"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29AD2415" w14:textId="506C1116" w:rsidR="00473298" w:rsidRDefault="00887ADF">
            <w:pPr>
              <w:rPr>
                <w:szCs w:val="18"/>
                <w:lang w:val="en-AU"/>
              </w:rPr>
            </w:pPr>
            <w:r>
              <w:rPr>
                <w:szCs w:val="18"/>
                <w:lang w:val="en-AU"/>
              </w:rPr>
              <w:t>21.</w:t>
            </w:r>
          </w:p>
        </w:tc>
        <w:tc>
          <w:tcPr>
            <w:tcW w:w="4108" w:type="dxa"/>
            <w:tcBorders>
              <w:top w:val="single" w:sz="2" w:space="0" w:color="707070"/>
              <w:left w:val="single" w:sz="2" w:space="0" w:color="707070"/>
              <w:bottom w:val="single" w:sz="2" w:space="0" w:color="707070"/>
              <w:right w:val="single" w:sz="2" w:space="0" w:color="707070"/>
            </w:tcBorders>
            <w:hideMark/>
          </w:tcPr>
          <w:p w14:paraId="724DF412" w14:textId="77777777" w:rsidR="00473298" w:rsidRDefault="00473298">
            <w:r>
              <w:rPr>
                <w:szCs w:val="18"/>
                <w:lang w:val="en-AU"/>
              </w:rPr>
              <w:t>Shift Small-scale renewable energy scheme to government budget</w:t>
            </w:r>
          </w:p>
        </w:tc>
        <w:tc>
          <w:tcPr>
            <w:tcW w:w="2268" w:type="dxa"/>
            <w:tcBorders>
              <w:top w:val="single" w:sz="2" w:space="0" w:color="707070"/>
              <w:left w:val="single" w:sz="2" w:space="0" w:color="707070"/>
              <w:bottom w:val="single" w:sz="2" w:space="0" w:color="707070"/>
              <w:right w:val="single" w:sz="2" w:space="0" w:color="707070"/>
            </w:tcBorders>
            <w:hideMark/>
          </w:tcPr>
          <w:p w14:paraId="33994A74" w14:textId="77777777" w:rsidR="00473298" w:rsidRDefault="00473298">
            <w:r>
              <w:rPr>
                <w:szCs w:val="18"/>
                <w:lang w:val="en-AU"/>
              </w:rPr>
              <w:t>-1,540</w:t>
            </w:r>
          </w:p>
        </w:tc>
        <w:tc>
          <w:tcPr>
            <w:tcW w:w="2268" w:type="dxa"/>
            <w:tcBorders>
              <w:top w:val="single" w:sz="2" w:space="0" w:color="707070"/>
              <w:left w:val="single" w:sz="2" w:space="0" w:color="707070"/>
              <w:bottom w:val="single" w:sz="2" w:space="0" w:color="707070"/>
              <w:right w:val="single" w:sz="2" w:space="0" w:color="707070"/>
            </w:tcBorders>
            <w:hideMark/>
          </w:tcPr>
          <w:p w14:paraId="1ACA1DFB" w14:textId="77777777" w:rsidR="00473298" w:rsidRDefault="00473298">
            <w:r>
              <w:rPr>
                <w:szCs w:val="18"/>
                <w:lang w:val="en-AU"/>
              </w:rPr>
              <w:t>-1,480</w:t>
            </w:r>
          </w:p>
        </w:tc>
      </w:tr>
      <w:tr w:rsidR="00473298" w14:paraId="1952E5C3"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5BED65F2" w14:textId="5CD849FD" w:rsidR="00473298" w:rsidRDefault="00887ADF" w:rsidP="00E104F0">
            <w:pPr>
              <w:rPr>
                <w:sz w:val="18"/>
                <w:szCs w:val="18"/>
                <w:lang w:val="en-AU"/>
              </w:rPr>
            </w:pPr>
            <w:r>
              <w:rPr>
                <w:szCs w:val="18"/>
                <w:lang w:val="en-AU"/>
              </w:rPr>
              <w:t>22.</w:t>
            </w:r>
          </w:p>
        </w:tc>
        <w:tc>
          <w:tcPr>
            <w:tcW w:w="4108" w:type="dxa"/>
            <w:tcBorders>
              <w:top w:val="single" w:sz="2" w:space="0" w:color="707070"/>
              <w:left w:val="single" w:sz="2" w:space="0" w:color="707070"/>
              <w:bottom w:val="single" w:sz="2" w:space="0" w:color="707070"/>
              <w:right w:val="single" w:sz="2" w:space="0" w:color="707070"/>
            </w:tcBorders>
            <w:hideMark/>
          </w:tcPr>
          <w:p w14:paraId="3D6CE981" w14:textId="77777777" w:rsidR="00473298" w:rsidRDefault="00473298">
            <w:pPr>
              <w:rPr>
                <w:szCs w:val="18"/>
                <w:lang w:val="en-AU"/>
              </w:rPr>
            </w:pPr>
            <w:r>
              <w:rPr>
                <w:szCs w:val="18"/>
                <w:lang w:val="en-AU"/>
              </w:rPr>
              <w:t>Vulnerable consumer energy literacy grant scheme</w:t>
            </w:r>
          </w:p>
        </w:tc>
        <w:tc>
          <w:tcPr>
            <w:tcW w:w="2268" w:type="dxa"/>
            <w:tcBorders>
              <w:top w:val="single" w:sz="2" w:space="0" w:color="707070"/>
              <w:left w:val="single" w:sz="2" w:space="0" w:color="707070"/>
              <w:bottom w:val="single" w:sz="2" w:space="0" w:color="707070"/>
              <w:right w:val="single" w:sz="2" w:space="0" w:color="707070"/>
            </w:tcBorders>
            <w:hideMark/>
          </w:tcPr>
          <w:p w14:paraId="1646C59E" w14:textId="77777777" w:rsidR="00473298" w:rsidRDefault="00473298">
            <w:pPr>
              <w:rPr>
                <w:szCs w:val="18"/>
                <w:lang w:val="en-AU"/>
              </w:rPr>
            </w:pPr>
            <w:r>
              <w:rPr>
                <w:szCs w:val="18"/>
                <w:lang w:val="en-AU"/>
              </w:rPr>
              <w:t>-1</w:t>
            </w:r>
          </w:p>
        </w:tc>
        <w:tc>
          <w:tcPr>
            <w:tcW w:w="2268" w:type="dxa"/>
            <w:tcBorders>
              <w:top w:val="single" w:sz="2" w:space="0" w:color="707070"/>
              <w:left w:val="single" w:sz="2" w:space="0" w:color="707070"/>
              <w:bottom w:val="single" w:sz="2" w:space="0" w:color="707070"/>
              <w:right w:val="single" w:sz="2" w:space="0" w:color="707070"/>
            </w:tcBorders>
            <w:hideMark/>
          </w:tcPr>
          <w:p w14:paraId="34180A60" w14:textId="77777777" w:rsidR="00473298" w:rsidRDefault="00473298">
            <w:pPr>
              <w:rPr>
                <w:szCs w:val="18"/>
                <w:lang w:val="en-AU"/>
              </w:rPr>
            </w:pPr>
            <w:r>
              <w:rPr>
                <w:szCs w:val="18"/>
                <w:lang w:val="en-AU"/>
              </w:rPr>
              <w:t>-1</w:t>
            </w:r>
          </w:p>
        </w:tc>
      </w:tr>
      <w:tr w:rsidR="00473298" w14:paraId="179119B5"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1C451800" w14:textId="709B564F" w:rsidR="00473298" w:rsidRDefault="00887ADF" w:rsidP="00E104F0">
            <w:pPr>
              <w:rPr>
                <w:szCs w:val="18"/>
                <w:lang w:val="en-AU"/>
              </w:rPr>
            </w:pPr>
            <w:r>
              <w:rPr>
                <w:szCs w:val="18"/>
                <w:lang w:val="en-AU"/>
              </w:rPr>
              <w:t>23.</w:t>
            </w:r>
          </w:p>
        </w:tc>
        <w:tc>
          <w:tcPr>
            <w:tcW w:w="4108" w:type="dxa"/>
            <w:tcBorders>
              <w:top w:val="single" w:sz="2" w:space="0" w:color="707070"/>
              <w:left w:val="single" w:sz="2" w:space="0" w:color="707070"/>
              <w:bottom w:val="single" w:sz="2" w:space="0" w:color="707070"/>
              <w:right w:val="single" w:sz="2" w:space="0" w:color="707070"/>
            </w:tcBorders>
            <w:hideMark/>
          </w:tcPr>
          <w:p w14:paraId="21B66748" w14:textId="77777777" w:rsidR="00473298" w:rsidRDefault="00473298">
            <w:pPr>
              <w:rPr>
                <w:szCs w:val="18"/>
                <w:lang w:val="en-AU"/>
              </w:rPr>
            </w:pPr>
            <w:r>
              <w:rPr>
                <w:szCs w:val="18"/>
                <w:lang w:val="en-AU"/>
              </w:rPr>
              <w:t>Just transition authority and worker re-deployment scheme</w:t>
            </w:r>
          </w:p>
        </w:tc>
        <w:tc>
          <w:tcPr>
            <w:tcW w:w="2268" w:type="dxa"/>
            <w:tcBorders>
              <w:top w:val="single" w:sz="2" w:space="0" w:color="707070"/>
              <w:left w:val="single" w:sz="2" w:space="0" w:color="707070"/>
              <w:bottom w:val="single" w:sz="2" w:space="0" w:color="707070"/>
              <w:right w:val="single" w:sz="2" w:space="0" w:color="707070"/>
            </w:tcBorders>
            <w:hideMark/>
          </w:tcPr>
          <w:p w14:paraId="6DA5003B" w14:textId="77777777" w:rsidR="00473298" w:rsidRDefault="00473298">
            <w:pPr>
              <w:rPr>
                <w:szCs w:val="18"/>
                <w:lang w:val="en-AU"/>
              </w:rPr>
            </w:pPr>
            <w:r>
              <w:rPr>
                <w:szCs w:val="18"/>
                <w:lang w:val="en-AU"/>
              </w:rPr>
              <w:t>-2</w:t>
            </w:r>
          </w:p>
        </w:tc>
        <w:tc>
          <w:tcPr>
            <w:tcW w:w="2268" w:type="dxa"/>
            <w:tcBorders>
              <w:top w:val="single" w:sz="2" w:space="0" w:color="707070"/>
              <w:left w:val="single" w:sz="2" w:space="0" w:color="707070"/>
              <w:bottom w:val="single" w:sz="2" w:space="0" w:color="707070"/>
              <w:right w:val="single" w:sz="2" w:space="0" w:color="707070"/>
            </w:tcBorders>
            <w:hideMark/>
          </w:tcPr>
          <w:p w14:paraId="6E06D7C9" w14:textId="77777777" w:rsidR="00473298" w:rsidRDefault="00473298">
            <w:pPr>
              <w:rPr>
                <w:szCs w:val="18"/>
                <w:lang w:val="en-AU"/>
              </w:rPr>
            </w:pPr>
            <w:r>
              <w:rPr>
                <w:szCs w:val="18"/>
                <w:lang w:val="en-AU"/>
              </w:rPr>
              <w:t>-4</w:t>
            </w:r>
          </w:p>
        </w:tc>
      </w:tr>
      <w:tr w:rsidR="00473298" w14:paraId="7DE44EE1" w14:textId="77777777" w:rsidTr="00F3461C">
        <w:tblPrEx>
          <w:tblLook w:val="04A0" w:firstRow="1" w:lastRow="0" w:firstColumn="1" w:lastColumn="0" w:noHBand="0" w:noVBand="1"/>
        </w:tblPrEx>
        <w:trPr>
          <w:trHeight w:val="439"/>
        </w:trPr>
        <w:tc>
          <w:tcPr>
            <w:tcW w:w="1134" w:type="dxa"/>
            <w:tcBorders>
              <w:top w:val="single" w:sz="2" w:space="0" w:color="707070"/>
              <w:left w:val="single" w:sz="2" w:space="0" w:color="707070"/>
              <w:bottom w:val="single" w:sz="2" w:space="0" w:color="707070"/>
              <w:right w:val="single" w:sz="2" w:space="0" w:color="707070"/>
            </w:tcBorders>
          </w:tcPr>
          <w:p w14:paraId="75DE46EA" w14:textId="124B0804" w:rsidR="00473298" w:rsidRDefault="00887ADF" w:rsidP="00887ADF">
            <w:pPr>
              <w:rPr>
                <w:szCs w:val="18"/>
                <w:lang w:val="en-AU"/>
              </w:rPr>
            </w:pPr>
            <w:r>
              <w:rPr>
                <w:szCs w:val="18"/>
                <w:lang w:val="en-AU"/>
              </w:rPr>
              <w:t>24.</w:t>
            </w:r>
          </w:p>
        </w:tc>
        <w:tc>
          <w:tcPr>
            <w:tcW w:w="4108" w:type="dxa"/>
            <w:tcBorders>
              <w:top w:val="single" w:sz="2" w:space="0" w:color="707070"/>
              <w:left w:val="single" w:sz="2" w:space="0" w:color="707070"/>
              <w:bottom w:val="single" w:sz="2" w:space="0" w:color="707070"/>
              <w:right w:val="single" w:sz="2" w:space="0" w:color="707070"/>
            </w:tcBorders>
            <w:hideMark/>
          </w:tcPr>
          <w:p w14:paraId="6B537BFC" w14:textId="0B53E322" w:rsidR="00473298" w:rsidRDefault="00F3461C">
            <w:pPr>
              <w:rPr>
                <w:szCs w:val="18"/>
                <w:lang w:val="en-AU"/>
              </w:rPr>
            </w:pPr>
            <w:r>
              <w:rPr>
                <w:szCs w:val="18"/>
                <w:lang w:val="en-AU"/>
              </w:rPr>
              <w:t>Empower communities to build their resilience and lead disaster recovery efforts</w:t>
            </w:r>
          </w:p>
        </w:tc>
        <w:tc>
          <w:tcPr>
            <w:tcW w:w="2268" w:type="dxa"/>
            <w:tcBorders>
              <w:top w:val="single" w:sz="2" w:space="0" w:color="707070"/>
              <w:left w:val="single" w:sz="2" w:space="0" w:color="707070"/>
              <w:bottom w:val="single" w:sz="2" w:space="0" w:color="707070"/>
              <w:right w:val="single" w:sz="2" w:space="0" w:color="707070"/>
            </w:tcBorders>
            <w:hideMark/>
          </w:tcPr>
          <w:p w14:paraId="7CC871D9" w14:textId="4A3C2539" w:rsidR="00473298" w:rsidRDefault="00F3461C" w:rsidP="00F3461C">
            <w:pPr>
              <w:rPr>
                <w:szCs w:val="18"/>
                <w:lang w:val="en-AU"/>
              </w:rPr>
            </w:pPr>
            <w:r>
              <w:rPr>
                <w:szCs w:val="18"/>
                <w:lang w:val="en-AU"/>
              </w:rPr>
              <w:t>-3</w:t>
            </w:r>
            <w:r w:rsidR="003779BE">
              <w:rPr>
                <w:szCs w:val="18"/>
                <w:lang w:val="en-AU"/>
              </w:rPr>
              <w:t>45</w:t>
            </w:r>
          </w:p>
        </w:tc>
        <w:tc>
          <w:tcPr>
            <w:tcW w:w="2268" w:type="dxa"/>
            <w:tcBorders>
              <w:top w:val="single" w:sz="2" w:space="0" w:color="707070"/>
              <w:left w:val="single" w:sz="2" w:space="0" w:color="707070"/>
              <w:bottom w:val="single" w:sz="2" w:space="0" w:color="707070"/>
              <w:right w:val="single" w:sz="2" w:space="0" w:color="707070"/>
            </w:tcBorders>
            <w:hideMark/>
          </w:tcPr>
          <w:p w14:paraId="30C4830D" w14:textId="4D0F131C" w:rsidR="00473298" w:rsidRDefault="00473298" w:rsidP="00F3461C">
            <w:r>
              <w:rPr>
                <w:szCs w:val="18"/>
                <w:lang w:val="en-AU"/>
              </w:rPr>
              <w:t>-</w:t>
            </w:r>
            <w:r w:rsidR="00F3461C">
              <w:rPr>
                <w:szCs w:val="18"/>
                <w:lang w:val="en-AU"/>
              </w:rPr>
              <w:t>3</w:t>
            </w:r>
            <w:r w:rsidR="003779BE">
              <w:rPr>
                <w:szCs w:val="18"/>
                <w:lang w:val="en-AU"/>
              </w:rPr>
              <w:t>75</w:t>
            </w:r>
          </w:p>
        </w:tc>
      </w:tr>
      <w:tr w:rsidR="00473298" w14:paraId="7C276EBD" w14:textId="77777777" w:rsidTr="00F3461C">
        <w:tblPrEx>
          <w:tblLook w:val="04A0" w:firstRow="1" w:lastRow="0" w:firstColumn="1" w:lastColumn="0" w:noHBand="0" w:noVBand="1"/>
        </w:tblPrEx>
        <w:trPr>
          <w:trHeight w:val="439"/>
        </w:trPr>
        <w:tc>
          <w:tcPr>
            <w:tcW w:w="1134" w:type="dxa"/>
            <w:tcBorders>
              <w:top w:val="single" w:sz="2" w:space="0" w:color="707070"/>
              <w:left w:val="single" w:sz="2" w:space="0" w:color="707070"/>
              <w:bottom w:val="single" w:sz="2" w:space="0" w:color="707070"/>
              <w:right w:val="single" w:sz="2" w:space="0" w:color="707070"/>
            </w:tcBorders>
          </w:tcPr>
          <w:p w14:paraId="480ACE48" w14:textId="637F49E8" w:rsidR="00473298" w:rsidRDefault="00887ADF">
            <w:pPr>
              <w:rPr>
                <w:sz w:val="18"/>
                <w:szCs w:val="18"/>
                <w:lang w:val="en-AU"/>
              </w:rPr>
            </w:pPr>
            <w:r>
              <w:rPr>
                <w:sz w:val="18"/>
                <w:szCs w:val="18"/>
                <w:lang w:val="en-AU"/>
              </w:rPr>
              <w:t>25.</w:t>
            </w:r>
          </w:p>
        </w:tc>
        <w:tc>
          <w:tcPr>
            <w:tcW w:w="4108" w:type="dxa"/>
            <w:tcBorders>
              <w:top w:val="single" w:sz="2" w:space="0" w:color="707070"/>
              <w:left w:val="single" w:sz="2" w:space="0" w:color="707070"/>
              <w:bottom w:val="single" w:sz="2" w:space="0" w:color="707070"/>
              <w:right w:val="single" w:sz="2" w:space="0" w:color="707070"/>
            </w:tcBorders>
            <w:hideMark/>
          </w:tcPr>
          <w:p w14:paraId="61988934" w14:textId="0D2ED868" w:rsidR="00473298" w:rsidRDefault="00F3461C">
            <w:pPr>
              <w:rPr>
                <w:szCs w:val="18"/>
                <w:lang w:val="en-AU"/>
              </w:rPr>
            </w:pPr>
            <w:r w:rsidRPr="00F3461C">
              <w:rPr>
                <w:szCs w:val="18"/>
              </w:rPr>
              <w:t>Better meet the needs of people impacted by natural disasters</w:t>
            </w:r>
          </w:p>
        </w:tc>
        <w:tc>
          <w:tcPr>
            <w:tcW w:w="2268" w:type="dxa"/>
            <w:tcBorders>
              <w:top w:val="single" w:sz="2" w:space="0" w:color="707070"/>
              <w:left w:val="single" w:sz="2" w:space="0" w:color="707070"/>
              <w:bottom w:val="single" w:sz="2" w:space="0" w:color="707070"/>
              <w:right w:val="single" w:sz="2" w:space="0" w:color="707070"/>
            </w:tcBorders>
            <w:hideMark/>
          </w:tcPr>
          <w:p w14:paraId="33D4830E" w14:textId="7969770C" w:rsidR="00473298" w:rsidRDefault="00F3461C">
            <w:pPr>
              <w:rPr>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hideMark/>
          </w:tcPr>
          <w:p w14:paraId="7AB490E4" w14:textId="4C627D30" w:rsidR="00473298" w:rsidRDefault="00F3461C">
            <w:pPr>
              <w:rPr>
                <w:szCs w:val="18"/>
                <w:lang w:val="en-AU"/>
              </w:rPr>
            </w:pPr>
            <w:r>
              <w:rPr>
                <w:szCs w:val="18"/>
                <w:lang w:val="en-AU"/>
              </w:rPr>
              <w:t>not available</w:t>
            </w:r>
          </w:p>
        </w:tc>
      </w:tr>
      <w:tr w:rsidR="00473298" w14:paraId="1C1D0654" w14:textId="77777777" w:rsidTr="00F3461C">
        <w:tblPrEx>
          <w:tblLook w:val="04A0" w:firstRow="1" w:lastRow="0" w:firstColumn="1" w:lastColumn="0" w:noHBand="0" w:noVBand="1"/>
        </w:tblPrEx>
        <w:trPr>
          <w:trHeight w:val="439"/>
        </w:trPr>
        <w:tc>
          <w:tcPr>
            <w:tcW w:w="1134" w:type="dxa"/>
            <w:tcBorders>
              <w:top w:val="single" w:sz="2" w:space="0" w:color="707070"/>
              <w:left w:val="single" w:sz="2" w:space="0" w:color="707070"/>
              <w:bottom w:val="single" w:sz="2" w:space="0" w:color="707070"/>
              <w:right w:val="single" w:sz="2" w:space="0" w:color="707070"/>
            </w:tcBorders>
          </w:tcPr>
          <w:p w14:paraId="0FD048DE" w14:textId="25433BEC" w:rsidR="00473298" w:rsidRDefault="00887ADF">
            <w:pPr>
              <w:rPr>
                <w:szCs w:val="18"/>
                <w:lang w:val="en-AU"/>
              </w:rPr>
            </w:pPr>
            <w:r>
              <w:rPr>
                <w:szCs w:val="18"/>
                <w:lang w:val="en-AU"/>
              </w:rPr>
              <w:t>26.</w:t>
            </w:r>
          </w:p>
        </w:tc>
        <w:tc>
          <w:tcPr>
            <w:tcW w:w="4108" w:type="dxa"/>
            <w:tcBorders>
              <w:top w:val="single" w:sz="2" w:space="0" w:color="707070"/>
              <w:left w:val="single" w:sz="2" w:space="0" w:color="707070"/>
              <w:bottom w:val="single" w:sz="2" w:space="0" w:color="707070"/>
              <w:right w:val="single" w:sz="2" w:space="0" w:color="707070"/>
            </w:tcBorders>
            <w:hideMark/>
          </w:tcPr>
          <w:p w14:paraId="44881808" w14:textId="2C3D441A" w:rsidR="00473298" w:rsidRDefault="00F3461C" w:rsidP="008745B7">
            <w:pPr>
              <w:rPr>
                <w:szCs w:val="18"/>
                <w:lang w:val="en-AU"/>
              </w:rPr>
            </w:pPr>
            <w:r>
              <w:t xml:space="preserve">Strengthen </w:t>
            </w:r>
            <w:r w:rsidR="008745B7">
              <w:t xml:space="preserve">the disaster </w:t>
            </w:r>
            <w:r>
              <w:t xml:space="preserve">resilience of community </w:t>
            </w:r>
            <w:proofErr w:type="spellStart"/>
            <w:r>
              <w:t>organisations</w:t>
            </w:r>
            <w:proofErr w:type="spellEnd"/>
          </w:p>
        </w:tc>
        <w:tc>
          <w:tcPr>
            <w:tcW w:w="2268" w:type="dxa"/>
            <w:tcBorders>
              <w:top w:val="single" w:sz="2" w:space="0" w:color="707070"/>
              <w:left w:val="single" w:sz="2" w:space="0" w:color="707070"/>
              <w:bottom w:val="single" w:sz="2" w:space="0" w:color="707070"/>
              <w:right w:val="single" w:sz="2" w:space="0" w:color="707070"/>
            </w:tcBorders>
            <w:hideMark/>
          </w:tcPr>
          <w:p w14:paraId="340ECB44" w14:textId="456A6E7D" w:rsidR="00473298" w:rsidRDefault="00F3461C">
            <w:r>
              <w:rPr>
                <w:szCs w:val="18"/>
                <w:lang w:val="en-AU"/>
              </w:rPr>
              <w:t>-540</w:t>
            </w:r>
          </w:p>
        </w:tc>
        <w:tc>
          <w:tcPr>
            <w:tcW w:w="2268" w:type="dxa"/>
            <w:tcBorders>
              <w:top w:val="single" w:sz="2" w:space="0" w:color="707070"/>
              <w:left w:val="single" w:sz="2" w:space="0" w:color="707070"/>
              <w:bottom w:val="single" w:sz="2" w:space="0" w:color="707070"/>
              <w:right w:val="single" w:sz="2" w:space="0" w:color="707070"/>
            </w:tcBorders>
            <w:hideMark/>
          </w:tcPr>
          <w:p w14:paraId="3698B9CF" w14:textId="1F1D9178" w:rsidR="00473298" w:rsidRDefault="00F3461C">
            <w:pPr>
              <w:rPr>
                <w:sz w:val="18"/>
                <w:szCs w:val="18"/>
                <w:lang w:val="en-AU"/>
              </w:rPr>
            </w:pPr>
            <w:r>
              <w:rPr>
                <w:szCs w:val="18"/>
                <w:lang w:val="en-AU"/>
              </w:rPr>
              <w:t>-540</w:t>
            </w:r>
          </w:p>
        </w:tc>
      </w:tr>
      <w:tr w:rsidR="00473298" w14:paraId="31014D86" w14:textId="77777777" w:rsidTr="00F3461C">
        <w:tblPrEx>
          <w:tblLook w:val="04A0" w:firstRow="1" w:lastRow="0" w:firstColumn="1" w:lastColumn="0" w:noHBand="0" w:noVBand="1"/>
        </w:tblPrEx>
        <w:trPr>
          <w:trHeight w:val="439"/>
        </w:trPr>
        <w:tc>
          <w:tcPr>
            <w:tcW w:w="1134" w:type="dxa"/>
            <w:tcBorders>
              <w:top w:val="single" w:sz="2" w:space="0" w:color="707070"/>
              <w:left w:val="single" w:sz="2" w:space="0" w:color="707070"/>
              <w:bottom w:val="single" w:sz="2" w:space="0" w:color="707070"/>
              <w:right w:val="single" w:sz="2" w:space="0" w:color="707070"/>
            </w:tcBorders>
          </w:tcPr>
          <w:p w14:paraId="7A3B99F8" w14:textId="1F5EA321" w:rsidR="00473298" w:rsidRDefault="00887ADF">
            <w:pPr>
              <w:rPr>
                <w:szCs w:val="18"/>
                <w:lang w:val="en-AU"/>
              </w:rPr>
            </w:pPr>
            <w:r>
              <w:rPr>
                <w:szCs w:val="18"/>
                <w:lang w:val="en-AU"/>
              </w:rPr>
              <w:t>27.</w:t>
            </w:r>
          </w:p>
        </w:tc>
        <w:tc>
          <w:tcPr>
            <w:tcW w:w="4108" w:type="dxa"/>
            <w:tcBorders>
              <w:top w:val="single" w:sz="2" w:space="0" w:color="707070"/>
              <w:left w:val="single" w:sz="2" w:space="0" w:color="707070"/>
              <w:bottom w:val="single" w:sz="2" w:space="0" w:color="707070"/>
              <w:right w:val="single" w:sz="2" w:space="0" w:color="707070"/>
            </w:tcBorders>
            <w:hideMark/>
          </w:tcPr>
          <w:p w14:paraId="5B8EB57B" w14:textId="77777777" w:rsidR="00473298" w:rsidRDefault="00473298">
            <w:pPr>
              <w:rPr>
                <w:szCs w:val="18"/>
                <w:lang w:val="en-AU"/>
              </w:rPr>
            </w:pPr>
            <w:r>
              <w:rPr>
                <w:szCs w:val="18"/>
                <w:lang w:val="en-AU"/>
              </w:rPr>
              <w:t>Review on affordable and accessible insurance</w:t>
            </w:r>
          </w:p>
        </w:tc>
        <w:tc>
          <w:tcPr>
            <w:tcW w:w="2268" w:type="dxa"/>
            <w:tcBorders>
              <w:top w:val="single" w:sz="2" w:space="0" w:color="707070"/>
              <w:left w:val="single" w:sz="2" w:space="0" w:color="707070"/>
              <w:bottom w:val="single" w:sz="2" w:space="0" w:color="707070"/>
              <w:right w:val="single" w:sz="2" w:space="0" w:color="707070"/>
            </w:tcBorders>
            <w:hideMark/>
          </w:tcPr>
          <w:p w14:paraId="0CD5093A" w14:textId="77777777" w:rsidR="00473298" w:rsidRDefault="00473298">
            <w:pPr>
              <w:rPr>
                <w:szCs w:val="18"/>
                <w:lang w:val="en-AU"/>
              </w:rPr>
            </w:pPr>
            <w:r>
              <w:rPr>
                <w:szCs w:val="18"/>
                <w:lang w:val="en-AU"/>
              </w:rPr>
              <w:t>-2</w:t>
            </w:r>
          </w:p>
        </w:tc>
        <w:tc>
          <w:tcPr>
            <w:tcW w:w="2268" w:type="dxa"/>
            <w:tcBorders>
              <w:top w:val="single" w:sz="2" w:space="0" w:color="707070"/>
              <w:left w:val="single" w:sz="2" w:space="0" w:color="707070"/>
              <w:bottom w:val="single" w:sz="2" w:space="0" w:color="707070"/>
              <w:right w:val="single" w:sz="2" w:space="0" w:color="707070"/>
            </w:tcBorders>
            <w:hideMark/>
          </w:tcPr>
          <w:p w14:paraId="63CFABDE" w14:textId="77777777" w:rsidR="00473298" w:rsidRDefault="00473298">
            <w:pPr>
              <w:rPr>
                <w:szCs w:val="18"/>
                <w:lang w:val="en-AU"/>
              </w:rPr>
            </w:pPr>
            <w:r>
              <w:rPr>
                <w:szCs w:val="18"/>
                <w:lang w:val="en-AU"/>
              </w:rPr>
              <w:t>0</w:t>
            </w:r>
          </w:p>
        </w:tc>
      </w:tr>
      <w:tr w:rsidR="00473298" w14:paraId="4C3698F1" w14:textId="77777777" w:rsidTr="00F3461C">
        <w:trPr>
          <w:trHeight w:val="430"/>
        </w:trPr>
        <w:tc>
          <w:tcPr>
            <w:tcW w:w="1134" w:type="dxa"/>
            <w:tcBorders>
              <w:top w:val="single" w:sz="2" w:space="0" w:color="707070"/>
              <w:left w:val="single" w:sz="2" w:space="0" w:color="707070"/>
              <w:bottom w:val="single" w:sz="2" w:space="0" w:color="707070"/>
              <w:right w:val="single" w:sz="2" w:space="0" w:color="707070"/>
            </w:tcBorders>
          </w:tcPr>
          <w:p w14:paraId="2BFD7847" w14:textId="77777777" w:rsidR="00473298" w:rsidRDefault="00473298" w:rsidP="00F51AB4">
            <w:pPr>
              <w:rPr>
                <w:b/>
                <w:szCs w:val="18"/>
                <w:lang w:val="en-AU"/>
              </w:rPr>
            </w:pPr>
          </w:p>
        </w:tc>
        <w:tc>
          <w:tcPr>
            <w:tcW w:w="4108" w:type="dxa"/>
            <w:tcBorders>
              <w:top w:val="single" w:sz="2" w:space="0" w:color="707070"/>
              <w:left w:val="single" w:sz="2" w:space="0" w:color="707070"/>
              <w:bottom w:val="single" w:sz="2" w:space="0" w:color="707070"/>
              <w:right w:val="single" w:sz="2" w:space="0" w:color="707070"/>
            </w:tcBorders>
            <w:hideMark/>
          </w:tcPr>
          <w:p w14:paraId="35FC0A3E" w14:textId="77777777" w:rsidR="00473298" w:rsidRDefault="00473298">
            <w:pPr>
              <w:rPr>
                <w:b/>
                <w:szCs w:val="18"/>
                <w:lang w:val="en-AU"/>
              </w:rPr>
            </w:pPr>
            <w:r>
              <w:rPr>
                <w:b/>
                <w:szCs w:val="18"/>
                <w:lang w:val="en-AU"/>
              </w:rPr>
              <w:t>Housing</w:t>
            </w:r>
          </w:p>
        </w:tc>
        <w:tc>
          <w:tcPr>
            <w:tcW w:w="2268" w:type="dxa"/>
            <w:tcBorders>
              <w:top w:val="single" w:sz="2" w:space="0" w:color="707070"/>
              <w:left w:val="single" w:sz="2" w:space="0" w:color="707070"/>
              <w:bottom w:val="single" w:sz="2" w:space="0" w:color="707070"/>
              <w:right w:val="single" w:sz="2" w:space="0" w:color="707070"/>
            </w:tcBorders>
          </w:tcPr>
          <w:p w14:paraId="2121CD2F" w14:textId="77777777" w:rsidR="00473298" w:rsidRDefault="00473298">
            <w:pPr>
              <w:rPr>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28C943B1" w14:textId="77777777" w:rsidR="00473298" w:rsidRDefault="00473298">
            <w:pPr>
              <w:rPr>
                <w:szCs w:val="18"/>
                <w:lang w:val="en-AU"/>
              </w:rPr>
            </w:pPr>
          </w:p>
        </w:tc>
      </w:tr>
      <w:tr w:rsidR="00473298" w14:paraId="3FFE9E0A" w14:textId="77777777" w:rsidTr="00F3461C">
        <w:trPr>
          <w:trHeight w:val="400"/>
        </w:trPr>
        <w:tc>
          <w:tcPr>
            <w:tcW w:w="1134" w:type="dxa"/>
            <w:tcBorders>
              <w:top w:val="single" w:sz="2" w:space="0" w:color="707070"/>
              <w:left w:val="single" w:sz="2" w:space="0" w:color="707070"/>
              <w:bottom w:val="single" w:sz="2" w:space="0" w:color="707070"/>
              <w:right w:val="single" w:sz="2" w:space="0" w:color="707070"/>
            </w:tcBorders>
            <w:hideMark/>
          </w:tcPr>
          <w:p w14:paraId="659645DE" w14:textId="2CBC730C" w:rsidR="00473298" w:rsidRDefault="00887ADF" w:rsidP="007E2711">
            <w:pPr>
              <w:rPr>
                <w:szCs w:val="18"/>
                <w:lang w:val="en-AU"/>
              </w:rPr>
            </w:pPr>
            <w:r>
              <w:rPr>
                <w:szCs w:val="18"/>
                <w:lang w:val="en-AU"/>
              </w:rPr>
              <w:t>28.</w:t>
            </w:r>
          </w:p>
        </w:tc>
        <w:tc>
          <w:tcPr>
            <w:tcW w:w="4108" w:type="dxa"/>
            <w:tcBorders>
              <w:top w:val="single" w:sz="2" w:space="0" w:color="707070"/>
              <w:left w:val="single" w:sz="2" w:space="0" w:color="707070"/>
              <w:bottom w:val="single" w:sz="2" w:space="0" w:color="707070"/>
              <w:right w:val="single" w:sz="2" w:space="0" w:color="707070"/>
            </w:tcBorders>
            <w:hideMark/>
          </w:tcPr>
          <w:p w14:paraId="51033A34" w14:textId="77777777" w:rsidR="00473298" w:rsidRDefault="00473298">
            <w:pPr>
              <w:rPr>
                <w:szCs w:val="18"/>
                <w:lang w:val="en-AU"/>
              </w:rPr>
            </w:pPr>
            <w:r>
              <w:rPr>
                <w:szCs w:val="18"/>
                <w:lang w:val="en-AU"/>
              </w:rPr>
              <w:t>Build 20,000-30,000 social housing dwellings</w:t>
            </w:r>
          </w:p>
        </w:tc>
        <w:tc>
          <w:tcPr>
            <w:tcW w:w="2268" w:type="dxa"/>
            <w:tcBorders>
              <w:top w:val="single" w:sz="2" w:space="0" w:color="707070"/>
              <w:left w:val="single" w:sz="2" w:space="0" w:color="707070"/>
              <w:bottom w:val="single" w:sz="2" w:space="0" w:color="707070"/>
              <w:right w:val="single" w:sz="2" w:space="0" w:color="707070"/>
            </w:tcBorders>
            <w:hideMark/>
          </w:tcPr>
          <w:p w14:paraId="03DCAD98" w14:textId="77777777" w:rsidR="00473298" w:rsidRDefault="00473298">
            <w:pPr>
              <w:rPr>
                <w:szCs w:val="18"/>
                <w:highlight w:val="yellow"/>
              </w:rPr>
            </w:pPr>
            <w:r>
              <w:rPr>
                <w:szCs w:val="18"/>
              </w:rPr>
              <w:t>-1,000</w:t>
            </w:r>
          </w:p>
        </w:tc>
        <w:tc>
          <w:tcPr>
            <w:tcW w:w="2268" w:type="dxa"/>
            <w:tcBorders>
              <w:top w:val="single" w:sz="2" w:space="0" w:color="707070"/>
              <w:left w:val="single" w:sz="2" w:space="0" w:color="707070"/>
              <w:bottom w:val="single" w:sz="2" w:space="0" w:color="707070"/>
              <w:right w:val="single" w:sz="2" w:space="0" w:color="707070"/>
            </w:tcBorders>
            <w:hideMark/>
          </w:tcPr>
          <w:p w14:paraId="43FC4562" w14:textId="77777777" w:rsidR="00473298" w:rsidRDefault="00473298">
            <w:pPr>
              <w:rPr>
                <w:szCs w:val="18"/>
              </w:rPr>
            </w:pPr>
            <w:r>
              <w:rPr>
                <w:szCs w:val="18"/>
              </w:rPr>
              <w:t>-4,000</w:t>
            </w:r>
          </w:p>
        </w:tc>
      </w:tr>
      <w:tr w:rsidR="00473298" w14:paraId="52767720" w14:textId="77777777" w:rsidTr="00F3461C">
        <w:trPr>
          <w:trHeight w:val="400"/>
        </w:trPr>
        <w:tc>
          <w:tcPr>
            <w:tcW w:w="1134" w:type="dxa"/>
            <w:tcBorders>
              <w:top w:val="single" w:sz="2" w:space="0" w:color="707070"/>
              <w:left w:val="single" w:sz="2" w:space="0" w:color="707070"/>
              <w:bottom w:val="single" w:sz="2" w:space="0" w:color="707070"/>
              <w:right w:val="single" w:sz="2" w:space="0" w:color="707070"/>
            </w:tcBorders>
            <w:hideMark/>
          </w:tcPr>
          <w:p w14:paraId="2601AC84" w14:textId="26199B0B" w:rsidR="00473298" w:rsidRDefault="00887ADF" w:rsidP="00E104F0">
            <w:pPr>
              <w:rPr>
                <w:szCs w:val="18"/>
                <w:lang w:val="en-AU"/>
              </w:rPr>
            </w:pPr>
            <w:r>
              <w:rPr>
                <w:szCs w:val="18"/>
                <w:lang w:val="en-AU"/>
              </w:rPr>
              <w:t>29.</w:t>
            </w:r>
          </w:p>
        </w:tc>
        <w:tc>
          <w:tcPr>
            <w:tcW w:w="4108" w:type="dxa"/>
            <w:tcBorders>
              <w:top w:val="single" w:sz="2" w:space="0" w:color="707070"/>
              <w:left w:val="single" w:sz="2" w:space="0" w:color="707070"/>
              <w:bottom w:val="single" w:sz="2" w:space="0" w:color="707070"/>
              <w:right w:val="single" w:sz="2" w:space="0" w:color="707070"/>
            </w:tcBorders>
            <w:hideMark/>
          </w:tcPr>
          <w:p w14:paraId="2944175A" w14:textId="77777777" w:rsidR="00473298" w:rsidRDefault="00473298">
            <w:pPr>
              <w:rPr>
                <w:szCs w:val="18"/>
                <w:lang w:val="en-AU"/>
              </w:rPr>
            </w:pPr>
            <w:r>
              <w:rPr>
                <w:szCs w:val="18"/>
                <w:lang w:val="en-AU"/>
              </w:rPr>
              <w:t>Increase Rent Assistance to relieve rental stress for private tenants</w:t>
            </w:r>
          </w:p>
        </w:tc>
        <w:tc>
          <w:tcPr>
            <w:tcW w:w="2268" w:type="dxa"/>
            <w:tcBorders>
              <w:top w:val="single" w:sz="2" w:space="0" w:color="707070"/>
              <w:left w:val="single" w:sz="2" w:space="0" w:color="707070"/>
              <w:bottom w:val="single" w:sz="2" w:space="0" w:color="707070"/>
              <w:right w:val="single" w:sz="2" w:space="0" w:color="707070"/>
            </w:tcBorders>
            <w:hideMark/>
          </w:tcPr>
          <w:p w14:paraId="3440918A" w14:textId="77777777" w:rsidR="00473298" w:rsidRDefault="00473298">
            <w:pPr>
              <w:rPr>
                <w:szCs w:val="18"/>
              </w:rPr>
            </w:pPr>
            <w:r>
              <w:rPr>
                <w:szCs w:val="18"/>
              </w:rPr>
              <w:t>0</w:t>
            </w:r>
          </w:p>
        </w:tc>
        <w:tc>
          <w:tcPr>
            <w:tcW w:w="2268" w:type="dxa"/>
            <w:tcBorders>
              <w:top w:val="single" w:sz="2" w:space="0" w:color="707070"/>
              <w:left w:val="single" w:sz="2" w:space="0" w:color="707070"/>
              <w:bottom w:val="single" w:sz="2" w:space="0" w:color="707070"/>
              <w:right w:val="single" w:sz="2" w:space="0" w:color="707070"/>
            </w:tcBorders>
            <w:hideMark/>
          </w:tcPr>
          <w:p w14:paraId="2C1C3DAA" w14:textId="77777777" w:rsidR="00473298" w:rsidRDefault="00473298">
            <w:pPr>
              <w:rPr>
                <w:szCs w:val="18"/>
              </w:rPr>
            </w:pPr>
            <w:r>
              <w:rPr>
                <w:szCs w:val="18"/>
              </w:rPr>
              <w:t>-1,900</w:t>
            </w:r>
          </w:p>
        </w:tc>
      </w:tr>
      <w:tr w:rsidR="00473298" w14:paraId="1C6296A2"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25C4F4B2" w14:textId="096800DD" w:rsidR="00473298" w:rsidRDefault="00887ADF">
            <w:pPr>
              <w:rPr>
                <w:szCs w:val="18"/>
                <w:lang w:val="en-AU"/>
              </w:rPr>
            </w:pPr>
            <w:r>
              <w:rPr>
                <w:szCs w:val="18"/>
                <w:lang w:val="en-AU"/>
              </w:rPr>
              <w:t>30</w:t>
            </w:r>
            <w:r w:rsidR="00473298">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0FEC23FD" w14:textId="77777777" w:rsidR="00473298" w:rsidRDefault="00473298">
            <w:pPr>
              <w:rPr>
                <w:szCs w:val="18"/>
                <w:lang w:val="en-AU"/>
              </w:rPr>
            </w:pPr>
            <w:r>
              <w:rPr>
                <w:szCs w:val="18"/>
                <w:lang w:val="en-AU"/>
              </w:rPr>
              <w:t>Investment incentive for social and affordable rental housing</w:t>
            </w:r>
          </w:p>
        </w:tc>
        <w:tc>
          <w:tcPr>
            <w:tcW w:w="2268" w:type="dxa"/>
            <w:tcBorders>
              <w:top w:val="single" w:sz="2" w:space="0" w:color="707070"/>
              <w:left w:val="single" w:sz="2" w:space="0" w:color="707070"/>
              <w:bottom w:val="single" w:sz="2" w:space="0" w:color="707070"/>
              <w:right w:val="single" w:sz="2" w:space="0" w:color="707070"/>
            </w:tcBorders>
            <w:hideMark/>
          </w:tcPr>
          <w:p w14:paraId="712D53C9" w14:textId="77777777" w:rsidR="00473298" w:rsidRDefault="00473298">
            <w:pPr>
              <w:rPr>
                <w:szCs w:val="18"/>
              </w:rPr>
            </w:pPr>
            <w:r>
              <w:rPr>
                <w:szCs w:val="18"/>
              </w:rPr>
              <w:t>0</w:t>
            </w:r>
          </w:p>
        </w:tc>
        <w:tc>
          <w:tcPr>
            <w:tcW w:w="2268" w:type="dxa"/>
            <w:tcBorders>
              <w:top w:val="single" w:sz="2" w:space="0" w:color="707070"/>
              <w:left w:val="single" w:sz="2" w:space="0" w:color="707070"/>
              <w:bottom w:val="single" w:sz="2" w:space="0" w:color="707070"/>
              <w:right w:val="single" w:sz="2" w:space="0" w:color="707070"/>
            </w:tcBorders>
            <w:hideMark/>
          </w:tcPr>
          <w:p w14:paraId="72F42CAB" w14:textId="77777777" w:rsidR="00473298" w:rsidRDefault="00473298">
            <w:pPr>
              <w:rPr>
                <w:szCs w:val="18"/>
              </w:rPr>
            </w:pPr>
            <w:r>
              <w:rPr>
                <w:szCs w:val="18"/>
              </w:rPr>
              <w:t>-600</w:t>
            </w:r>
          </w:p>
        </w:tc>
      </w:tr>
      <w:tr w:rsidR="00473298" w14:paraId="6B257C31"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0D3977BB" w14:textId="710FE7EF" w:rsidR="00473298" w:rsidRDefault="00E104F0" w:rsidP="00887ADF">
            <w:pPr>
              <w:rPr>
                <w:szCs w:val="18"/>
                <w:lang w:val="en-AU"/>
              </w:rPr>
            </w:pPr>
            <w:r>
              <w:rPr>
                <w:rFonts w:eastAsia="Verdana" w:cs="Verdana"/>
                <w:szCs w:val="18"/>
                <w:lang w:val="en-AU"/>
              </w:rPr>
              <w:t>3</w:t>
            </w:r>
            <w:r w:rsidR="00887ADF">
              <w:rPr>
                <w:rFonts w:eastAsia="Verdana" w:cs="Verdana"/>
                <w:szCs w:val="18"/>
                <w:lang w:val="en-AU"/>
              </w:rPr>
              <w:t>1</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70B30138" w14:textId="77777777" w:rsidR="00473298" w:rsidRDefault="00473298">
            <w:pPr>
              <w:rPr>
                <w:szCs w:val="18"/>
                <w:lang w:val="en-AU"/>
              </w:rPr>
            </w:pPr>
            <w:r>
              <w:rPr>
                <w:szCs w:val="18"/>
                <w:lang w:val="en-AU"/>
              </w:rPr>
              <w:t>National Aboriginal and Torres Strait Islander housing strategy</w:t>
            </w:r>
          </w:p>
        </w:tc>
        <w:tc>
          <w:tcPr>
            <w:tcW w:w="2268" w:type="dxa"/>
            <w:tcBorders>
              <w:top w:val="single" w:sz="2" w:space="0" w:color="707070"/>
              <w:left w:val="single" w:sz="2" w:space="0" w:color="707070"/>
              <w:bottom w:val="single" w:sz="2" w:space="0" w:color="707070"/>
              <w:right w:val="single" w:sz="2" w:space="0" w:color="707070"/>
            </w:tcBorders>
            <w:hideMark/>
          </w:tcPr>
          <w:p w14:paraId="1E42BBB4" w14:textId="77777777" w:rsidR="00473298" w:rsidRDefault="00473298">
            <w:pPr>
              <w:rPr>
                <w:szCs w:val="18"/>
              </w:rPr>
            </w:pPr>
            <w:r>
              <w:rPr>
                <w:szCs w:val="18"/>
              </w:rPr>
              <w:t>-170</w:t>
            </w:r>
          </w:p>
        </w:tc>
        <w:tc>
          <w:tcPr>
            <w:tcW w:w="2268" w:type="dxa"/>
            <w:tcBorders>
              <w:top w:val="single" w:sz="2" w:space="0" w:color="707070"/>
              <w:left w:val="single" w:sz="2" w:space="0" w:color="707070"/>
              <w:bottom w:val="single" w:sz="2" w:space="0" w:color="707070"/>
              <w:right w:val="single" w:sz="2" w:space="0" w:color="707070"/>
            </w:tcBorders>
            <w:hideMark/>
          </w:tcPr>
          <w:p w14:paraId="0127B3B3" w14:textId="77777777" w:rsidR="00473298" w:rsidRDefault="00473298">
            <w:pPr>
              <w:rPr>
                <w:szCs w:val="18"/>
              </w:rPr>
            </w:pPr>
            <w:r>
              <w:rPr>
                <w:szCs w:val="18"/>
              </w:rPr>
              <w:t>-190</w:t>
            </w:r>
          </w:p>
        </w:tc>
      </w:tr>
      <w:tr w:rsidR="00473298" w14:paraId="3CA6E18C"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181A5D6A" w14:textId="14BAC29B" w:rsidR="00473298" w:rsidRDefault="00E104F0" w:rsidP="00887ADF">
            <w:pPr>
              <w:rPr>
                <w:szCs w:val="18"/>
                <w:lang w:val="en-AU"/>
              </w:rPr>
            </w:pPr>
            <w:r>
              <w:rPr>
                <w:szCs w:val="18"/>
                <w:lang w:val="en-AU"/>
              </w:rPr>
              <w:t>3</w:t>
            </w:r>
            <w:r w:rsidR="00887ADF">
              <w:rPr>
                <w:szCs w:val="18"/>
                <w:lang w:val="en-AU"/>
              </w:rPr>
              <w:t>2</w:t>
            </w:r>
            <w:r w:rsidR="00473298">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467E6308" w14:textId="130DD81C" w:rsidR="004653F9" w:rsidRDefault="00473298">
            <w:pPr>
              <w:rPr>
                <w:szCs w:val="18"/>
                <w:lang w:val="en-AU"/>
              </w:rPr>
            </w:pPr>
            <w:r>
              <w:rPr>
                <w:szCs w:val="18"/>
                <w:lang w:val="en-AU"/>
              </w:rPr>
              <w:t>Inter-governmental remote housing agreement</w:t>
            </w:r>
          </w:p>
        </w:tc>
        <w:tc>
          <w:tcPr>
            <w:tcW w:w="2268" w:type="dxa"/>
            <w:tcBorders>
              <w:top w:val="single" w:sz="2" w:space="0" w:color="707070"/>
              <w:left w:val="single" w:sz="2" w:space="0" w:color="707070"/>
              <w:bottom w:val="single" w:sz="2" w:space="0" w:color="707070"/>
              <w:right w:val="single" w:sz="2" w:space="0" w:color="707070"/>
            </w:tcBorders>
            <w:hideMark/>
          </w:tcPr>
          <w:p w14:paraId="79A9F43B" w14:textId="77777777" w:rsidR="00473298" w:rsidRDefault="00473298">
            <w:pPr>
              <w:rPr>
                <w:szCs w:val="18"/>
              </w:rPr>
            </w:pPr>
            <w:r>
              <w:rPr>
                <w:szCs w:val="18"/>
              </w:rPr>
              <w:t>-450</w:t>
            </w:r>
          </w:p>
        </w:tc>
        <w:tc>
          <w:tcPr>
            <w:tcW w:w="2268" w:type="dxa"/>
            <w:tcBorders>
              <w:top w:val="single" w:sz="2" w:space="0" w:color="707070"/>
              <w:left w:val="single" w:sz="2" w:space="0" w:color="707070"/>
              <w:bottom w:val="single" w:sz="2" w:space="0" w:color="707070"/>
              <w:right w:val="single" w:sz="2" w:space="0" w:color="707070"/>
            </w:tcBorders>
            <w:hideMark/>
          </w:tcPr>
          <w:p w14:paraId="080B82D5" w14:textId="77777777" w:rsidR="00473298" w:rsidRDefault="00473298">
            <w:pPr>
              <w:rPr>
                <w:szCs w:val="18"/>
              </w:rPr>
            </w:pPr>
            <w:r>
              <w:rPr>
                <w:szCs w:val="18"/>
              </w:rPr>
              <w:t>-480</w:t>
            </w:r>
          </w:p>
        </w:tc>
      </w:tr>
      <w:tr w:rsidR="00473298" w14:paraId="5943DCE6"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tcPr>
          <w:p w14:paraId="69278C3A" w14:textId="77777777" w:rsidR="00473298" w:rsidRDefault="00473298">
            <w:pPr>
              <w:rPr>
                <w:b/>
                <w:szCs w:val="18"/>
                <w:lang w:val="en-AU"/>
              </w:rPr>
            </w:pPr>
          </w:p>
        </w:tc>
        <w:tc>
          <w:tcPr>
            <w:tcW w:w="4108" w:type="dxa"/>
            <w:tcBorders>
              <w:top w:val="single" w:sz="2" w:space="0" w:color="707070"/>
              <w:left w:val="single" w:sz="2" w:space="0" w:color="707070"/>
              <w:bottom w:val="single" w:sz="2" w:space="0" w:color="707070"/>
              <w:right w:val="single" w:sz="2" w:space="0" w:color="707070"/>
            </w:tcBorders>
            <w:hideMark/>
          </w:tcPr>
          <w:p w14:paraId="2D3B7B24" w14:textId="77777777" w:rsidR="00473298" w:rsidRDefault="00473298">
            <w:pPr>
              <w:rPr>
                <w:b/>
                <w:szCs w:val="18"/>
                <w:lang w:val="en-AU"/>
              </w:rPr>
            </w:pPr>
            <w:r>
              <w:rPr>
                <w:b/>
                <w:szCs w:val="18"/>
                <w:lang w:val="en-AU"/>
              </w:rPr>
              <w:t>Community services</w:t>
            </w:r>
          </w:p>
        </w:tc>
        <w:tc>
          <w:tcPr>
            <w:tcW w:w="2268" w:type="dxa"/>
            <w:tcBorders>
              <w:top w:val="single" w:sz="2" w:space="0" w:color="707070"/>
              <w:left w:val="single" w:sz="2" w:space="0" w:color="707070"/>
              <w:bottom w:val="single" w:sz="2" w:space="0" w:color="707070"/>
              <w:right w:val="single" w:sz="2" w:space="0" w:color="707070"/>
            </w:tcBorders>
          </w:tcPr>
          <w:p w14:paraId="5DEFE766" w14:textId="77777777" w:rsidR="00473298" w:rsidRDefault="00473298">
            <w:pPr>
              <w:rPr>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578D0D4B" w14:textId="77777777" w:rsidR="00473298" w:rsidRDefault="00473298">
            <w:pPr>
              <w:rPr>
                <w:szCs w:val="18"/>
                <w:lang w:val="en-AU"/>
              </w:rPr>
            </w:pPr>
          </w:p>
        </w:tc>
      </w:tr>
      <w:tr w:rsidR="00473298" w14:paraId="2F367260"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1B7E378D" w14:textId="345BE382" w:rsidR="00473298" w:rsidRDefault="00E104F0" w:rsidP="00887ADF">
            <w:pPr>
              <w:rPr>
                <w:szCs w:val="18"/>
                <w:lang w:val="en-AU"/>
              </w:rPr>
            </w:pPr>
            <w:r>
              <w:rPr>
                <w:rFonts w:eastAsia="Verdana" w:cs="Verdana"/>
                <w:szCs w:val="18"/>
                <w:lang w:val="en-AU"/>
              </w:rPr>
              <w:t>3</w:t>
            </w:r>
            <w:r w:rsidR="00887ADF">
              <w:rPr>
                <w:rFonts w:eastAsia="Verdana" w:cs="Verdana"/>
                <w:szCs w:val="18"/>
                <w:lang w:val="en-AU"/>
              </w:rPr>
              <w:t>3</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5425E773" w14:textId="77777777" w:rsidR="00473298" w:rsidRDefault="00473298">
            <w:pPr>
              <w:rPr>
                <w:szCs w:val="18"/>
                <w:lang w:val="en-AU"/>
              </w:rPr>
            </w:pPr>
            <w:r>
              <w:rPr>
                <w:szCs w:val="18"/>
                <w:lang w:val="en-AU"/>
              </w:rPr>
              <w:t>Increase funding for community services</w:t>
            </w:r>
          </w:p>
        </w:tc>
        <w:tc>
          <w:tcPr>
            <w:tcW w:w="2268" w:type="dxa"/>
            <w:tcBorders>
              <w:top w:val="single" w:sz="2" w:space="0" w:color="707070"/>
              <w:left w:val="single" w:sz="2" w:space="0" w:color="707070"/>
              <w:bottom w:val="single" w:sz="2" w:space="0" w:color="707070"/>
              <w:right w:val="single" w:sz="2" w:space="0" w:color="707070"/>
            </w:tcBorders>
            <w:hideMark/>
          </w:tcPr>
          <w:p w14:paraId="4D2D0EB4" w14:textId="77777777" w:rsidR="00473298" w:rsidRDefault="00473298">
            <w:pPr>
              <w:rPr>
                <w:szCs w:val="18"/>
                <w:lang w:val="en-AU"/>
              </w:rPr>
            </w:pPr>
            <w:r>
              <w:rPr>
                <w:szCs w:val="18"/>
                <w:lang w:val="en-AU"/>
              </w:rPr>
              <w:t>-10</w:t>
            </w:r>
          </w:p>
        </w:tc>
        <w:tc>
          <w:tcPr>
            <w:tcW w:w="2268" w:type="dxa"/>
            <w:tcBorders>
              <w:top w:val="single" w:sz="2" w:space="0" w:color="707070"/>
              <w:left w:val="single" w:sz="2" w:space="0" w:color="707070"/>
              <w:bottom w:val="single" w:sz="2" w:space="0" w:color="707070"/>
              <w:right w:val="single" w:sz="2" w:space="0" w:color="707070"/>
            </w:tcBorders>
            <w:hideMark/>
          </w:tcPr>
          <w:p w14:paraId="5499E6C2" w14:textId="77777777" w:rsidR="00473298" w:rsidRDefault="00473298">
            <w:pPr>
              <w:rPr>
                <w:szCs w:val="18"/>
              </w:rPr>
            </w:pPr>
            <w:r>
              <w:rPr>
                <w:szCs w:val="18"/>
                <w:lang w:val="en-AU"/>
              </w:rPr>
              <w:t>-2,000</w:t>
            </w:r>
          </w:p>
        </w:tc>
      </w:tr>
      <w:tr w:rsidR="00473298" w14:paraId="4E54F9E9"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56CE94CE" w14:textId="1195E072" w:rsidR="00473298" w:rsidRDefault="00E104F0" w:rsidP="00887ADF">
            <w:pPr>
              <w:rPr>
                <w:szCs w:val="18"/>
                <w:lang w:val="en-AU"/>
              </w:rPr>
            </w:pPr>
            <w:r>
              <w:rPr>
                <w:rFonts w:eastAsia="Verdana" w:cs="Verdana"/>
                <w:szCs w:val="18"/>
                <w:lang w:val="en-AU"/>
              </w:rPr>
              <w:t>3</w:t>
            </w:r>
            <w:r w:rsidR="00887ADF">
              <w:rPr>
                <w:rFonts w:eastAsia="Verdana" w:cs="Verdana"/>
                <w:szCs w:val="18"/>
                <w:lang w:val="en-AU"/>
              </w:rPr>
              <w:t>4</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4E2F8B10" w14:textId="77777777" w:rsidR="00473298" w:rsidRDefault="00473298">
            <w:pPr>
              <w:rPr>
                <w:szCs w:val="18"/>
                <w:lang w:val="en-AU"/>
              </w:rPr>
            </w:pPr>
            <w:r>
              <w:rPr>
                <w:szCs w:val="18"/>
                <w:lang w:val="en-AU"/>
              </w:rPr>
              <w:t>Create a Continuity of Service Delivery Fund</w:t>
            </w:r>
          </w:p>
        </w:tc>
        <w:tc>
          <w:tcPr>
            <w:tcW w:w="2268" w:type="dxa"/>
            <w:tcBorders>
              <w:top w:val="single" w:sz="2" w:space="0" w:color="707070"/>
              <w:left w:val="single" w:sz="2" w:space="0" w:color="707070"/>
              <w:bottom w:val="single" w:sz="2" w:space="0" w:color="707070"/>
              <w:right w:val="single" w:sz="2" w:space="0" w:color="707070"/>
            </w:tcBorders>
            <w:hideMark/>
          </w:tcPr>
          <w:p w14:paraId="10F6B1B1" w14:textId="77777777" w:rsidR="00473298" w:rsidRDefault="00473298">
            <w:pPr>
              <w:rPr>
                <w:szCs w:val="18"/>
                <w:lang w:val="en-AU"/>
              </w:rPr>
            </w:pPr>
            <w:r>
              <w:rPr>
                <w:szCs w:val="18"/>
                <w:lang w:val="en-AU"/>
              </w:rPr>
              <w:t>-250</w:t>
            </w:r>
          </w:p>
        </w:tc>
        <w:tc>
          <w:tcPr>
            <w:tcW w:w="2268" w:type="dxa"/>
            <w:tcBorders>
              <w:top w:val="single" w:sz="2" w:space="0" w:color="707070"/>
              <w:left w:val="single" w:sz="2" w:space="0" w:color="707070"/>
              <w:bottom w:val="single" w:sz="2" w:space="0" w:color="707070"/>
              <w:right w:val="single" w:sz="2" w:space="0" w:color="707070"/>
            </w:tcBorders>
            <w:hideMark/>
          </w:tcPr>
          <w:p w14:paraId="630B94B6" w14:textId="77777777" w:rsidR="00473298" w:rsidRDefault="00473298">
            <w:pPr>
              <w:rPr>
                <w:szCs w:val="18"/>
                <w:lang w:val="en-AU"/>
              </w:rPr>
            </w:pPr>
            <w:r>
              <w:rPr>
                <w:szCs w:val="18"/>
                <w:lang w:val="en-AU"/>
              </w:rPr>
              <w:t>0</w:t>
            </w:r>
          </w:p>
        </w:tc>
      </w:tr>
      <w:tr w:rsidR="00473298" w14:paraId="3BEB7E69"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2D0439C9" w14:textId="786C8597" w:rsidR="00473298" w:rsidRDefault="00E104F0" w:rsidP="00887ADF">
            <w:pPr>
              <w:rPr>
                <w:szCs w:val="18"/>
                <w:lang w:val="en-AU"/>
              </w:rPr>
            </w:pPr>
            <w:r>
              <w:rPr>
                <w:rFonts w:eastAsia="Verdana" w:cs="Verdana"/>
                <w:szCs w:val="18"/>
                <w:lang w:val="en-AU"/>
              </w:rPr>
              <w:t>3</w:t>
            </w:r>
            <w:r w:rsidR="00887ADF">
              <w:rPr>
                <w:rFonts w:eastAsia="Verdana" w:cs="Verdana"/>
                <w:szCs w:val="18"/>
                <w:lang w:val="en-AU"/>
              </w:rPr>
              <w:t>5</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16299B34" w14:textId="77777777" w:rsidR="00473298" w:rsidRDefault="00473298">
            <w:pPr>
              <w:rPr>
                <w:szCs w:val="18"/>
                <w:lang w:val="en-AU"/>
              </w:rPr>
            </w:pPr>
            <w:r>
              <w:rPr>
                <w:szCs w:val="18"/>
                <w:lang w:val="en-AU"/>
              </w:rPr>
              <w:t>Guarantee funding for equal pay</w:t>
            </w:r>
          </w:p>
        </w:tc>
        <w:tc>
          <w:tcPr>
            <w:tcW w:w="2268" w:type="dxa"/>
            <w:tcBorders>
              <w:top w:val="single" w:sz="2" w:space="0" w:color="707070"/>
              <w:left w:val="single" w:sz="2" w:space="0" w:color="707070"/>
              <w:bottom w:val="single" w:sz="2" w:space="0" w:color="707070"/>
              <w:right w:val="single" w:sz="2" w:space="0" w:color="707070"/>
            </w:tcBorders>
            <w:hideMark/>
          </w:tcPr>
          <w:p w14:paraId="5533E2CB" w14:textId="77777777" w:rsidR="00473298" w:rsidRDefault="00473298">
            <w:pPr>
              <w:rPr>
                <w:szCs w:val="18"/>
              </w:rPr>
            </w:pPr>
            <w:r>
              <w:rPr>
                <w:szCs w:val="18"/>
                <w:lang w:val="en-AU"/>
              </w:rPr>
              <w:t>-62</w:t>
            </w:r>
          </w:p>
        </w:tc>
        <w:tc>
          <w:tcPr>
            <w:tcW w:w="2268" w:type="dxa"/>
            <w:tcBorders>
              <w:top w:val="single" w:sz="2" w:space="0" w:color="707070"/>
              <w:left w:val="single" w:sz="2" w:space="0" w:color="707070"/>
              <w:bottom w:val="single" w:sz="2" w:space="0" w:color="707070"/>
              <w:right w:val="single" w:sz="2" w:space="0" w:color="707070"/>
            </w:tcBorders>
            <w:hideMark/>
          </w:tcPr>
          <w:p w14:paraId="42907BD5" w14:textId="77777777" w:rsidR="00473298" w:rsidRDefault="00473298">
            <w:pPr>
              <w:rPr>
                <w:szCs w:val="18"/>
                <w:lang w:val="en-AU"/>
              </w:rPr>
            </w:pPr>
            <w:r>
              <w:rPr>
                <w:szCs w:val="18"/>
                <w:lang w:val="en-AU"/>
              </w:rPr>
              <w:t>-64</w:t>
            </w:r>
          </w:p>
        </w:tc>
      </w:tr>
      <w:tr w:rsidR="00473298" w14:paraId="6C13381F"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545D486D" w14:textId="235B0884" w:rsidR="00473298" w:rsidRDefault="00E104F0" w:rsidP="00887ADF">
            <w:pPr>
              <w:rPr>
                <w:szCs w:val="18"/>
                <w:lang w:val="en-AU"/>
              </w:rPr>
            </w:pPr>
            <w:r>
              <w:rPr>
                <w:szCs w:val="18"/>
                <w:lang w:val="en-AU"/>
              </w:rPr>
              <w:t>3</w:t>
            </w:r>
            <w:r w:rsidR="00887ADF">
              <w:rPr>
                <w:szCs w:val="18"/>
                <w:lang w:val="en-AU"/>
              </w:rPr>
              <w:t>6</w:t>
            </w:r>
            <w:r w:rsidR="00473298">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19B065FA" w14:textId="77777777" w:rsidR="00473298" w:rsidRDefault="00473298">
            <w:pPr>
              <w:rPr>
                <w:szCs w:val="18"/>
                <w:lang w:val="en-AU"/>
              </w:rPr>
            </w:pPr>
            <w:r>
              <w:rPr>
                <w:szCs w:val="18"/>
                <w:lang w:val="en-AU"/>
              </w:rPr>
              <w:t>Apply fair and uniform indexation to all community sector grants</w:t>
            </w:r>
          </w:p>
        </w:tc>
        <w:tc>
          <w:tcPr>
            <w:tcW w:w="2268" w:type="dxa"/>
            <w:tcBorders>
              <w:top w:val="single" w:sz="2" w:space="0" w:color="707070"/>
              <w:left w:val="single" w:sz="2" w:space="0" w:color="707070"/>
              <w:bottom w:val="single" w:sz="2" w:space="0" w:color="707070"/>
              <w:right w:val="single" w:sz="2" w:space="0" w:color="707070"/>
            </w:tcBorders>
            <w:hideMark/>
          </w:tcPr>
          <w:p w14:paraId="1F44DC46" w14:textId="77777777" w:rsidR="00473298" w:rsidRDefault="00473298">
            <w:pPr>
              <w:rPr>
                <w:szCs w:val="18"/>
                <w:lang w:val="en-AU"/>
              </w:rPr>
            </w:pPr>
            <w:r>
              <w:rPr>
                <w:szCs w:val="18"/>
                <w:lang w:val="en-AU"/>
              </w:rPr>
              <w:t>-350</w:t>
            </w:r>
          </w:p>
        </w:tc>
        <w:tc>
          <w:tcPr>
            <w:tcW w:w="2268" w:type="dxa"/>
            <w:tcBorders>
              <w:top w:val="single" w:sz="2" w:space="0" w:color="707070"/>
              <w:left w:val="single" w:sz="2" w:space="0" w:color="707070"/>
              <w:bottom w:val="single" w:sz="2" w:space="0" w:color="707070"/>
              <w:right w:val="single" w:sz="2" w:space="0" w:color="707070"/>
            </w:tcBorders>
            <w:hideMark/>
          </w:tcPr>
          <w:p w14:paraId="2FC3229A" w14:textId="77777777" w:rsidR="00473298" w:rsidRDefault="00473298">
            <w:pPr>
              <w:rPr>
                <w:szCs w:val="18"/>
                <w:lang w:val="en-AU"/>
              </w:rPr>
            </w:pPr>
            <w:r>
              <w:rPr>
                <w:szCs w:val="18"/>
                <w:lang w:val="en-AU"/>
              </w:rPr>
              <w:t>-358</w:t>
            </w:r>
          </w:p>
        </w:tc>
      </w:tr>
      <w:tr w:rsidR="00473298" w14:paraId="4F5AB6D8"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385CF6B9" w14:textId="3B8C9698" w:rsidR="00473298" w:rsidRDefault="00E104F0" w:rsidP="00887ADF">
            <w:pPr>
              <w:rPr>
                <w:szCs w:val="18"/>
                <w:lang w:val="en-AU"/>
              </w:rPr>
            </w:pPr>
            <w:r>
              <w:rPr>
                <w:szCs w:val="18"/>
                <w:lang w:val="en-AU"/>
              </w:rPr>
              <w:t>3</w:t>
            </w:r>
            <w:r w:rsidR="00887ADF">
              <w:rPr>
                <w:szCs w:val="18"/>
                <w:lang w:val="en-AU"/>
              </w:rPr>
              <w:t>7</w:t>
            </w:r>
            <w:r w:rsidR="00473298">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6171DB9D" w14:textId="77777777" w:rsidR="00473298" w:rsidRDefault="00473298">
            <w:pPr>
              <w:rPr>
                <w:szCs w:val="18"/>
                <w:lang w:val="en-AU"/>
              </w:rPr>
            </w:pPr>
            <w:r>
              <w:rPr>
                <w:szCs w:val="18"/>
                <w:lang w:val="en-AU"/>
              </w:rPr>
              <w:t>Reduce the waiting list for Home Care Packages to three months</w:t>
            </w:r>
          </w:p>
        </w:tc>
        <w:tc>
          <w:tcPr>
            <w:tcW w:w="2268" w:type="dxa"/>
            <w:tcBorders>
              <w:top w:val="single" w:sz="2" w:space="0" w:color="707070"/>
              <w:left w:val="single" w:sz="2" w:space="0" w:color="707070"/>
              <w:bottom w:val="single" w:sz="2" w:space="0" w:color="707070"/>
              <w:right w:val="single" w:sz="2" w:space="0" w:color="707070"/>
            </w:tcBorders>
            <w:hideMark/>
          </w:tcPr>
          <w:p w14:paraId="68031004" w14:textId="77777777" w:rsidR="00473298" w:rsidRDefault="00473298">
            <w:pPr>
              <w:rPr>
                <w:szCs w:val="18"/>
                <w:lang w:val="en-AU"/>
              </w:rPr>
            </w:pPr>
            <w:r>
              <w:rPr>
                <w:szCs w:val="18"/>
                <w:lang w:val="en-AU"/>
              </w:rPr>
              <w:t>-1,700</w:t>
            </w:r>
          </w:p>
        </w:tc>
        <w:tc>
          <w:tcPr>
            <w:tcW w:w="2268" w:type="dxa"/>
            <w:tcBorders>
              <w:top w:val="single" w:sz="2" w:space="0" w:color="707070"/>
              <w:left w:val="single" w:sz="2" w:space="0" w:color="707070"/>
              <w:bottom w:val="single" w:sz="2" w:space="0" w:color="707070"/>
              <w:right w:val="single" w:sz="2" w:space="0" w:color="707070"/>
            </w:tcBorders>
            <w:hideMark/>
          </w:tcPr>
          <w:p w14:paraId="588A5E91" w14:textId="77777777" w:rsidR="00473298" w:rsidRDefault="00473298">
            <w:pPr>
              <w:rPr>
                <w:szCs w:val="18"/>
                <w:lang w:val="en-AU"/>
              </w:rPr>
            </w:pPr>
            <w:r>
              <w:rPr>
                <w:szCs w:val="18"/>
                <w:lang w:val="en-AU"/>
              </w:rPr>
              <w:t>-1,800</w:t>
            </w:r>
          </w:p>
        </w:tc>
      </w:tr>
      <w:tr w:rsidR="00473298" w14:paraId="6378C2CA"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662551F6" w14:textId="359664AD" w:rsidR="00473298" w:rsidRDefault="00E104F0" w:rsidP="00887ADF">
            <w:pPr>
              <w:rPr>
                <w:rFonts w:eastAsia="Verdana" w:cs="Verdana"/>
                <w:szCs w:val="18"/>
                <w:lang w:val="en-AU"/>
              </w:rPr>
            </w:pPr>
            <w:r>
              <w:rPr>
                <w:szCs w:val="18"/>
                <w:lang w:val="en-AU"/>
              </w:rPr>
              <w:t>3</w:t>
            </w:r>
            <w:r w:rsidR="00887ADF">
              <w:rPr>
                <w:szCs w:val="18"/>
                <w:lang w:val="en-AU"/>
              </w:rPr>
              <w:t>8</w:t>
            </w:r>
            <w:r w:rsidR="00473298">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40C62DDF" w14:textId="77777777" w:rsidR="00473298" w:rsidRDefault="00473298">
            <w:r>
              <w:rPr>
                <w:rFonts w:eastAsia="Verdana" w:cs="Verdana"/>
                <w:szCs w:val="18"/>
                <w:lang w:val="en-AU"/>
              </w:rPr>
              <w:t>Improve access to preschool</w:t>
            </w:r>
          </w:p>
        </w:tc>
        <w:tc>
          <w:tcPr>
            <w:tcW w:w="2268" w:type="dxa"/>
            <w:tcBorders>
              <w:top w:val="single" w:sz="2" w:space="0" w:color="707070"/>
              <w:left w:val="single" w:sz="2" w:space="0" w:color="707070"/>
              <w:bottom w:val="single" w:sz="2" w:space="0" w:color="707070"/>
              <w:right w:val="single" w:sz="2" w:space="0" w:color="707070"/>
            </w:tcBorders>
            <w:hideMark/>
          </w:tcPr>
          <w:p w14:paraId="0DDAA63F" w14:textId="77777777" w:rsidR="00473298" w:rsidRDefault="00473298">
            <w:r>
              <w:rPr>
                <w:szCs w:val="18"/>
                <w:lang w:val="en-AU"/>
              </w:rPr>
              <w:t>-620</w:t>
            </w:r>
          </w:p>
        </w:tc>
        <w:tc>
          <w:tcPr>
            <w:tcW w:w="2268" w:type="dxa"/>
            <w:tcBorders>
              <w:top w:val="single" w:sz="2" w:space="0" w:color="707070"/>
              <w:left w:val="single" w:sz="2" w:space="0" w:color="707070"/>
              <w:bottom w:val="single" w:sz="2" w:space="0" w:color="707070"/>
              <w:right w:val="single" w:sz="2" w:space="0" w:color="707070"/>
            </w:tcBorders>
            <w:hideMark/>
          </w:tcPr>
          <w:p w14:paraId="18287763" w14:textId="77777777" w:rsidR="00473298" w:rsidRDefault="00473298">
            <w:pPr>
              <w:rPr>
                <w:sz w:val="18"/>
                <w:szCs w:val="18"/>
                <w:lang w:val="en-AU"/>
              </w:rPr>
            </w:pPr>
            <w:r>
              <w:rPr>
                <w:szCs w:val="18"/>
                <w:lang w:val="en-AU"/>
              </w:rPr>
              <w:t>-980</w:t>
            </w:r>
          </w:p>
        </w:tc>
      </w:tr>
      <w:tr w:rsidR="00473298" w14:paraId="21710DAE"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2AD5B792" w14:textId="6F0874F0" w:rsidR="00473298" w:rsidRDefault="00473298" w:rsidP="00887ADF">
            <w:pPr>
              <w:rPr>
                <w:rFonts w:eastAsia="Verdana" w:cs="Verdana"/>
                <w:szCs w:val="18"/>
                <w:lang w:val="en-AU"/>
              </w:rPr>
            </w:pPr>
            <w:r>
              <w:rPr>
                <w:szCs w:val="18"/>
                <w:lang w:val="en-AU"/>
              </w:rPr>
              <w:t>3</w:t>
            </w:r>
            <w:r w:rsidR="00887ADF">
              <w:rPr>
                <w:szCs w:val="18"/>
                <w:lang w:val="en-AU"/>
              </w:rPr>
              <w:t>9</w:t>
            </w:r>
            <w:r>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63F01D00" w14:textId="77777777" w:rsidR="00473298" w:rsidRDefault="00473298">
            <w:pPr>
              <w:rPr>
                <w:rFonts w:eastAsia="Verdana" w:cs="Verdana"/>
                <w:szCs w:val="18"/>
                <w:lang w:val="en-AU"/>
              </w:rPr>
            </w:pPr>
            <w:r>
              <w:rPr>
                <w:rFonts w:eastAsia="Verdana" w:cs="Verdana"/>
                <w:szCs w:val="18"/>
                <w:lang w:val="en-AU"/>
              </w:rPr>
              <w:t>Improve the affordability of early childhood education and care</w:t>
            </w:r>
          </w:p>
        </w:tc>
        <w:tc>
          <w:tcPr>
            <w:tcW w:w="2268" w:type="dxa"/>
            <w:tcBorders>
              <w:top w:val="single" w:sz="2" w:space="0" w:color="707070"/>
              <w:left w:val="single" w:sz="2" w:space="0" w:color="707070"/>
              <w:bottom w:val="single" w:sz="2" w:space="0" w:color="707070"/>
              <w:right w:val="single" w:sz="2" w:space="0" w:color="707070"/>
            </w:tcBorders>
            <w:hideMark/>
          </w:tcPr>
          <w:p w14:paraId="0D95755A" w14:textId="77777777" w:rsidR="00473298" w:rsidRDefault="00473298">
            <w:pPr>
              <w:rPr>
                <w:szCs w:val="18"/>
                <w:lang w:val="en-AU"/>
              </w:rPr>
            </w:pPr>
            <w:r>
              <w:rPr>
                <w:szCs w:val="18"/>
                <w:lang w:val="en-AU"/>
              </w:rPr>
              <w:t>-5,500</w:t>
            </w:r>
          </w:p>
        </w:tc>
        <w:tc>
          <w:tcPr>
            <w:tcW w:w="2268" w:type="dxa"/>
            <w:tcBorders>
              <w:top w:val="single" w:sz="2" w:space="0" w:color="707070"/>
              <w:left w:val="single" w:sz="2" w:space="0" w:color="707070"/>
              <w:bottom w:val="single" w:sz="2" w:space="0" w:color="707070"/>
              <w:right w:val="single" w:sz="2" w:space="0" w:color="707070"/>
            </w:tcBorders>
            <w:hideMark/>
          </w:tcPr>
          <w:p w14:paraId="39C3A3D6" w14:textId="77777777" w:rsidR="00473298" w:rsidRDefault="00473298">
            <w:pPr>
              <w:rPr>
                <w:szCs w:val="18"/>
                <w:lang w:val="en-AU"/>
              </w:rPr>
            </w:pPr>
            <w:r>
              <w:rPr>
                <w:szCs w:val="18"/>
                <w:lang w:val="en-AU"/>
              </w:rPr>
              <w:t>-5,600</w:t>
            </w:r>
          </w:p>
        </w:tc>
      </w:tr>
      <w:tr w:rsidR="00473298" w14:paraId="57517A0C"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092683E3" w14:textId="344A45F1" w:rsidR="00473298" w:rsidRDefault="00887ADF">
            <w:pPr>
              <w:rPr>
                <w:rFonts w:eastAsia="Verdana" w:cs="Verdana"/>
                <w:szCs w:val="18"/>
                <w:lang w:val="en-AU"/>
              </w:rPr>
            </w:pPr>
            <w:r>
              <w:rPr>
                <w:szCs w:val="18"/>
                <w:lang w:val="en-AU"/>
              </w:rPr>
              <w:t>40</w:t>
            </w:r>
            <w:r w:rsidR="00473298">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259E4D5E" w14:textId="77777777" w:rsidR="00473298" w:rsidRDefault="00473298">
            <w:pPr>
              <w:rPr>
                <w:rFonts w:eastAsia="Verdana" w:cs="Verdana"/>
                <w:szCs w:val="18"/>
                <w:lang w:val="en-AU"/>
              </w:rPr>
            </w:pPr>
            <w:r>
              <w:rPr>
                <w:rFonts w:eastAsia="Verdana" w:cs="Verdana"/>
                <w:szCs w:val="18"/>
                <w:lang w:val="en-AU"/>
              </w:rPr>
              <w:t>Ensure equality for Aboriginal and Torres Strait Islander children in their early years</w:t>
            </w:r>
          </w:p>
        </w:tc>
        <w:tc>
          <w:tcPr>
            <w:tcW w:w="2268" w:type="dxa"/>
            <w:tcBorders>
              <w:top w:val="single" w:sz="2" w:space="0" w:color="707070"/>
              <w:left w:val="single" w:sz="2" w:space="0" w:color="707070"/>
              <w:bottom w:val="single" w:sz="2" w:space="0" w:color="707070"/>
              <w:right w:val="single" w:sz="2" w:space="0" w:color="707070"/>
            </w:tcBorders>
            <w:hideMark/>
          </w:tcPr>
          <w:p w14:paraId="450AE7F0" w14:textId="77777777" w:rsidR="00473298" w:rsidRDefault="00473298">
            <w:pPr>
              <w:rPr>
                <w:szCs w:val="18"/>
                <w:lang w:val="en-AU"/>
              </w:rPr>
            </w:pPr>
            <w:r>
              <w:rPr>
                <w:szCs w:val="18"/>
                <w:lang w:val="en-AU"/>
              </w:rPr>
              <w:t>-73</w:t>
            </w:r>
          </w:p>
        </w:tc>
        <w:tc>
          <w:tcPr>
            <w:tcW w:w="2268" w:type="dxa"/>
            <w:tcBorders>
              <w:top w:val="single" w:sz="2" w:space="0" w:color="707070"/>
              <w:left w:val="single" w:sz="2" w:space="0" w:color="707070"/>
              <w:bottom w:val="single" w:sz="2" w:space="0" w:color="707070"/>
              <w:right w:val="single" w:sz="2" w:space="0" w:color="707070"/>
            </w:tcBorders>
            <w:hideMark/>
          </w:tcPr>
          <w:p w14:paraId="4E70C564" w14:textId="77777777" w:rsidR="00473298" w:rsidRDefault="00473298">
            <w:pPr>
              <w:rPr>
                <w:szCs w:val="18"/>
                <w:lang w:val="en-AU"/>
              </w:rPr>
            </w:pPr>
            <w:r>
              <w:rPr>
                <w:szCs w:val="18"/>
                <w:lang w:val="en-AU"/>
              </w:rPr>
              <w:t>-75</w:t>
            </w:r>
          </w:p>
        </w:tc>
      </w:tr>
      <w:tr w:rsidR="00473298" w14:paraId="38A65221"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6BC40DB3" w14:textId="1F7A4E5F" w:rsidR="00473298" w:rsidRDefault="001C35E2" w:rsidP="00887ADF">
            <w:pPr>
              <w:rPr>
                <w:rFonts w:eastAsia="Verdana" w:cs="Verdana"/>
                <w:szCs w:val="18"/>
                <w:lang w:val="en-AU"/>
              </w:rPr>
            </w:pPr>
            <w:r>
              <w:rPr>
                <w:rFonts w:eastAsia="Verdana" w:cs="Verdana"/>
                <w:szCs w:val="18"/>
                <w:lang w:val="en-AU"/>
              </w:rPr>
              <w:t>4</w:t>
            </w:r>
            <w:r w:rsidR="00887ADF">
              <w:rPr>
                <w:rFonts w:eastAsia="Verdana" w:cs="Verdana"/>
                <w:szCs w:val="18"/>
                <w:lang w:val="en-AU"/>
              </w:rPr>
              <w:t>1</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5B4E8915" w14:textId="77777777" w:rsidR="00473298" w:rsidRDefault="00473298">
            <w:pPr>
              <w:rPr>
                <w:rFonts w:eastAsia="Verdana" w:cs="Verdana"/>
                <w:szCs w:val="18"/>
                <w:lang w:val="en-AU"/>
              </w:rPr>
            </w:pPr>
            <w:r>
              <w:rPr>
                <w:rFonts w:eastAsia="Verdana" w:cs="Verdana"/>
                <w:szCs w:val="18"/>
                <w:lang w:val="en-AU"/>
              </w:rPr>
              <w:t>Establish an Evaluator General</w:t>
            </w:r>
          </w:p>
        </w:tc>
        <w:tc>
          <w:tcPr>
            <w:tcW w:w="2268" w:type="dxa"/>
            <w:tcBorders>
              <w:top w:val="single" w:sz="2" w:space="0" w:color="707070"/>
              <w:left w:val="single" w:sz="2" w:space="0" w:color="707070"/>
              <w:bottom w:val="single" w:sz="2" w:space="0" w:color="707070"/>
              <w:right w:val="single" w:sz="2" w:space="0" w:color="707070"/>
            </w:tcBorders>
            <w:hideMark/>
          </w:tcPr>
          <w:p w14:paraId="6EEDCA9C" w14:textId="77777777" w:rsidR="00473298" w:rsidRDefault="00473298">
            <w:pPr>
              <w:rPr>
                <w:szCs w:val="18"/>
                <w:lang w:val="en-AU"/>
              </w:rPr>
            </w:pPr>
            <w:r>
              <w:rPr>
                <w:szCs w:val="18"/>
                <w:lang w:val="en-AU"/>
              </w:rPr>
              <w:t>-5</w:t>
            </w:r>
          </w:p>
        </w:tc>
        <w:tc>
          <w:tcPr>
            <w:tcW w:w="2268" w:type="dxa"/>
            <w:tcBorders>
              <w:top w:val="single" w:sz="2" w:space="0" w:color="707070"/>
              <w:left w:val="single" w:sz="2" w:space="0" w:color="707070"/>
              <w:bottom w:val="single" w:sz="2" w:space="0" w:color="707070"/>
              <w:right w:val="single" w:sz="2" w:space="0" w:color="707070"/>
            </w:tcBorders>
            <w:hideMark/>
          </w:tcPr>
          <w:p w14:paraId="3382B6A9" w14:textId="77777777" w:rsidR="00473298" w:rsidRDefault="00473298">
            <w:pPr>
              <w:rPr>
                <w:szCs w:val="18"/>
                <w:lang w:val="en-AU"/>
              </w:rPr>
            </w:pPr>
            <w:r>
              <w:rPr>
                <w:szCs w:val="18"/>
                <w:lang w:val="en-AU"/>
              </w:rPr>
              <w:t>-5</w:t>
            </w:r>
          </w:p>
        </w:tc>
      </w:tr>
      <w:tr w:rsidR="00473298" w14:paraId="5217B6F1"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5FA98292" w14:textId="2BD00185" w:rsidR="00473298" w:rsidRDefault="001C35E2" w:rsidP="00887ADF">
            <w:pPr>
              <w:rPr>
                <w:rFonts w:eastAsia="Verdana" w:cs="Verdana"/>
                <w:szCs w:val="18"/>
                <w:lang w:val="en-AU"/>
              </w:rPr>
            </w:pPr>
            <w:r>
              <w:rPr>
                <w:rFonts w:eastAsia="Verdana" w:cs="Verdana"/>
                <w:szCs w:val="18"/>
                <w:lang w:val="en-AU"/>
              </w:rPr>
              <w:t>4</w:t>
            </w:r>
            <w:r w:rsidR="00887ADF">
              <w:rPr>
                <w:rFonts w:eastAsia="Verdana" w:cs="Verdana"/>
                <w:szCs w:val="18"/>
                <w:lang w:val="en-AU"/>
              </w:rPr>
              <w:t>2</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0502F8EE" w14:textId="77777777" w:rsidR="00473298" w:rsidRDefault="00473298">
            <w:pPr>
              <w:rPr>
                <w:rFonts w:eastAsia="Verdana" w:cs="Verdana"/>
                <w:szCs w:val="18"/>
                <w:lang w:val="en-AU"/>
              </w:rPr>
            </w:pPr>
            <w:r>
              <w:rPr>
                <w:rFonts w:eastAsia="Verdana" w:cs="Verdana"/>
                <w:szCs w:val="18"/>
                <w:lang w:val="en-AU"/>
              </w:rPr>
              <w:t>Increase funding to peaks and advocacy organisations</w:t>
            </w:r>
          </w:p>
        </w:tc>
        <w:tc>
          <w:tcPr>
            <w:tcW w:w="2268" w:type="dxa"/>
            <w:tcBorders>
              <w:top w:val="single" w:sz="2" w:space="0" w:color="707070"/>
              <w:left w:val="single" w:sz="2" w:space="0" w:color="707070"/>
              <w:bottom w:val="single" w:sz="2" w:space="0" w:color="707070"/>
              <w:right w:val="single" w:sz="2" w:space="0" w:color="707070"/>
            </w:tcBorders>
            <w:hideMark/>
          </w:tcPr>
          <w:p w14:paraId="5E14666D" w14:textId="77777777" w:rsidR="00473298" w:rsidRDefault="00473298">
            <w:pPr>
              <w:rPr>
                <w:szCs w:val="18"/>
                <w:lang w:val="en-AU"/>
              </w:rPr>
            </w:pPr>
            <w:r>
              <w:rPr>
                <w:szCs w:val="18"/>
                <w:lang w:val="en-AU"/>
              </w:rPr>
              <w:t>-10</w:t>
            </w:r>
          </w:p>
        </w:tc>
        <w:tc>
          <w:tcPr>
            <w:tcW w:w="2268" w:type="dxa"/>
            <w:tcBorders>
              <w:top w:val="single" w:sz="2" w:space="0" w:color="707070"/>
              <w:left w:val="single" w:sz="2" w:space="0" w:color="707070"/>
              <w:bottom w:val="single" w:sz="2" w:space="0" w:color="707070"/>
              <w:right w:val="single" w:sz="2" w:space="0" w:color="707070"/>
            </w:tcBorders>
            <w:hideMark/>
          </w:tcPr>
          <w:p w14:paraId="4FAA44A1" w14:textId="77777777" w:rsidR="00473298" w:rsidRDefault="00473298">
            <w:pPr>
              <w:rPr>
                <w:szCs w:val="18"/>
                <w:lang w:val="en-AU"/>
              </w:rPr>
            </w:pPr>
            <w:r>
              <w:rPr>
                <w:szCs w:val="18"/>
                <w:lang w:val="en-AU"/>
              </w:rPr>
              <w:t>-10</w:t>
            </w:r>
          </w:p>
        </w:tc>
      </w:tr>
      <w:tr w:rsidR="00473298" w14:paraId="18561704"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tcPr>
          <w:p w14:paraId="72D22F50" w14:textId="77777777" w:rsidR="00473298" w:rsidRDefault="00473298">
            <w:pPr>
              <w:rPr>
                <w:b/>
                <w:szCs w:val="18"/>
                <w:lang w:val="en-AU"/>
              </w:rPr>
            </w:pPr>
          </w:p>
        </w:tc>
        <w:tc>
          <w:tcPr>
            <w:tcW w:w="4108" w:type="dxa"/>
            <w:tcBorders>
              <w:top w:val="single" w:sz="2" w:space="0" w:color="707070"/>
              <w:left w:val="single" w:sz="2" w:space="0" w:color="707070"/>
              <w:bottom w:val="single" w:sz="2" w:space="0" w:color="707070"/>
              <w:right w:val="single" w:sz="2" w:space="0" w:color="707070"/>
            </w:tcBorders>
            <w:hideMark/>
          </w:tcPr>
          <w:p w14:paraId="046E0242" w14:textId="77777777" w:rsidR="00473298" w:rsidRDefault="00473298">
            <w:pPr>
              <w:rPr>
                <w:b/>
                <w:szCs w:val="18"/>
                <w:lang w:val="en-AU"/>
              </w:rPr>
            </w:pPr>
            <w:r>
              <w:rPr>
                <w:b/>
                <w:szCs w:val="18"/>
                <w:lang w:val="en-AU"/>
              </w:rPr>
              <w:t>Health</w:t>
            </w:r>
          </w:p>
        </w:tc>
        <w:tc>
          <w:tcPr>
            <w:tcW w:w="2268" w:type="dxa"/>
            <w:tcBorders>
              <w:top w:val="single" w:sz="2" w:space="0" w:color="707070"/>
              <w:left w:val="single" w:sz="2" w:space="0" w:color="707070"/>
              <w:bottom w:val="single" w:sz="2" w:space="0" w:color="707070"/>
              <w:right w:val="single" w:sz="2" w:space="0" w:color="707070"/>
            </w:tcBorders>
          </w:tcPr>
          <w:p w14:paraId="0B594A90" w14:textId="77777777" w:rsidR="00473298" w:rsidRDefault="00473298">
            <w:pPr>
              <w:rPr>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7B8E2CB5" w14:textId="77777777" w:rsidR="00473298" w:rsidRDefault="00473298">
            <w:pPr>
              <w:rPr>
                <w:szCs w:val="18"/>
                <w:lang w:val="en-AU"/>
              </w:rPr>
            </w:pPr>
          </w:p>
        </w:tc>
      </w:tr>
      <w:tr w:rsidR="00473298" w14:paraId="33655A5E"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39BDA049" w14:textId="05389511" w:rsidR="00473298" w:rsidRDefault="001C35E2" w:rsidP="00887ADF">
            <w:pPr>
              <w:rPr>
                <w:szCs w:val="18"/>
                <w:lang w:val="en-AU"/>
              </w:rPr>
            </w:pPr>
            <w:r>
              <w:rPr>
                <w:rFonts w:eastAsia="Verdana" w:cs="Verdana"/>
                <w:szCs w:val="18"/>
                <w:lang w:val="en-AU"/>
              </w:rPr>
              <w:t>4</w:t>
            </w:r>
            <w:r w:rsidR="00887ADF">
              <w:rPr>
                <w:rFonts w:eastAsia="Verdana" w:cs="Verdana"/>
                <w:szCs w:val="18"/>
                <w:lang w:val="en-AU"/>
              </w:rPr>
              <w:t>3</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3ABAF453" w14:textId="77777777" w:rsidR="00473298" w:rsidRDefault="00473298">
            <w:r>
              <w:rPr>
                <w:szCs w:val="18"/>
                <w:lang w:val="en-AU"/>
              </w:rPr>
              <w:t>Invest 5% of total Commonwealth Health spending in prevention</w:t>
            </w:r>
          </w:p>
        </w:tc>
        <w:tc>
          <w:tcPr>
            <w:tcW w:w="2268" w:type="dxa"/>
            <w:tcBorders>
              <w:top w:val="single" w:sz="2" w:space="0" w:color="707070"/>
              <w:left w:val="single" w:sz="2" w:space="0" w:color="707070"/>
              <w:bottom w:val="single" w:sz="2" w:space="0" w:color="707070"/>
              <w:right w:val="single" w:sz="2" w:space="0" w:color="707070"/>
            </w:tcBorders>
            <w:hideMark/>
          </w:tcPr>
          <w:p w14:paraId="313BEBE5" w14:textId="639669AC" w:rsidR="00473298" w:rsidRDefault="00473298" w:rsidP="002463B9">
            <w:pPr>
              <w:rPr>
                <w:sz w:val="18"/>
                <w:szCs w:val="18"/>
                <w:lang w:val="en-AU"/>
              </w:rPr>
            </w:pPr>
            <w:r>
              <w:rPr>
                <w:szCs w:val="18"/>
                <w:lang w:val="en-AU"/>
              </w:rPr>
              <w:t>-2,</w:t>
            </w:r>
            <w:r w:rsidR="002463B9">
              <w:rPr>
                <w:szCs w:val="18"/>
                <w:lang w:val="en-AU"/>
              </w:rPr>
              <w:t>700</w:t>
            </w:r>
          </w:p>
        </w:tc>
        <w:tc>
          <w:tcPr>
            <w:tcW w:w="2268" w:type="dxa"/>
            <w:tcBorders>
              <w:top w:val="single" w:sz="2" w:space="0" w:color="707070"/>
              <w:left w:val="single" w:sz="2" w:space="0" w:color="707070"/>
              <w:bottom w:val="single" w:sz="2" w:space="0" w:color="707070"/>
              <w:right w:val="single" w:sz="2" w:space="0" w:color="707070"/>
            </w:tcBorders>
            <w:hideMark/>
          </w:tcPr>
          <w:p w14:paraId="62D57E91" w14:textId="1C60D104" w:rsidR="00473298" w:rsidRDefault="00473298" w:rsidP="002463B9">
            <w:pPr>
              <w:rPr>
                <w:szCs w:val="18"/>
                <w:lang w:val="en-AU"/>
              </w:rPr>
            </w:pPr>
            <w:r>
              <w:rPr>
                <w:szCs w:val="18"/>
                <w:lang w:val="en-AU"/>
              </w:rPr>
              <w:t>-2,</w:t>
            </w:r>
            <w:r w:rsidR="002463B9">
              <w:rPr>
                <w:szCs w:val="18"/>
                <w:lang w:val="en-AU"/>
              </w:rPr>
              <w:t>800</w:t>
            </w:r>
          </w:p>
        </w:tc>
      </w:tr>
      <w:tr w:rsidR="00473298" w14:paraId="59952B65"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52488BE2" w14:textId="3DD69413" w:rsidR="00473298" w:rsidRDefault="001C35E2" w:rsidP="00887ADF">
            <w:pPr>
              <w:rPr>
                <w:szCs w:val="18"/>
                <w:lang w:val="en-AU"/>
              </w:rPr>
            </w:pPr>
            <w:r>
              <w:rPr>
                <w:rFonts w:eastAsia="Verdana" w:cs="Verdana"/>
                <w:szCs w:val="18"/>
                <w:lang w:val="en-AU"/>
              </w:rPr>
              <w:t>4</w:t>
            </w:r>
            <w:r w:rsidR="00887ADF">
              <w:rPr>
                <w:rFonts w:eastAsia="Verdana" w:cs="Verdana"/>
                <w:szCs w:val="18"/>
                <w:lang w:val="en-AU"/>
              </w:rPr>
              <w:t>4</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442B3EBC" w14:textId="77777777" w:rsidR="00473298" w:rsidRDefault="00473298">
            <w:pPr>
              <w:rPr>
                <w:szCs w:val="18"/>
                <w:lang w:val="en-AU"/>
              </w:rPr>
            </w:pPr>
            <w:r>
              <w:rPr>
                <w:szCs w:val="18"/>
                <w:lang w:val="en-AU"/>
              </w:rPr>
              <w:t>Invest in community-led COVID health promotion</w:t>
            </w:r>
          </w:p>
        </w:tc>
        <w:tc>
          <w:tcPr>
            <w:tcW w:w="2268" w:type="dxa"/>
            <w:tcBorders>
              <w:top w:val="single" w:sz="2" w:space="0" w:color="707070"/>
              <w:left w:val="single" w:sz="2" w:space="0" w:color="707070"/>
              <w:bottom w:val="single" w:sz="2" w:space="0" w:color="707070"/>
              <w:right w:val="single" w:sz="2" w:space="0" w:color="707070"/>
            </w:tcBorders>
            <w:hideMark/>
          </w:tcPr>
          <w:p w14:paraId="4A127FC6" w14:textId="77777777" w:rsidR="00473298" w:rsidRDefault="00473298">
            <w:pPr>
              <w:rPr>
                <w:szCs w:val="18"/>
              </w:rPr>
            </w:pPr>
            <w:r>
              <w:rPr>
                <w:szCs w:val="18"/>
                <w:lang w:val="en-AU"/>
              </w:rPr>
              <w:t>-50</w:t>
            </w:r>
          </w:p>
        </w:tc>
        <w:tc>
          <w:tcPr>
            <w:tcW w:w="2268" w:type="dxa"/>
            <w:tcBorders>
              <w:top w:val="single" w:sz="2" w:space="0" w:color="707070"/>
              <w:left w:val="single" w:sz="2" w:space="0" w:color="707070"/>
              <w:bottom w:val="single" w:sz="2" w:space="0" w:color="707070"/>
              <w:right w:val="single" w:sz="2" w:space="0" w:color="707070"/>
            </w:tcBorders>
            <w:hideMark/>
          </w:tcPr>
          <w:p w14:paraId="42BCA1BA" w14:textId="77777777" w:rsidR="00473298" w:rsidRDefault="00473298">
            <w:pPr>
              <w:rPr>
                <w:szCs w:val="18"/>
                <w:lang w:val="en-AU"/>
              </w:rPr>
            </w:pPr>
            <w:r>
              <w:rPr>
                <w:szCs w:val="18"/>
                <w:lang w:val="en-AU"/>
              </w:rPr>
              <w:t>0</w:t>
            </w:r>
          </w:p>
        </w:tc>
      </w:tr>
      <w:tr w:rsidR="00473298" w14:paraId="721A04F6"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4AAE9ED4" w14:textId="25D3ED8E" w:rsidR="00473298" w:rsidRDefault="001C35E2" w:rsidP="00887ADF">
            <w:pPr>
              <w:rPr>
                <w:szCs w:val="18"/>
                <w:lang w:val="en-AU"/>
              </w:rPr>
            </w:pPr>
            <w:r>
              <w:rPr>
                <w:rFonts w:eastAsia="Verdana" w:cs="Verdana"/>
                <w:szCs w:val="18"/>
                <w:lang w:val="en-AU"/>
              </w:rPr>
              <w:t>4</w:t>
            </w:r>
            <w:r w:rsidR="00887ADF">
              <w:rPr>
                <w:rFonts w:eastAsia="Verdana" w:cs="Verdana"/>
                <w:szCs w:val="18"/>
                <w:lang w:val="en-AU"/>
              </w:rPr>
              <w:t>5</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280FFC64" w14:textId="77777777" w:rsidR="00473298" w:rsidRDefault="00473298">
            <w:r>
              <w:rPr>
                <w:szCs w:val="18"/>
                <w:lang w:val="en-AU"/>
              </w:rPr>
              <w:t>Transition to a universal dental health care scheme</w:t>
            </w:r>
          </w:p>
        </w:tc>
        <w:tc>
          <w:tcPr>
            <w:tcW w:w="2268" w:type="dxa"/>
            <w:tcBorders>
              <w:top w:val="single" w:sz="2" w:space="0" w:color="707070"/>
              <w:left w:val="single" w:sz="2" w:space="0" w:color="707070"/>
              <w:bottom w:val="single" w:sz="2" w:space="0" w:color="707070"/>
              <w:right w:val="single" w:sz="2" w:space="0" w:color="707070"/>
            </w:tcBorders>
            <w:hideMark/>
          </w:tcPr>
          <w:p w14:paraId="085245D9" w14:textId="77777777" w:rsidR="00473298" w:rsidRDefault="00473298">
            <w:pPr>
              <w:rPr>
                <w:sz w:val="18"/>
                <w:szCs w:val="18"/>
                <w:lang w:val="en-AU"/>
              </w:rPr>
            </w:pPr>
            <w:r>
              <w:rPr>
                <w:szCs w:val="18"/>
                <w:lang w:val="en-AU"/>
              </w:rPr>
              <w:t>-1,100</w:t>
            </w:r>
          </w:p>
        </w:tc>
        <w:tc>
          <w:tcPr>
            <w:tcW w:w="2268" w:type="dxa"/>
            <w:tcBorders>
              <w:top w:val="single" w:sz="2" w:space="0" w:color="707070"/>
              <w:left w:val="single" w:sz="2" w:space="0" w:color="707070"/>
              <w:bottom w:val="single" w:sz="2" w:space="0" w:color="707070"/>
              <w:right w:val="single" w:sz="2" w:space="0" w:color="707070"/>
            </w:tcBorders>
            <w:hideMark/>
          </w:tcPr>
          <w:p w14:paraId="574E4E2D" w14:textId="77777777" w:rsidR="00473298" w:rsidRDefault="00473298">
            <w:pPr>
              <w:rPr>
                <w:szCs w:val="18"/>
                <w:lang w:val="en-AU"/>
              </w:rPr>
            </w:pPr>
            <w:r>
              <w:rPr>
                <w:szCs w:val="18"/>
                <w:lang w:val="en-AU"/>
              </w:rPr>
              <w:t>-1,200</w:t>
            </w:r>
          </w:p>
        </w:tc>
      </w:tr>
      <w:tr w:rsidR="00473298" w14:paraId="0D37354D"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6B3D51CB" w14:textId="01829366" w:rsidR="00473298" w:rsidRDefault="00D56259" w:rsidP="00887ADF">
            <w:pPr>
              <w:rPr>
                <w:szCs w:val="18"/>
                <w:lang w:val="en-AU"/>
              </w:rPr>
            </w:pPr>
            <w:r>
              <w:rPr>
                <w:szCs w:val="18"/>
                <w:lang w:val="en-AU"/>
              </w:rPr>
              <w:t>4</w:t>
            </w:r>
            <w:r w:rsidR="00887ADF">
              <w:rPr>
                <w:szCs w:val="18"/>
                <w:lang w:val="en-AU"/>
              </w:rPr>
              <w:t>6</w:t>
            </w:r>
            <w:r w:rsidR="00473298">
              <w:rPr>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2A77BF79" w14:textId="77777777" w:rsidR="00473298" w:rsidRDefault="00473298">
            <w:pPr>
              <w:rPr>
                <w:szCs w:val="18"/>
                <w:lang w:val="en-AU"/>
              </w:rPr>
            </w:pPr>
            <w:r>
              <w:rPr>
                <w:szCs w:val="18"/>
                <w:lang w:val="en-AU"/>
              </w:rPr>
              <w:t>Abolish the Private Health Insurance Rebate</w:t>
            </w:r>
          </w:p>
        </w:tc>
        <w:tc>
          <w:tcPr>
            <w:tcW w:w="2268" w:type="dxa"/>
            <w:tcBorders>
              <w:top w:val="single" w:sz="2" w:space="0" w:color="707070"/>
              <w:left w:val="single" w:sz="2" w:space="0" w:color="707070"/>
              <w:bottom w:val="single" w:sz="2" w:space="0" w:color="707070"/>
              <w:right w:val="single" w:sz="2" w:space="0" w:color="707070"/>
            </w:tcBorders>
            <w:hideMark/>
          </w:tcPr>
          <w:p w14:paraId="4EF95FFF" w14:textId="77777777" w:rsidR="00473298" w:rsidRDefault="00473298">
            <w:pPr>
              <w:rPr>
                <w:i/>
                <w:szCs w:val="18"/>
                <w:lang w:val="en-AU"/>
              </w:rPr>
            </w:pPr>
            <w:r>
              <w:rPr>
                <w:i/>
                <w:szCs w:val="18"/>
                <w:lang w:val="en-AU"/>
              </w:rPr>
              <w:t>4,100</w:t>
            </w:r>
          </w:p>
        </w:tc>
        <w:tc>
          <w:tcPr>
            <w:tcW w:w="2268" w:type="dxa"/>
            <w:tcBorders>
              <w:top w:val="single" w:sz="2" w:space="0" w:color="707070"/>
              <w:left w:val="single" w:sz="2" w:space="0" w:color="707070"/>
              <w:bottom w:val="single" w:sz="2" w:space="0" w:color="707070"/>
              <w:right w:val="single" w:sz="2" w:space="0" w:color="707070"/>
            </w:tcBorders>
            <w:hideMark/>
          </w:tcPr>
          <w:p w14:paraId="4FE487B6" w14:textId="77777777" w:rsidR="00473298" w:rsidRDefault="00473298">
            <w:pPr>
              <w:rPr>
                <w:i/>
                <w:szCs w:val="18"/>
                <w:lang w:val="en-AU"/>
              </w:rPr>
            </w:pPr>
            <w:r>
              <w:rPr>
                <w:i/>
                <w:szCs w:val="18"/>
                <w:lang w:val="en-AU"/>
              </w:rPr>
              <w:t>4,200</w:t>
            </w:r>
          </w:p>
        </w:tc>
      </w:tr>
      <w:tr w:rsidR="00473298" w14:paraId="0BA0B6EA" w14:textId="77777777" w:rsidTr="00F3461C">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1A0478D5" w14:textId="5CF43EC5" w:rsidR="00473298" w:rsidRDefault="00D56259" w:rsidP="00887ADF">
            <w:pPr>
              <w:rPr>
                <w:szCs w:val="18"/>
                <w:lang w:val="en-AU"/>
              </w:rPr>
            </w:pPr>
            <w:r>
              <w:rPr>
                <w:rFonts w:eastAsia="Verdana" w:cs="Verdana"/>
                <w:szCs w:val="18"/>
                <w:lang w:val="en-AU"/>
              </w:rPr>
              <w:t>4</w:t>
            </w:r>
            <w:r w:rsidR="00887ADF">
              <w:rPr>
                <w:rFonts w:eastAsia="Verdana" w:cs="Verdana"/>
                <w:szCs w:val="18"/>
                <w:lang w:val="en-AU"/>
              </w:rPr>
              <w:t>7</w:t>
            </w:r>
            <w:r w:rsidR="00473298">
              <w:rPr>
                <w:rFonts w:eastAsia="Verdana" w:cs="Verdana"/>
                <w:szCs w:val="18"/>
                <w:lang w:val="en-AU"/>
              </w:rPr>
              <w:t>.</w:t>
            </w:r>
          </w:p>
        </w:tc>
        <w:tc>
          <w:tcPr>
            <w:tcW w:w="4108" w:type="dxa"/>
            <w:tcBorders>
              <w:top w:val="single" w:sz="2" w:space="0" w:color="707070"/>
              <w:left w:val="single" w:sz="2" w:space="0" w:color="707070"/>
              <w:bottom w:val="single" w:sz="2" w:space="0" w:color="707070"/>
              <w:right w:val="single" w:sz="2" w:space="0" w:color="707070"/>
            </w:tcBorders>
            <w:hideMark/>
          </w:tcPr>
          <w:p w14:paraId="389C3D26" w14:textId="77777777" w:rsidR="00473298" w:rsidRDefault="00473298">
            <w:pPr>
              <w:rPr>
                <w:szCs w:val="18"/>
                <w:lang w:val="en-AU"/>
              </w:rPr>
            </w:pPr>
            <w:r>
              <w:rPr>
                <w:szCs w:val="18"/>
                <w:lang w:val="en-AU"/>
              </w:rPr>
              <w:t>Abolish the Extended Medicare Safety Net</w:t>
            </w:r>
          </w:p>
        </w:tc>
        <w:tc>
          <w:tcPr>
            <w:tcW w:w="2268" w:type="dxa"/>
            <w:tcBorders>
              <w:top w:val="single" w:sz="2" w:space="0" w:color="707070"/>
              <w:left w:val="single" w:sz="2" w:space="0" w:color="707070"/>
              <w:bottom w:val="single" w:sz="2" w:space="0" w:color="707070"/>
              <w:right w:val="single" w:sz="2" w:space="0" w:color="707070"/>
            </w:tcBorders>
            <w:hideMark/>
          </w:tcPr>
          <w:p w14:paraId="5CE2B65E" w14:textId="77777777" w:rsidR="00473298" w:rsidRDefault="00473298">
            <w:pPr>
              <w:rPr>
                <w:i/>
                <w:szCs w:val="18"/>
                <w:lang w:val="en-AU"/>
              </w:rPr>
            </w:pPr>
            <w:r>
              <w:rPr>
                <w:i/>
                <w:szCs w:val="18"/>
                <w:lang w:val="en-AU"/>
              </w:rPr>
              <w:t>500</w:t>
            </w:r>
          </w:p>
        </w:tc>
        <w:tc>
          <w:tcPr>
            <w:tcW w:w="2268" w:type="dxa"/>
            <w:tcBorders>
              <w:top w:val="single" w:sz="2" w:space="0" w:color="707070"/>
              <w:left w:val="single" w:sz="2" w:space="0" w:color="707070"/>
              <w:bottom w:val="single" w:sz="2" w:space="0" w:color="707070"/>
              <w:right w:val="single" w:sz="2" w:space="0" w:color="707070"/>
            </w:tcBorders>
            <w:hideMark/>
          </w:tcPr>
          <w:p w14:paraId="007B0CA5" w14:textId="77777777" w:rsidR="00473298" w:rsidRDefault="00473298">
            <w:pPr>
              <w:rPr>
                <w:i/>
                <w:szCs w:val="18"/>
                <w:lang w:val="en-AU"/>
              </w:rPr>
            </w:pPr>
            <w:r>
              <w:rPr>
                <w:i/>
                <w:szCs w:val="18"/>
                <w:lang w:val="en-AU"/>
              </w:rPr>
              <w:t>511</w:t>
            </w:r>
          </w:p>
        </w:tc>
      </w:tr>
      <w:tr w:rsidR="00473298" w14:paraId="26728A4D" w14:textId="77777777" w:rsidTr="003A57DB">
        <w:trPr>
          <w:trHeight w:val="439"/>
        </w:trPr>
        <w:tc>
          <w:tcPr>
            <w:tcW w:w="1134" w:type="dxa"/>
            <w:tcBorders>
              <w:top w:val="single" w:sz="2" w:space="0" w:color="707070"/>
              <w:left w:val="single" w:sz="2" w:space="0" w:color="707070"/>
              <w:bottom w:val="single" w:sz="2" w:space="0" w:color="707070"/>
              <w:right w:val="single" w:sz="2" w:space="0" w:color="707070"/>
            </w:tcBorders>
            <w:shd w:val="clear" w:color="auto" w:fill="D9D9D9" w:themeFill="background1" w:themeFillShade="D9"/>
          </w:tcPr>
          <w:p w14:paraId="2F95DF7D" w14:textId="77777777" w:rsidR="00473298" w:rsidRDefault="00473298">
            <w:pPr>
              <w:rPr>
                <w:sz w:val="18"/>
                <w:szCs w:val="18"/>
                <w:lang w:val="en-AU"/>
              </w:rPr>
            </w:pPr>
          </w:p>
        </w:tc>
        <w:tc>
          <w:tcPr>
            <w:tcW w:w="4108" w:type="dxa"/>
            <w:tcBorders>
              <w:top w:val="single" w:sz="2" w:space="0" w:color="707070"/>
              <w:left w:val="single" w:sz="2" w:space="0" w:color="707070"/>
              <w:bottom w:val="single" w:sz="2" w:space="0" w:color="707070"/>
              <w:right w:val="single" w:sz="2" w:space="0" w:color="707070"/>
            </w:tcBorders>
            <w:shd w:val="clear" w:color="auto" w:fill="D9D9D9" w:themeFill="background1" w:themeFillShade="D9"/>
            <w:hideMark/>
          </w:tcPr>
          <w:p w14:paraId="23AB9165" w14:textId="77777777" w:rsidR="00473298" w:rsidRPr="003A57DB" w:rsidRDefault="00473298">
            <w:pPr>
              <w:rPr>
                <w:b/>
              </w:rPr>
            </w:pPr>
            <w:r w:rsidRPr="003A57DB">
              <w:rPr>
                <w:b/>
              </w:rPr>
              <w:t>Expenditure impacts</w:t>
            </w:r>
          </w:p>
        </w:tc>
        <w:tc>
          <w:tcPr>
            <w:tcW w:w="2268" w:type="dxa"/>
            <w:tcBorders>
              <w:top w:val="single" w:sz="2" w:space="0" w:color="707070"/>
              <w:left w:val="single" w:sz="2" w:space="0" w:color="707070"/>
              <w:bottom w:val="single" w:sz="2" w:space="0" w:color="707070"/>
              <w:right w:val="single" w:sz="2" w:space="0" w:color="707070"/>
            </w:tcBorders>
            <w:shd w:val="clear" w:color="auto" w:fill="D9D9D9" w:themeFill="background1" w:themeFillShade="D9"/>
            <w:hideMark/>
          </w:tcPr>
          <w:p w14:paraId="07F59CC2" w14:textId="4DA8694D" w:rsidR="00473298" w:rsidRPr="003A57DB" w:rsidRDefault="00473298" w:rsidP="007D471E">
            <w:pPr>
              <w:rPr>
                <w:b/>
                <w:sz w:val="18"/>
                <w:szCs w:val="18"/>
                <w:highlight w:val="yellow"/>
              </w:rPr>
            </w:pPr>
            <w:r w:rsidRPr="003A57DB">
              <w:rPr>
                <w:b/>
                <w:sz w:val="18"/>
                <w:szCs w:val="18"/>
                <w:lang w:val="en-AU"/>
              </w:rPr>
              <w:t>-13,4</w:t>
            </w:r>
            <w:r w:rsidR="007D471E" w:rsidRPr="003A57DB">
              <w:rPr>
                <w:b/>
                <w:sz w:val="18"/>
                <w:szCs w:val="18"/>
                <w:lang w:val="en-AU"/>
              </w:rPr>
              <w:t>39</w:t>
            </w:r>
          </w:p>
        </w:tc>
        <w:tc>
          <w:tcPr>
            <w:tcW w:w="2268" w:type="dxa"/>
            <w:tcBorders>
              <w:top w:val="single" w:sz="2" w:space="0" w:color="707070"/>
              <w:left w:val="single" w:sz="2" w:space="0" w:color="707070"/>
              <w:bottom w:val="single" w:sz="2" w:space="0" w:color="707070"/>
              <w:right w:val="single" w:sz="2" w:space="0" w:color="707070"/>
            </w:tcBorders>
            <w:shd w:val="clear" w:color="auto" w:fill="D9D9D9" w:themeFill="background1" w:themeFillShade="D9"/>
            <w:hideMark/>
          </w:tcPr>
          <w:p w14:paraId="1FD71A55" w14:textId="77777777" w:rsidR="00473298" w:rsidRDefault="00473298" w:rsidP="007D471E">
            <w:pPr>
              <w:rPr>
                <w:b/>
                <w:sz w:val="18"/>
                <w:szCs w:val="18"/>
                <w:lang w:val="en-AU"/>
              </w:rPr>
            </w:pPr>
            <w:r w:rsidRPr="003A57DB">
              <w:rPr>
                <w:b/>
                <w:sz w:val="18"/>
                <w:szCs w:val="18"/>
                <w:lang w:val="en-AU"/>
              </w:rPr>
              <w:t>-23,</w:t>
            </w:r>
            <w:r w:rsidR="007D471E" w:rsidRPr="003A57DB">
              <w:rPr>
                <w:b/>
                <w:sz w:val="18"/>
                <w:szCs w:val="18"/>
                <w:lang w:val="en-AU"/>
              </w:rPr>
              <w:t>092</w:t>
            </w:r>
          </w:p>
          <w:p w14:paraId="748B7E20" w14:textId="2D0B26AA" w:rsidR="00783038" w:rsidRPr="003A57DB" w:rsidRDefault="00783038" w:rsidP="007D471E">
            <w:pPr>
              <w:rPr>
                <w:b/>
                <w:sz w:val="18"/>
                <w:szCs w:val="18"/>
                <w:highlight w:val="yellow"/>
              </w:rPr>
            </w:pPr>
          </w:p>
        </w:tc>
      </w:tr>
    </w:tbl>
    <w:p w14:paraId="4BFF229E" w14:textId="77777777" w:rsidR="00B753B1" w:rsidRDefault="00B753B1" w:rsidP="00F51AB4">
      <w:pPr>
        <w:spacing w:after="0" w:line="240" w:lineRule="auto"/>
        <w:rPr>
          <w:sz w:val="18"/>
          <w:szCs w:val="18"/>
        </w:rPr>
      </w:pPr>
    </w:p>
    <w:p w14:paraId="41FE4E1F" w14:textId="46B2466E" w:rsidR="00473298" w:rsidRDefault="00473298" w:rsidP="00F51AB4">
      <w:pPr>
        <w:spacing w:after="0" w:line="240" w:lineRule="auto"/>
      </w:pPr>
      <w:r>
        <w:rPr>
          <w:sz w:val="18"/>
          <w:szCs w:val="18"/>
        </w:rPr>
        <w:br/>
      </w:r>
    </w:p>
    <w:tbl>
      <w:tblPr>
        <w:tblW w:w="9778" w:type="dxa"/>
        <w:tblLook w:val="00E0" w:firstRow="1" w:lastRow="1" w:firstColumn="1" w:lastColumn="0" w:noHBand="0" w:noVBand="0"/>
      </w:tblPr>
      <w:tblGrid>
        <w:gridCol w:w="1134"/>
        <w:gridCol w:w="4250"/>
        <w:gridCol w:w="2126"/>
        <w:gridCol w:w="2268"/>
      </w:tblGrid>
      <w:tr w:rsidR="00473298" w14:paraId="2282FC1D" w14:textId="77777777" w:rsidTr="00F51AB4">
        <w:trPr>
          <w:trHeight w:val="350"/>
          <w:tblHeader/>
        </w:trPr>
        <w:tc>
          <w:tcPr>
            <w:tcW w:w="1134" w:type="dxa"/>
            <w:tcBorders>
              <w:top w:val="single" w:sz="2" w:space="0" w:color="707070"/>
              <w:left w:val="single" w:sz="2" w:space="0" w:color="707070"/>
              <w:bottom w:val="single" w:sz="2" w:space="0" w:color="707070"/>
              <w:right w:val="single" w:sz="2" w:space="0" w:color="707070"/>
            </w:tcBorders>
            <w:shd w:val="clear" w:color="auto" w:fill="C5E0B3" w:themeFill="accent6" w:themeFillTint="66"/>
          </w:tcPr>
          <w:p w14:paraId="2868A53A" w14:textId="77777777" w:rsidR="00473298" w:rsidRDefault="00473298">
            <w:pPr>
              <w:jc w:val="both"/>
              <w:rPr>
                <w:rFonts w:eastAsiaTheme="majorEastAsia" w:cstheme="majorBidi"/>
                <w:b/>
                <w:i/>
                <w:iCs/>
                <w:color w:val="CE2028"/>
                <w:sz w:val="18"/>
                <w:szCs w:val="18"/>
                <w:lang w:val="en-AU"/>
              </w:rPr>
            </w:pPr>
          </w:p>
        </w:tc>
        <w:tc>
          <w:tcPr>
            <w:tcW w:w="4250" w:type="dxa"/>
            <w:tcBorders>
              <w:top w:val="single" w:sz="2" w:space="0" w:color="707070"/>
              <w:left w:val="single" w:sz="2" w:space="0" w:color="707070"/>
              <w:bottom w:val="single" w:sz="2" w:space="0" w:color="707070"/>
              <w:right w:val="single" w:sz="2" w:space="0" w:color="707070"/>
            </w:tcBorders>
            <w:shd w:val="clear" w:color="auto" w:fill="C5E0B3" w:themeFill="accent6" w:themeFillTint="66"/>
            <w:hideMark/>
          </w:tcPr>
          <w:p w14:paraId="51977AC9" w14:textId="77777777" w:rsidR="00473298" w:rsidRDefault="00473298">
            <w:pPr>
              <w:jc w:val="both"/>
              <w:rPr>
                <w:rFonts w:eastAsiaTheme="majorEastAsia" w:cstheme="majorBidi"/>
                <w:b/>
                <w:i/>
                <w:iCs/>
                <w:color w:val="CE2028"/>
                <w:sz w:val="18"/>
                <w:szCs w:val="18"/>
                <w:lang w:val="en-AU"/>
              </w:rPr>
            </w:pPr>
            <w:r>
              <w:rPr>
                <w:rFonts w:eastAsiaTheme="majorEastAsia" w:cstheme="majorBidi"/>
                <w:b/>
                <w:i/>
                <w:iCs/>
                <w:color w:val="CE2028"/>
                <w:sz w:val="18"/>
                <w:szCs w:val="18"/>
                <w:lang w:val="en-AU"/>
              </w:rPr>
              <w:t xml:space="preserve">Revenue Measures </w:t>
            </w:r>
          </w:p>
        </w:tc>
        <w:tc>
          <w:tcPr>
            <w:tcW w:w="2126" w:type="dxa"/>
            <w:tcBorders>
              <w:top w:val="single" w:sz="2" w:space="0" w:color="707070"/>
              <w:left w:val="single" w:sz="2" w:space="0" w:color="707070"/>
              <w:bottom w:val="single" w:sz="2" w:space="0" w:color="707070"/>
              <w:right w:val="single" w:sz="2" w:space="0" w:color="707070"/>
            </w:tcBorders>
            <w:shd w:val="clear" w:color="auto" w:fill="C5E0B3" w:themeFill="accent6" w:themeFillTint="66"/>
            <w:hideMark/>
          </w:tcPr>
          <w:p w14:paraId="3B4E4D42" w14:textId="77777777" w:rsidR="00473298" w:rsidRDefault="00473298">
            <w:pPr>
              <w:rPr>
                <w:b/>
                <w:sz w:val="18"/>
                <w:szCs w:val="18"/>
                <w:lang w:val="en-AU"/>
              </w:rPr>
            </w:pPr>
            <w:r>
              <w:rPr>
                <w:b/>
                <w:sz w:val="18"/>
                <w:szCs w:val="18"/>
                <w:lang w:val="en-AU"/>
              </w:rPr>
              <w:t xml:space="preserve">2021-22 </w:t>
            </w:r>
            <w:r>
              <w:br/>
            </w:r>
          </w:p>
        </w:tc>
        <w:tc>
          <w:tcPr>
            <w:tcW w:w="2268" w:type="dxa"/>
            <w:tcBorders>
              <w:top w:val="single" w:sz="2" w:space="0" w:color="707070"/>
              <w:left w:val="single" w:sz="2" w:space="0" w:color="707070"/>
              <w:bottom w:val="single" w:sz="2" w:space="0" w:color="707070"/>
              <w:right w:val="single" w:sz="2" w:space="0" w:color="707070"/>
            </w:tcBorders>
            <w:shd w:val="clear" w:color="auto" w:fill="C5E0B3" w:themeFill="accent6" w:themeFillTint="66"/>
            <w:hideMark/>
          </w:tcPr>
          <w:p w14:paraId="45F6A775" w14:textId="77777777" w:rsidR="00473298" w:rsidRDefault="00473298">
            <w:pPr>
              <w:rPr>
                <w:b/>
                <w:sz w:val="18"/>
                <w:szCs w:val="18"/>
                <w:lang w:val="en-AU"/>
              </w:rPr>
            </w:pPr>
            <w:r>
              <w:rPr>
                <w:b/>
                <w:sz w:val="18"/>
                <w:szCs w:val="18"/>
                <w:lang w:val="en-AU"/>
              </w:rPr>
              <w:t>2022-23</w:t>
            </w:r>
            <w:r>
              <w:br/>
            </w:r>
          </w:p>
        </w:tc>
      </w:tr>
      <w:tr w:rsidR="00473298" w14:paraId="6C6BD2FD" w14:textId="77777777" w:rsidTr="00F51AB4">
        <w:trPr>
          <w:trHeight w:val="430"/>
          <w:tblHeader/>
        </w:trPr>
        <w:tc>
          <w:tcPr>
            <w:tcW w:w="1134" w:type="dxa"/>
            <w:tcBorders>
              <w:top w:val="single" w:sz="2" w:space="0" w:color="707070"/>
              <w:left w:val="single" w:sz="2" w:space="0" w:color="707070"/>
              <w:bottom w:val="single" w:sz="2" w:space="0" w:color="707070"/>
              <w:right w:val="single" w:sz="2" w:space="0" w:color="707070"/>
            </w:tcBorders>
            <w:shd w:val="clear" w:color="auto" w:fill="E2EFD9" w:themeFill="accent6" w:themeFillTint="33"/>
            <w:hideMark/>
          </w:tcPr>
          <w:p w14:paraId="160E9863" w14:textId="77777777" w:rsidR="00473298" w:rsidRDefault="00473298">
            <w:pPr>
              <w:jc w:val="both"/>
              <w:rPr>
                <w:rFonts w:eastAsiaTheme="majorEastAsia" w:cstheme="majorBidi"/>
                <w:b/>
                <w:i/>
                <w:iCs/>
                <w:color w:val="CE2028"/>
                <w:sz w:val="18"/>
                <w:szCs w:val="18"/>
                <w:lang w:val="en-AU"/>
              </w:rPr>
            </w:pPr>
            <w:r>
              <w:rPr>
                <w:rFonts w:eastAsiaTheme="majorEastAsia" w:cstheme="majorBidi"/>
                <w:b/>
                <w:i/>
                <w:iCs/>
                <w:color w:val="CE2028"/>
                <w:szCs w:val="18"/>
                <w:lang w:val="en-AU"/>
              </w:rPr>
              <w:t>Number</w:t>
            </w:r>
          </w:p>
        </w:tc>
        <w:tc>
          <w:tcPr>
            <w:tcW w:w="4250" w:type="dxa"/>
            <w:tcBorders>
              <w:top w:val="single" w:sz="2" w:space="0" w:color="707070"/>
              <w:left w:val="single" w:sz="2" w:space="0" w:color="707070"/>
              <w:bottom w:val="single" w:sz="2" w:space="0" w:color="707070"/>
              <w:right w:val="single" w:sz="2" w:space="0" w:color="707070"/>
            </w:tcBorders>
            <w:shd w:val="clear" w:color="auto" w:fill="E2EFD9" w:themeFill="accent6" w:themeFillTint="33"/>
          </w:tcPr>
          <w:p w14:paraId="48F8DC1D" w14:textId="77777777" w:rsidR="00473298" w:rsidRDefault="00473298">
            <w:pPr>
              <w:jc w:val="both"/>
              <w:rPr>
                <w:rFonts w:eastAsiaTheme="majorEastAsia" w:cstheme="majorBidi"/>
                <w:b/>
                <w:i/>
                <w:iCs/>
                <w:color w:val="CE2028"/>
                <w:szCs w:val="18"/>
                <w:lang w:val="en-AU"/>
              </w:rPr>
            </w:pPr>
          </w:p>
        </w:tc>
        <w:tc>
          <w:tcPr>
            <w:tcW w:w="2126" w:type="dxa"/>
            <w:tcBorders>
              <w:top w:val="single" w:sz="2" w:space="0" w:color="707070"/>
              <w:left w:val="single" w:sz="2" w:space="0" w:color="707070"/>
              <w:bottom w:val="single" w:sz="2" w:space="0" w:color="707070"/>
              <w:right w:val="single" w:sz="2" w:space="0" w:color="707070"/>
            </w:tcBorders>
            <w:shd w:val="clear" w:color="auto" w:fill="E2EFD9" w:themeFill="accent6" w:themeFillTint="33"/>
            <w:hideMark/>
          </w:tcPr>
          <w:p w14:paraId="0E212FB0" w14:textId="77777777" w:rsidR="00473298" w:rsidRDefault="00473298">
            <w:pPr>
              <w:rPr>
                <w:b/>
                <w:szCs w:val="18"/>
                <w:lang w:val="en-AU"/>
              </w:rPr>
            </w:pPr>
            <w:r>
              <w:rPr>
                <w:b/>
                <w:szCs w:val="18"/>
                <w:lang w:val="en-AU"/>
              </w:rPr>
              <w:t>Budget impact $m</w:t>
            </w:r>
          </w:p>
        </w:tc>
        <w:tc>
          <w:tcPr>
            <w:tcW w:w="2268" w:type="dxa"/>
            <w:tcBorders>
              <w:top w:val="single" w:sz="2" w:space="0" w:color="707070"/>
              <w:left w:val="single" w:sz="2" w:space="0" w:color="707070"/>
              <w:bottom w:val="single" w:sz="2" w:space="0" w:color="707070"/>
              <w:right w:val="single" w:sz="2" w:space="0" w:color="707070"/>
            </w:tcBorders>
            <w:shd w:val="clear" w:color="auto" w:fill="E2EFD9" w:themeFill="accent6" w:themeFillTint="33"/>
            <w:hideMark/>
          </w:tcPr>
          <w:p w14:paraId="2A2F1CAD" w14:textId="77777777" w:rsidR="00473298" w:rsidRDefault="00473298">
            <w:pPr>
              <w:rPr>
                <w:b/>
                <w:szCs w:val="18"/>
                <w:lang w:val="en-AU"/>
              </w:rPr>
            </w:pPr>
            <w:r>
              <w:rPr>
                <w:b/>
                <w:szCs w:val="18"/>
                <w:lang w:val="en-AU"/>
              </w:rPr>
              <w:t>Budget impact $m</w:t>
            </w:r>
          </w:p>
        </w:tc>
      </w:tr>
      <w:tr w:rsidR="00473298" w14:paraId="77C1EE7B" w14:textId="77777777" w:rsidTr="00473298">
        <w:trPr>
          <w:trHeight w:val="430"/>
        </w:trPr>
        <w:tc>
          <w:tcPr>
            <w:tcW w:w="1134" w:type="dxa"/>
            <w:tcBorders>
              <w:top w:val="single" w:sz="2" w:space="0" w:color="707070"/>
              <w:left w:val="single" w:sz="2" w:space="0" w:color="707070"/>
              <w:bottom w:val="single" w:sz="2" w:space="0" w:color="707070"/>
              <w:right w:val="single" w:sz="2" w:space="0" w:color="707070"/>
            </w:tcBorders>
          </w:tcPr>
          <w:p w14:paraId="7F8A3250" w14:textId="77777777" w:rsidR="00473298" w:rsidRDefault="00473298">
            <w:pPr>
              <w:rPr>
                <w:rFonts w:eastAsia="Verdana" w:cs="Verdana"/>
                <w:b/>
                <w:szCs w:val="18"/>
                <w:lang w:val="en-AU"/>
              </w:rPr>
            </w:pPr>
          </w:p>
        </w:tc>
        <w:tc>
          <w:tcPr>
            <w:tcW w:w="4250" w:type="dxa"/>
            <w:tcBorders>
              <w:top w:val="single" w:sz="2" w:space="0" w:color="707070"/>
              <w:left w:val="single" w:sz="2" w:space="0" w:color="707070"/>
              <w:bottom w:val="single" w:sz="2" w:space="0" w:color="707070"/>
              <w:right w:val="single" w:sz="2" w:space="0" w:color="707070"/>
            </w:tcBorders>
            <w:hideMark/>
          </w:tcPr>
          <w:p w14:paraId="73B91162" w14:textId="77777777" w:rsidR="00473298" w:rsidRDefault="00473298">
            <w:pPr>
              <w:rPr>
                <w:rFonts w:eastAsia="Verdana" w:cs="Verdana"/>
                <w:szCs w:val="18"/>
                <w:lang w:val="en-AU"/>
              </w:rPr>
            </w:pPr>
            <w:r>
              <w:rPr>
                <w:rFonts w:eastAsia="Verdana" w:cs="Verdana"/>
                <w:b/>
                <w:szCs w:val="18"/>
                <w:lang w:val="en-AU"/>
              </w:rPr>
              <w:t>Retirement incomes and services</w:t>
            </w:r>
          </w:p>
        </w:tc>
        <w:tc>
          <w:tcPr>
            <w:tcW w:w="2126" w:type="dxa"/>
            <w:tcBorders>
              <w:top w:val="single" w:sz="2" w:space="0" w:color="707070"/>
              <w:left w:val="single" w:sz="2" w:space="0" w:color="707070"/>
              <w:bottom w:val="single" w:sz="2" w:space="0" w:color="707070"/>
              <w:right w:val="single" w:sz="2" w:space="0" w:color="707070"/>
            </w:tcBorders>
          </w:tcPr>
          <w:p w14:paraId="1DDCD337" w14:textId="77777777" w:rsidR="00473298" w:rsidRDefault="00473298">
            <w:pPr>
              <w:rPr>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3B9FAD23" w14:textId="77777777" w:rsidR="00473298" w:rsidRDefault="00473298">
            <w:pPr>
              <w:rPr>
                <w:szCs w:val="18"/>
                <w:lang w:val="en-AU"/>
              </w:rPr>
            </w:pPr>
          </w:p>
        </w:tc>
      </w:tr>
      <w:tr w:rsidR="005D62C3" w14:paraId="4647DE30" w14:textId="77777777" w:rsidTr="00473298">
        <w:trPr>
          <w:trHeight w:val="430"/>
        </w:trPr>
        <w:tc>
          <w:tcPr>
            <w:tcW w:w="1134" w:type="dxa"/>
            <w:tcBorders>
              <w:top w:val="single" w:sz="2" w:space="0" w:color="707070"/>
              <w:left w:val="single" w:sz="2" w:space="0" w:color="707070"/>
              <w:bottom w:val="single" w:sz="2" w:space="0" w:color="707070"/>
              <w:right w:val="single" w:sz="2" w:space="0" w:color="707070"/>
            </w:tcBorders>
          </w:tcPr>
          <w:p w14:paraId="1603073D" w14:textId="4E23B22D" w:rsidR="005D62C3" w:rsidRDefault="005D62C3" w:rsidP="00887ADF">
            <w:pPr>
              <w:rPr>
                <w:rFonts w:eastAsia="Verdana" w:cs="Verdana"/>
                <w:szCs w:val="18"/>
                <w:lang w:val="en-AU"/>
              </w:rPr>
            </w:pPr>
            <w:r>
              <w:rPr>
                <w:rFonts w:eastAsia="Verdana" w:cs="Verdana"/>
                <w:szCs w:val="18"/>
                <w:lang w:val="en-AU"/>
              </w:rPr>
              <w:t>48</w:t>
            </w:r>
          </w:p>
        </w:tc>
        <w:tc>
          <w:tcPr>
            <w:tcW w:w="4250" w:type="dxa"/>
            <w:tcBorders>
              <w:top w:val="single" w:sz="2" w:space="0" w:color="707070"/>
              <w:left w:val="single" w:sz="2" w:space="0" w:color="707070"/>
              <w:bottom w:val="single" w:sz="2" w:space="0" w:color="707070"/>
              <w:right w:val="single" w:sz="2" w:space="0" w:color="707070"/>
            </w:tcBorders>
          </w:tcPr>
          <w:p w14:paraId="0D397F30" w14:textId="7DE8D10C" w:rsidR="005D62C3" w:rsidRDefault="00A677FD" w:rsidP="00A677FD">
            <w:pPr>
              <w:rPr>
                <w:szCs w:val="18"/>
                <w:lang w:val="en-AU"/>
              </w:rPr>
            </w:pPr>
            <w:r w:rsidRPr="006B1312">
              <w:rPr>
                <w:rFonts w:eastAsiaTheme="minorEastAsia"/>
              </w:rPr>
              <w:t>Universal compulsory super contributions should remain</w:t>
            </w:r>
            <w:r>
              <w:rPr>
                <w:rFonts w:eastAsiaTheme="minorEastAsia"/>
              </w:rPr>
              <w:t xml:space="preserve"> universal, but not increase above </w:t>
            </w:r>
            <w:r w:rsidRPr="006B1312">
              <w:rPr>
                <w:rFonts w:eastAsiaTheme="minorEastAsia"/>
              </w:rPr>
              <w:t xml:space="preserve">10% </w:t>
            </w:r>
            <w:r>
              <w:rPr>
                <w:rFonts w:eastAsiaTheme="minorEastAsia"/>
              </w:rPr>
              <w:t>without major reform of tax breaks</w:t>
            </w:r>
          </w:p>
        </w:tc>
        <w:tc>
          <w:tcPr>
            <w:tcW w:w="2126" w:type="dxa"/>
            <w:tcBorders>
              <w:top w:val="single" w:sz="2" w:space="0" w:color="707070"/>
              <w:left w:val="single" w:sz="2" w:space="0" w:color="707070"/>
              <w:bottom w:val="single" w:sz="2" w:space="0" w:color="707070"/>
              <w:right w:val="single" w:sz="2" w:space="0" w:color="707070"/>
            </w:tcBorders>
          </w:tcPr>
          <w:p w14:paraId="71D1079C" w14:textId="454EF31C" w:rsidR="005D62C3" w:rsidRDefault="00777ED0">
            <w:pPr>
              <w:rPr>
                <w:szCs w:val="18"/>
                <w:lang w:val="en-AU"/>
              </w:rPr>
            </w:pPr>
            <w:r>
              <w:rPr>
                <w:szCs w:val="18"/>
                <w:lang w:val="en-AU"/>
              </w:rPr>
              <w:t>not available</w:t>
            </w:r>
          </w:p>
        </w:tc>
        <w:tc>
          <w:tcPr>
            <w:tcW w:w="2268" w:type="dxa"/>
            <w:tcBorders>
              <w:top w:val="single" w:sz="2" w:space="0" w:color="707070"/>
              <w:left w:val="single" w:sz="2" w:space="0" w:color="707070"/>
              <w:bottom w:val="single" w:sz="2" w:space="0" w:color="707070"/>
              <w:right w:val="single" w:sz="2" w:space="0" w:color="707070"/>
            </w:tcBorders>
          </w:tcPr>
          <w:p w14:paraId="7B1DEE32" w14:textId="2D1D146A" w:rsidR="005D62C3" w:rsidRDefault="00777ED0">
            <w:pPr>
              <w:rPr>
                <w:szCs w:val="18"/>
                <w:lang w:val="en-AU"/>
              </w:rPr>
            </w:pPr>
            <w:r>
              <w:rPr>
                <w:szCs w:val="18"/>
                <w:lang w:val="en-AU"/>
              </w:rPr>
              <w:t>not available</w:t>
            </w:r>
          </w:p>
        </w:tc>
      </w:tr>
      <w:tr w:rsidR="00473298" w14:paraId="50BC7681" w14:textId="77777777" w:rsidTr="00473298">
        <w:trPr>
          <w:trHeight w:val="430"/>
        </w:trPr>
        <w:tc>
          <w:tcPr>
            <w:tcW w:w="1134" w:type="dxa"/>
            <w:tcBorders>
              <w:top w:val="single" w:sz="2" w:space="0" w:color="707070"/>
              <w:left w:val="single" w:sz="2" w:space="0" w:color="707070"/>
              <w:bottom w:val="single" w:sz="2" w:space="0" w:color="707070"/>
              <w:right w:val="single" w:sz="2" w:space="0" w:color="707070"/>
            </w:tcBorders>
            <w:hideMark/>
          </w:tcPr>
          <w:p w14:paraId="65E6CB8F" w14:textId="510B823A" w:rsidR="00473298" w:rsidRDefault="00D56259" w:rsidP="00A677FD">
            <w:pPr>
              <w:rPr>
                <w:szCs w:val="18"/>
                <w:lang w:val="en-AU"/>
              </w:rPr>
            </w:pPr>
            <w:r>
              <w:rPr>
                <w:rFonts w:eastAsia="Verdana" w:cs="Verdana"/>
                <w:szCs w:val="18"/>
                <w:lang w:val="en-AU"/>
              </w:rPr>
              <w:t>4</w:t>
            </w:r>
            <w:r w:rsidR="00A677FD">
              <w:rPr>
                <w:rFonts w:eastAsia="Verdana" w:cs="Verdana"/>
                <w:szCs w:val="18"/>
                <w:lang w:val="en-AU"/>
              </w:rPr>
              <w:t>9</w:t>
            </w:r>
            <w:r w:rsidR="00473298">
              <w:rPr>
                <w:rFonts w:eastAsia="Verdana" w:cs="Verdana"/>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621C15EC" w14:textId="77777777" w:rsidR="00473298" w:rsidRDefault="00473298">
            <w:pPr>
              <w:rPr>
                <w:szCs w:val="18"/>
                <w:lang w:val="en-AU"/>
              </w:rPr>
            </w:pPr>
            <w:r>
              <w:rPr>
                <w:szCs w:val="18"/>
                <w:lang w:val="en-AU"/>
              </w:rPr>
              <w:t>Fair and simple tax concessions for superannuation contributions</w:t>
            </w:r>
          </w:p>
        </w:tc>
        <w:tc>
          <w:tcPr>
            <w:tcW w:w="2126" w:type="dxa"/>
            <w:tcBorders>
              <w:top w:val="single" w:sz="2" w:space="0" w:color="707070"/>
              <w:left w:val="single" w:sz="2" w:space="0" w:color="707070"/>
              <w:bottom w:val="single" w:sz="2" w:space="0" w:color="707070"/>
              <w:right w:val="single" w:sz="2" w:space="0" w:color="707070"/>
            </w:tcBorders>
            <w:hideMark/>
          </w:tcPr>
          <w:p w14:paraId="6A81EAEE" w14:textId="77777777" w:rsidR="00473298" w:rsidRDefault="00473298">
            <w:pPr>
              <w:rPr>
                <w:szCs w:val="18"/>
                <w:lang w:val="en-AU"/>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151E9164" w14:textId="77777777" w:rsidR="00473298" w:rsidRDefault="00473298">
            <w:pPr>
              <w:rPr>
                <w:szCs w:val="18"/>
                <w:lang w:val="en-AU"/>
              </w:rPr>
            </w:pPr>
            <w:r>
              <w:rPr>
                <w:szCs w:val="18"/>
                <w:lang w:val="en-AU"/>
              </w:rPr>
              <w:t>0</w:t>
            </w:r>
          </w:p>
        </w:tc>
      </w:tr>
      <w:tr w:rsidR="00473298" w14:paraId="52ECCCA0" w14:textId="77777777" w:rsidTr="00473298">
        <w:trPr>
          <w:trHeight w:val="430"/>
        </w:trPr>
        <w:tc>
          <w:tcPr>
            <w:tcW w:w="1134" w:type="dxa"/>
            <w:tcBorders>
              <w:top w:val="single" w:sz="2" w:space="0" w:color="707070"/>
              <w:left w:val="single" w:sz="2" w:space="0" w:color="707070"/>
              <w:bottom w:val="single" w:sz="2" w:space="0" w:color="707070"/>
              <w:right w:val="single" w:sz="2" w:space="0" w:color="707070"/>
            </w:tcBorders>
            <w:hideMark/>
          </w:tcPr>
          <w:p w14:paraId="691B1026" w14:textId="46A3EC3C" w:rsidR="00473298" w:rsidRDefault="00A677FD" w:rsidP="00887ADF">
            <w:pPr>
              <w:rPr>
                <w:szCs w:val="18"/>
                <w:lang w:val="en-AU"/>
              </w:rPr>
            </w:pPr>
            <w:r>
              <w:rPr>
                <w:rFonts w:eastAsia="Verdana" w:cs="Verdana"/>
                <w:szCs w:val="18"/>
                <w:lang w:val="en-AU"/>
              </w:rPr>
              <w:t>50</w:t>
            </w:r>
            <w:r w:rsidR="00473298">
              <w:rPr>
                <w:rFonts w:eastAsia="Verdana" w:cs="Verdana"/>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4E47611D" w14:textId="77777777" w:rsidR="00473298" w:rsidRDefault="00473298">
            <w:pPr>
              <w:rPr>
                <w:b/>
                <w:szCs w:val="18"/>
                <w:lang w:val="en-AU"/>
              </w:rPr>
            </w:pPr>
            <w:r>
              <w:rPr>
                <w:szCs w:val="18"/>
                <w:lang w:val="en-AU"/>
              </w:rPr>
              <w:t xml:space="preserve">Tax superannuation fund earnings after retirement to help pay for aged care services </w:t>
            </w:r>
            <w:r>
              <w:rPr>
                <w:b/>
                <w:szCs w:val="18"/>
                <w:lang w:val="en-AU"/>
              </w:rPr>
              <w:t xml:space="preserve"> </w:t>
            </w:r>
          </w:p>
        </w:tc>
        <w:tc>
          <w:tcPr>
            <w:tcW w:w="2126" w:type="dxa"/>
            <w:tcBorders>
              <w:top w:val="single" w:sz="2" w:space="0" w:color="707070"/>
              <w:left w:val="single" w:sz="2" w:space="0" w:color="707070"/>
              <w:bottom w:val="single" w:sz="2" w:space="0" w:color="707070"/>
              <w:right w:val="single" w:sz="2" w:space="0" w:color="707070"/>
            </w:tcBorders>
            <w:hideMark/>
          </w:tcPr>
          <w:p w14:paraId="2365712D" w14:textId="77777777" w:rsidR="00473298" w:rsidRDefault="00473298">
            <w:pPr>
              <w:rPr>
                <w:szCs w:val="18"/>
                <w:lang w:val="en-AU"/>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05B38472" w14:textId="77777777" w:rsidR="00473298" w:rsidRDefault="00473298">
            <w:pPr>
              <w:rPr>
                <w:szCs w:val="18"/>
                <w:lang w:val="en-AU"/>
              </w:rPr>
            </w:pPr>
            <w:r>
              <w:rPr>
                <w:szCs w:val="18"/>
                <w:lang w:val="en-AU"/>
              </w:rPr>
              <w:t>2,500</w:t>
            </w:r>
          </w:p>
        </w:tc>
      </w:tr>
      <w:tr w:rsidR="00473298" w14:paraId="28192683" w14:textId="77777777" w:rsidTr="00473298">
        <w:trPr>
          <w:trHeight w:val="430"/>
        </w:trPr>
        <w:tc>
          <w:tcPr>
            <w:tcW w:w="1134" w:type="dxa"/>
            <w:tcBorders>
              <w:top w:val="single" w:sz="2" w:space="0" w:color="707070"/>
              <w:left w:val="single" w:sz="2" w:space="0" w:color="707070"/>
              <w:bottom w:val="single" w:sz="2" w:space="0" w:color="707070"/>
              <w:right w:val="single" w:sz="2" w:space="0" w:color="707070"/>
            </w:tcBorders>
            <w:hideMark/>
          </w:tcPr>
          <w:p w14:paraId="6172ED57" w14:textId="400884B9" w:rsidR="00473298" w:rsidRDefault="00887ADF" w:rsidP="00A677FD">
            <w:pPr>
              <w:rPr>
                <w:szCs w:val="18"/>
                <w:lang w:val="en-AU"/>
              </w:rPr>
            </w:pPr>
            <w:r>
              <w:rPr>
                <w:rFonts w:eastAsia="Verdana" w:cs="Verdana"/>
                <w:szCs w:val="18"/>
                <w:lang w:val="en-AU"/>
              </w:rPr>
              <w:t>5</w:t>
            </w:r>
            <w:r w:rsidR="00A677FD">
              <w:rPr>
                <w:rFonts w:eastAsia="Verdana" w:cs="Verdana"/>
                <w:szCs w:val="18"/>
                <w:lang w:val="en-AU"/>
              </w:rPr>
              <w:t>1</w:t>
            </w:r>
            <w:r w:rsidR="00473298">
              <w:rPr>
                <w:rFonts w:eastAsia="Verdana" w:cs="Verdana"/>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11080CEF" w14:textId="77777777" w:rsidR="00473298" w:rsidRDefault="00473298">
            <w:pPr>
              <w:rPr>
                <w:szCs w:val="18"/>
                <w:lang w:val="en-AU"/>
              </w:rPr>
            </w:pPr>
            <w:r>
              <w:rPr>
                <w:szCs w:val="18"/>
                <w:lang w:val="en-AU"/>
              </w:rPr>
              <w:t xml:space="preserve">Reduce age-based tax concessions to help finance health and aged care services </w:t>
            </w:r>
          </w:p>
        </w:tc>
        <w:tc>
          <w:tcPr>
            <w:tcW w:w="2126" w:type="dxa"/>
            <w:tcBorders>
              <w:top w:val="single" w:sz="2" w:space="0" w:color="707070"/>
              <w:left w:val="single" w:sz="2" w:space="0" w:color="707070"/>
              <w:bottom w:val="single" w:sz="2" w:space="0" w:color="707070"/>
              <w:right w:val="single" w:sz="2" w:space="0" w:color="707070"/>
            </w:tcBorders>
            <w:hideMark/>
          </w:tcPr>
          <w:p w14:paraId="7CE4D6A1" w14:textId="77777777" w:rsidR="00473298" w:rsidRDefault="00473298">
            <w:pPr>
              <w:rPr>
                <w:szCs w:val="18"/>
                <w:lang w:val="en-AU"/>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720AEC53" w14:textId="77777777" w:rsidR="00473298" w:rsidRDefault="00473298">
            <w:pPr>
              <w:rPr>
                <w:szCs w:val="18"/>
                <w:lang w:val="en-AU"/>
              </w:rPr>
            </w:pPr>
            <w:r>
              <w:rPr>
                <w:szCs w:val="18"/>
                <w:lang w:val="en-AU"/>
              </w:rPr>
              <w:t>700</w:t>
            </w:r>
          </w:p>
        </w:tc>
      </w:tr>
      <w:tr w:rsidR="00473298" w14:paraId="318F4DEB" w14:textId="77777777" w:rsidTr="00473298">
        <w:trPr>
          <w:trHeight w:val="430"/>
        </w:trPr>
        <w:tc>
          <w:tcPr>
            <w:tcW w:w="1134" w:type="dxa"/>
            <w:tcBorders>
              <w:top w:val="single" w:sz="2" w:space="0" w:color="707070"/>
              <w:left w:val="single" w:sz="2" w:space="0" w:color="707070"/>
              <w:bottom w:val="single" w:sz="2" w:space="0" w:color="707070"/>
              <w:right w:val="single" w:sz="2" w:space="0" w:color="707070"/>
            </w:tcBorders>
            <w:hideMark/>
          </w:tcPr>
          <w:p w14:paraId="67E73AE4" w14:textId="0AE1479D" w:rsidR="00473298" w:rsidRDefault="00D56259" w:rsidP="00A677FD">
            <w:pPr>
              <w:rPr>
                <w:szCs w:val="18"/>
                <w:lang w:val="en-AU"/>
              </w:rPr>
            </w:pPr>
            <w:r>
              <w:rPr>
                <w:szCs w:val="18"/>
                <w:lang w:val="en-AU"/>
              </w:rPr>
              <w:t>5</w:t>
            </w:r>
            <w:r w:rsidR="00A677FD">
              <w:rPr>
                <w:szCs w:val="18"/>
                <w:lang w:val="en-AU"/>
              </w:rPr>
              <w:t>2</w:t>
            </w:r>
            <w:r w:rsidR="00473298">
              <w:rPr>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2CCB2BB9" w14:textId="77777777" w:rsidR="00473298" w:rsidRDefault="00473298">
            <w:pPr>
              <w:rPr>
                <w:szCs w:val="18"/>
                <w:lang w:val="en-AU"/>
              </w:rPr>
            </w:pPr>
            <w:r>
              <w:rPr>
                <w:szCs w:val="18"/>
                <w:lang w:val="en-AU"/>
              </w:rPr>
              <w:t xml:space="preserve">Prevent avoidance of the Medicare Levy  </w:t>
            </w:r>
          </w:p>
        </w:tc>
        <w:tc>
          <w:tcPr>
            <w:tcW w:w="2126" w:type="dxa"/>
            <w:tcBorders>
              <w:top w:val="single" w:sz="2" w:space="0" w:color="707070"/>
              <w:left w:val="single" w:sz="2" w:space="0" w:color="707070"/>
              <w:bottom w:val="single" w:sz="2" w:space="0" w:color="707070"/>
              <w:right w:val="single" w:sz="2" w:space="0" w:color="707070"/>
            </w:tcBorders>
            <w:hideMark/>
          </w:tcPr>
          <w:p w14:paraId="09592B75" w14:textId="77777777" w:rsidR="00473298" w:rsidRDefault="00473298">
            <w:pPr>
              <w:rPr>
                <w:szCs w:val="18"/>
                <w:lang w:val="en-AU"/>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3CE4D36A" w14:textId="77777777" w:rsidR="00473298" w:rsidRDefault="00473298">
            <w:pPr>
              <w:rPr>
                <w:szCs w:val="18"/>
                <w:lang w:val="en-AU"/>
              </w:rPr>
            </w:pPr>
            <w:r>
              <w:rPr>
                <w:szCs w:val="18"/>
                <w:lang w:val="en-AU"/>
              </w:rPr>
              <w:t>1,300</w:t>
            </w:r>
          </w:p>
        </w:tc>
      </w:tr>
      <w:tr w:rsidR="00473298" w14:paraId="494F8B28" w14:textId="77777777" w:rsidTr="00473298">
        <w:trPr>
          <w:trHeight w:val="430"/>
        </w:trPr>
        <w:tc>
          <w:tcPr>
            <w:tcW w:w="1134" w:type="dxa"/>
            <w:tcBorders>
              <w:top w:val="single" w:sz="2" w:space="0" w:color="707070"/>
              <w:left w:val="single" w:sz="2" w:space="0" w:color="707070"/>
              <w:bottom w:val="single" w:sz="2" w:space="0" w:color="707070"/>
              <w:right w:val="single" w:sz="2" w:space="0" w:color="707070"/>
            </w:tcBorders>
          </w:tcPr>
          <w:p w14:paraId="61AD03FD" w14:textId="77777777" w:rsidR="00473298" w:rsidRDefault="00473298">
            <w:pPr>
              <w:rPr>
                <w:b/>
                <w:szCs w:val="18"/>
                <w:lang w:val="en-AU"/>
              </w:rPr>
            </w:pPr>
          </w:p>
        </w:tc>
        <w:tc>
          <w:tcPr>
            <w:tcW w:w="4250" w:type="dxa"/>
            <w:tcBorders>
              <w:top w:val="single" w:sz="2" w:space="0" w:color="707070"/>
              <w:left w:val="single" w:sz="2" w:space="0" w:color="707070"/>
              <w:bottom w:val="single" w:sz="2" w:space="0" w:color="707070"/>
              <w:right w:val="single" w:sz="2" w:space="0" w:color="707070"/>
            </w:tcBorders>
            <w:hideMark/>
          </w:tcPr>
          <w:p w14:paraId="457EF606" w14:textId="77777777" w:rsidR="00473298" w:rsidRDefault="00473298">
            <w:pPr>
              <w:rPr>
                <w:b/>
                <w:szCs w:val="18"/>
                <w:lang w:val="en-AU"/>
              </w:rPr>
            </w:pPr>
            <w:r>
              <w:rPr>
                <w:b/>
                <w:szCs w:val="18"/>
                <w:lang w:val="en-AU"/>
              </w:rPr>
              <w:t>Taxation</w:t>
            </w:r>
          </w:p>
        </w:tc>
        <w:tc>
          <w:tcPr>
            <w:tcW w:w="2126" w:type="dxa"/>
            <w:tcBorders>
              <w:top w:val="single" w:sz="2" w:space="0" w:color="707070"/>
              <w:left w:val="single" w:sz="2" w:space="0" w:color="707070"/>
              <w:bottom w:val="single" w:sz="2" w:space="0" w:color="707070"/>
              <w:right w:val="single" w:sz="2" w:space="0" w:color="707070"/>
            </w:tcBorders>
          </w:tcPr>
          <w:p w14:paraId="32B11A59" w14:textId="77777777" w:rsidR="00473298" w:rsidRDefault="00473298">
            <w:pPr>
              <w:rPr>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4F4C9DD3" w14:textId="77777777" w:rsidR="00473298" w:rsidRDefault="00473298">
            <w:pPr>
              <w:rPr>
                <w:szCs w:val="18"/>
                <w:lang w:val="en-AU"/>
              </w:rPr>
            </w:pPr>
          </w:p>
        </w:tc>
      </w:tr>
      <w:tr w:rsidR="00473298" w14:paraId="44BD9BEF" w14:textId="77777777" w:rsidTr="00473298">
        <w:trPr>
          <w:trHeight w:val="439"/>
        </w:trPr>
        <w:tc>
          <w:tcPr>
            <w:tcW w:w="1134" w:type="dxa"/>
            <w:tcBorders>
              <w:top w:val="single" w:sz="2" w:space="0" w:color="707070"/>
              <w:left w:val="single" w:sz="2" w:space="0" w:color="707070"/>
              <w:bottom w:val="single" w:sz="2" w:space="0" w:color="707070"/>
              <w:right w:val="single" w:sz="2" w:space="0" w:color="707070"/>
            </w:tcBorders>
            <w:hideMark/>
          </w:tcPr>
          <w:p w14:paraId="0FBF3EA4" w14:textId="2C14B111" w:rsidR="00473298" w:rsidRDefault="00394B9E" w:rsidP="00A677FD">
            <w:pPr>
              <w:rPr>
                <w:szCs w:val="18"/>
                <w:lang w:val="en-AU"/>
              </w:rPr>
            </w:pPr>
            <w:r>
              <w:rPr>
                <w:szCs w:val="18"/>
                <w:lang w:val="en-AU"/>
              </w:rPr>
              <w:t>5</w:t>
            </w:r>
            <w:r w:rsidR="00A677FD">
              <w:rPr>
                <w:szCs w:val="18"/>
                <w:lang w:val="en-AU"/>
              </w:rPr>
              <w:t>3</w:t>
            </w:r>
            <w:r w:rsidR="00473298">
              <w:rPr>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36D2E45C" w14:textId="77777777" w:rsidR="00473298" w:rsidRDefault="00473298">
            <w:pPr>
              <w:rPr>
                <w:szCs w:val="18"/>
                <w:lang w:val="en-AU"/>
              </w:rPr>
            </w:pPr>
            <w:r>
              <w:rPr>
                <w:szCs w:val="18"/>
                <w:lang w:val="en-AU"/>
              </w:rPr>
              <w:t xml:space="preserve">Do not proceed with scheduled income tax cuts </w:t>
            </w:r>
            <w:r>
              <w:rPr>
                <w:rStyle w:val="FootnoteReference"/>
                <w:szCs w:val="18"/>
                <w:lang w:val="en-AU"/>
              </w:rPr>
              <w:footnoteReference w:id="2"/>
            </w:r>
          </w:p>
        </w:tc>
        <w:tc>
          <w:tcPr>
            <w:tcW w:w="2126" w:type="dxa"/>
            <w:tcBorders>
              <w:top w:val="single" w:sz="2" w:space="0" w:color="707070"/>
              <w:left w:val="single" w:sz="2" w:space="0" w:color="707070"/>
              <w:bottom w:val="single" w:sz="2" w:space="0" w:color="707070"/>
              <w:right w:val="single" w:sz="2" w:space="0" w:color="707070"/>
            </w:tcBorders>
            <w:hideMark/>
          </w:tcPr>
          <w:p w14:paraId="538F5B89" w14:textId="77777777" w:rsidR="00473298" w:rsidRDefault="00473298">
            <w:pPr>
              <w:rPr>
                <w:szCs w:val="18"/>
                <w:lang w:val="en-AU"/>
              </w:rPr>
            </w:pPr>
            <w:r>
              <w:rPr>
                <w:szCs w:val="18"/>
                <w:lang w:val="en-AU"/>
              </w:rPr>
              <w:t>3,800</w:t>
            </w:r>
          </w:p>
        </w:tc>
        <w:tc>
          <w:tcPr>
            <w:tcW w:w="2268" w:type="dxa"/>
            <w:tcBorders>
              <w:top w:val="single" w:sz="2" w:space="0" w:color="707070"/>
              <w:left w:val="single" w:sz="2" w:space="0" w:color="707070"/>
              <w:bottom w:val="single" w:sz="2" w:space="0" w:color="707070"/>
              <w:right w:val="single" w:sz="2" w:space="0" w:color="707070"/>
            </w:tcBorders>
            <w:hideMark/>
          </w:tcPr>
          <w:p w14:paraId="3DB786DD" w14:textId="77777777" w:rsidR="00473298" w:rsidRDefault="00473298">
            <w:pPr>
              <w:rPr>
                <w:szCs w:val="18"/>
                <w:lang w:val="en-AU"/>
              </w:rPr>
            </w:pPr>
            <w:r>
              <w:rPr>
                <w:szCs w:val="18"/>
                <w:lang w:val="en-AU"/>
              </w:rPr>
              <w:t>2,900</w:t>
            </w:r>
          </w:p>
        </w:tc>
      </w:tr>
      <w:tr w:rsidR="00473298" w14:paraId="5A5AB55A"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hideMark/>
          </w:tcPr>
          <w:p w14:paraId="3913FCE3" w14:textId="288D8AF5" w:rsidR="00473298" w:rsidRDefault="00394B9E" w:rsidP="00A677FD">
            <w:pPr>
              <w:rPr>
                <w:szCs w:val="18"/>
                <w:lang w:val="en-AU"/>
              </w:rPr>
            </w:pPr>
            <w:r>
              <w:rPr>
                <w:szCs w:val="18"/>
                <w:lang w:val="en-AU"/>
              </w:rPr>
              <w:t>5</w:t>
            </w:r>
            <w:r w:rsidR="00A677FD">
              <w:rPr>
                <w:szCs w:val="18"/>
                <w:lang w:val="en-AU"/>
              </w:rPr>
              <w:t>4</w:t>
            </w:r>
            <w:r w:rsidR="00473298">
              <w:rPr>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4ED95ADE" w14:textId="77777777" w:rsidR="00473298" w:rsidRDefault="00473298">
            <w:pPr>
              <w:rPr>
                <w:szCs w:val="18"/>
                <w:lang w:val="en-AU"/>
              </w:rPr>
            </w:pPr>
            <w:r>
              <w:rPr>
                <w:szCs w:val="18"/>
                <w:lang w:val="en-AU"/>
              </w:rPr>
              <w:t>Reduce the Capital Gains Tax discount for individuals and trusts</w:t>
            </w:r>
          </w:p>
        </w:tc>
        <w:tc>
          <w:tcPr>
            <w:tcW w:w="2126" w:type="dxa"/>
            <w:tcBorders>
              <w:top w:val="single" w:sz="2" w:space="0" w:color="707070"/>
              <w:left w:val="single" w:sz="2" w:space="0" w:color="707070"/>
              <w:bottom w:val="single" w:sz="2" w:space="0" w:color="707070"/>
              <w:right w:val="single" w:sz="2" w:space="0" w:color="707070"/>
            </w:tcBorders>
            <w:hideMark/>
          </w:tcPr>
          <w:p w14:paraId="037FDEA7" w14:textId="77777777" w:rsidR="00473298" w:rsidRDefault="00473298">
            <w:pPr>
              <w:rPr>
                <w:szCs w:val="18"/>
                <w:lang w:val="en-AU"/>
              </w:rPr>
            </w:pPr>
            <w:r>
              <w:rPr>
                <w:szCs w:val="18"/>
                <w:lang w:val="en-AU"/>
              </w:rPr>
              <w:t>600</w:t>
            </w:r>
          </w:p>
        </w:tc>
        <w:tc>
          <w:tcPr>
            <w:tcW w:w="2268" w:type="dxa"/>
            <w:tcBorders>
              <w:top w:val="single" w:sz="2" w:space="0" w:color="707070"/>
              <w:left w:val="single" w:sz="2" w:space="0" w:color="707070"/>
              <w:bottom w:val="single" w:sz="2" w:space="0" w:color="707070"/>
              <w:right w:val="single" w:sz="2" w:space="0" w:color="707070"/>
            </w:tcBorders>
            <w:hideMark/>
          </w:tcPr>
          <w:p w14:paraId="5B8D64A3" w14:textId="77777777" w:rsidR="00473298" w:rsidRDefault="00473298">
            <w:pPr>
              <w:rPr>
                <w:szCs w:val="18"/>
                <w:lang w:val="en-AU"/>
              </w:rPr>
            </w:pPr>
            <w:r>
              <w:rPr>
                <w:szCs w:val="18"/>
                <w:lang w:val="en-AU"/>
              </w:rPr>
              <w:t>1,200</w:t>
            </w:r>
          </w:p>
        </w:tc>
      </w:tr>
      <w:tr w:rsidR="00473298" w14:paraId="42D58520"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hideMark/>
          </w:tcPr>
          <w:p w14:paraId="64EC2C5D" w14:textId="2158B3C0" w:rsidR="00473298" w:rsidRDefault="00394B9E" w:rsidP="00A677FD">
            <w:pPr>
              <w:rPr>
                <w:rFonts w:ascii="Calibri" w:eastAsia="Calibri" w:hAnsi="Calibri" w:cs="Calibri"/>
              </w:rPr>
            </w:pPr>
            <w:r>
              <w:rPr>
                <w:szCs w:val="18"/>
                <w:lang w:val="en-AU"/>
              </w:rPr>
              <w:t>5</w:t>
            </w:r>
            <w:r w:rsidR="00A677FD">
              <w:rPr>
                <w:szCs w:val="18"/>
                <w:lang w:val="en-AU"/>
              </w:rPr>
              <w:t>5</w:t>
            </w:r>
            <w:r w:rsidR="00473298">
              <w:rPr>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536ED07D" w14:textId="77777777" w:rsidR="00473298" w:rsidRPr="00D56259" w:rsidRDefault="00473298">
            <w:pPr>
              <w:rPr>
                <w:rFonts w:eastAsia="Verdana" w:cs="Verdana"/>
                <w:sz w:val="18"/>
                <w:szCs w:val="18"/>
                <w:lang w:val="en-AU"/>
              </w:rPr>
            </w:pPr>
            <w:r w:rsidRPr="00D56259">
              <w:rPr>
                <w:rFonts w:eastAsia="Calibri" w:cs="Calibri"/>
              </w:rPr>
              <w:t>Remove inequitable small business Capital Gains Tax concessions</w:t>
            </w:r>
          </w:p>
        </w:tc>
        <w:tc>
          <w:tcPr>
            <w:tcW w:w="2126" w:type="dxa"/>
            <w:tcBorders>
              <w:top w:val="single" w:sz="2" w:space="0" w:color="707070"/>
              <w:left w:val="single" w:sz="2" w:space="0" w:color="707070"/>
              <w:bottom w:val="single" w:sz="2" w:space="0" w:color="707070"/>
              <w:right w:val="single" w:sz="2" w:space="0" w:color="707070"/>
            </w:tcBorders>
          </w:tcPr>
          <w:p w14:paraId="5D412A0B" w14:textId="1A47F2D4" w:rsidR="00473298" w:rsidRDefault="00394B9E">
            <w:pPr>
              <w:rPr>
                <w:szCs w:val="18"/>
                <w:lang w:val="en-AU"/>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27F6D1A6" w14:textId="77777777" w:rsidR="00473298" w:rsidRDefault="00473298">
            <w:pPr>
              <w:rPr>
                <w:szCs w:val="18"/>
                <w:lang w:val="en-AU"/>
              </w:rPr>
            </w:pPr>
            <w:r>
              <w:rPr>
                <w:szCs w:val="18"/>
                <w:lang w:val="en-AU"/>
              </w:rPr>
              <w:t>300</w:t>
            </w:r>
          </w:p>
        </w:tc>
      </w:tr>
      <w:tr w:rsidR="00473298" w14:paraId="3EB236BC" w14:textId="77777777" w:rsidTr="00D56259">
        <w:trPr>
          <w:trHeight w:val="75"/>
        </w:trPr>
        <w:tc>
          <w:tcPr>
            <w:tcW w:w="1134" w:type="dxa"/>
            <w:tcBorders>
              <w:top w:val="single" w:sz="2" w:space="0" w:color="707070"/>
              <w:left w:val="single" w:sz="2" w:space="0" w:color="707070"/>
              <w:bottom w:val="single" w:sz="2" w:space="0" w:color="707070"/>
              <w:right w:val="single" w:sz="2" w:space="0" w:color="707070"/>
            </w:tcBorders>
            <w:hideMark/>
          </w:tcPr>
          <w:p w14:paraId="146102D5" w14:textId="5A6371AB" w:rsidR="00473298" w:rsidRDefault="00D56259" w:rsidP="00A677FD">
            <w:pPr>
              <w:rPr>
                <w:rFonts w:ascii="Calibri" w:eastAsia="Calibri" w:hAnsi="Calibri" w:cs="Calibri"/>
              </w:rPr>
            </w:pPr>
            <w:r>
              <w:rPr>
                <w:szCs w:val="18"/>
                <w:lang w:val="en-AU"/>
              </w:rPr>
              <w:t>5</w:t>
            </w:r>
            <w:r w:rsidR="00A677FD">
              <w:rPr>
                <w:szCs w:val="18"/>
                <w:lang w:val="en-AU"/>
              </w:rPr>
              <w:t>6</w:t>
            </w:r>
            <w:r w:rsidR="00473298">
              <w:rPr>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68B64F90" w14:textId="77777777" w:rsidR="00473298" w:rsidRPr="00D56259" w:rsidRDefault="00473298">
            <w:pPr>
              <w:rPr>
                <w:rFonts w:eastAsia="Verdana" w:cs="Verdana"/>
                <w:sz w:val="18"/>
                <w:szCs w:val="18"/>
                <w:lang w:val="en-AU"/>
              </w:rPr>
            </w:pPr>
            <w:r w:rsidRPr="00D56259">
              <w:rPr>
                <w:rFonts w:eastAsia="Calibri" w:cs="Calibri"/>
              </w:rPr>
              <w:t>Restrict deductions for personal investment expenses (negative gearing)</w:t>
            </w:r>
          </w:p>
        </w:tc>
        <w:tc>
          <w:tcPr>
            <w:tcW w:w="2126" w:type="dxa"/>
            <w:tcBorders>
              <w:top w:val="single" w:sz="2" w:space="0" w:color="707070"/>
              <w:left w:val="single" w:sz="2" w:space="0" w:color="707070"/>
              <w:bottom w:val="single" w:sz="2" w:space="0" w:color="707070"/>
              <w:right w:val="single" w:sz="2" w:space="0" w:color="707070"/>
            </w:tcBorders>
            <w:hideMark/>
          </w:tcPr>
          <w:p w14:paraId="35172B45" w14:textId="77777777" w:rsidR="00473298" w:rsidRDefault="00473298">
            <w:pPr>
              <w:rPr>
                <w:szCs w:val="18"/>
                <w:lang w:val="en-AU"/>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54E3B561" w14:textId="77777777" w:rsidR="00473298" w:rsidRDefault="00473298">
            <w:pPr>
              <w:rPr>
                <w:szCs w:val="18"/>
                <w:lang w:val="en-AU"/>
              </w:rPr>
            </w:pPr>
            <w:r>
              <w:rPr>
                <w:szCs w:val="18"/>
                <w:lang w:val="en-AU"/>
              </w:rPr>
              <w:t>600</w:t>
            </w:r>
          </w:p>
        </w:tc>
      </w:tr>
      <w:tr w:rsidR="00473298" w14:paraId="3FD51F39"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hideMark/>
          </w:tcPr>
          <w:p w14:paraId="55EAA4BC" w14:textId="6448677F" w:rsidR="00473298" w:rsidRDefault="00394B9E" w:rsidP="00A677FD">
            <w:pPr>
              <w:rPr>
                <w:szCs w:val="18"/>
                <w:lang w:val="en-AU"/>
              </w:rPr>
            </w:pPr>
            <w:r>
              <w:rPr>
                <w:szCs w:val="18"/>
                <w:lang w:val="en-AU"/>
              </w:rPr>
              <w:t>5</w:t>
            </w:r>
            <w:r w:rsidR="00A677FD">
              <w:rPr>
                <w:szCs w:val="18"/>
                <w:lang w:val="en-AU"/>
              </w:rPr>
              <w:t>7</w:t>
            </w:r>
            <w:r w:rsidR="00473298">
              <w:rPr>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25BEA35B" w14:textId="77777777" w:rsidR="00473298" w:rsidRDefault="00473298">
            <w:pPr>
              <w:rPr>
                <w:szCs w:val="18"/>
                <w:lang w:val="en-AU"/>
              </w:rPr>
            </w:pPr>
            <w:r>
              <w:rPr>
                <w:szCs w:val="18"/>
                <w:lang w:val="en-AU"/>
              </w:rPr>
              <w:t>Curb the use of private trusts to avoid personal income tax and conceal income</w:t>
            </w:r>
          </w:p>
        </w:tc>
        <w:tc>
          <w:tcPr>
            <w:tcW w:w="2126" w:type="dxa"/>
            <w:tcBorders>
              <w:top w:val="single" w:sz="2" w:space="0" w:color="707070"/>
              <w:left w:val="single" w:sz="2" w:space="0" w:color="707070"/>
              <w:bottom w:val="single" w:sz="2" w:space="0" w:color="707070"/>
              <w:right w:val="single" w:sz="2" w:space="0" w:color="707070"/>
            </w:tcBorders>
            <w:hideMark/>
          </w:tcPr>
          <w:p w14:paraId="1D8D927B" w14:textId="77777777" w:rsidR="00473298" w:rsidRDefault="00473298">
            <w:pPr>
              <w:rPr>
                <w:szCs w:val="18"/>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5B3949E8" w14:textId="1AAFEC16" w:rsidR="00473298" w:rsidRDefault="00473298">
            <w:pPr>
              <w:rPr>
                <w:szCs w:val="18"/>
                <w:lang w:val="en-AU"/>
              </w:rPr>
            </w:pPr>
            <w:r>
              <w:rPr>
                <w:szCs w:val="18"/>
                <w:lang w:val="en-AU"/>
              </w:rPr>
              <w:t>1,</w:t>
            </w:r>
            <w:r w:rsidR="008745B7">
              <w:rPr>
                <w:szCs w:val="18"/>
                <w:lang w:val="en-AU"/>
              </w:rPr>
              <w:t>5</w:t>
            </w:r>
            <w:r>
              <w:rPr>
                <w:szCs w:val="18"/>
                <w:lang w:val="en-AU"/>
              </w:rPr>
              <w:t>00</w:t>
            </w:r>
          </w:p>
        </w:tc>
      </w:tr>
      <w:tr w:rsidR="00473298" w14:paraId="730B0F75"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hideMark/>
          </w:tcPr>
          <w:p w14:paraId="6E1BB4A8" w14:textId="3E07C25A" w:rsidR="00473298" w:rsidRDefault="00394B9E" w:rsidP="00A677FD">
            <w:pPr>
              <w:rPr>
                <w:szCs w:val="18"/>
                <w:lang w:val="en-AU"/>
              </w:rPr>
            </w:pPr>
            <w:r>
              <w:rPr>
                <w:rFonts w:eastAsia="Verdana" w:cs="Verdana"/>
                <w:szCs w:val="18"/>
                <w:lang w:val="en-AU"/>
              </w:rPr>
              <w:t>5</w:t>
            </w:r>
            <w:r w:rsidR="00A677FD">
              <w:rPr>
                <w:rFonts w:eastAsia="Verdana" w:cs="Verdana"/>
                <w:szCs w:val="18"/>
                <w:lang w:val="en-AU"/>
              </w:rPr>
              <w:t>8</w:t>
            </w:r>
            <w:r w:rsidR="00473298">
              <w:rPr>
                <w:rFonts w:eastAsia="Verdana" w:cs="Verdana"/>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37EE80E6" w14:textId="77777777" w:rsidR="00473298" w:rsidRDefault="00473298">
            <w:pPr>
              <w:rPr>
                <w:szCs w:val="18"/>
                <w:lang w:val="en-AU"/>
              </w:rPr>
            </w:pPr>
            <w:r>
              <w:rPr>
                <w:szCs w:val="18"/>
                <w:lang w:val="en-AU"/>
              </w:rPr>
              <w:t>Prevent the use of private companies to avoid personal income tax</w:t>
            </w:r>
          </w:p>
        </w:tc>
        <w:tc>
          <w:tcPr>
            <w:tcW w:w="2126" w:type="dxa"/>
            <w:tcBorders>
              <w:top w:val="single" w:sz="2" w:space="0" w:color="707070"/>
              <w:left w:val="single" w:sz="2" w:space="0" w:color="707070"/>
              <w:bottom w:val="single" w:sz="2" w:space="0" w:color="707070"/>
              <w:right w:val="single" w:sz="2" w:space="0" w:color="707070"/>
            </w:tcBorders>
            <w:hideMark/>
          </w:tcPr>
          <w:p w14:paraId="53D3D8BC" w14:textId="77777777" w:rsidR="00473298" w:rsidRDefault="00473298">
            <w:pPr>
              <w:rPr>
                <w:szCs w:val="18"/>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012E94B2" w14:textId="77777777" w:rsidR="00473298" w:rsidRDefault="00473298">
            <w:pPr>
              <w:rPr>
                <w:szCs w:val="18"/>
                <w:lang w:val="en-AU"/>
              </w:rPr>
            </w:pPr>
            <w:r>
              <w:rPr>
                <w:szCs w:val="18"/>
                <w:lang w:val="en-AU"/>
              </w:rPr>
              <w:t>1,400</w:t>
            </w:r>
          </w:p>
        </w:tc>
      </w:tr>
      <w:tr w:rsidR="00473298" w14:paraId="2F56F762"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hideMark/>
          </w:tcPr>
          <w:p w14:paraId="0A5CEE73" w14:textId="06A5C204" w:rsidR="00473298" w:rsidRDefault="00394B9E" w:rsidP="00A677FD">
            <w:pPr>
              <w:rPr>
                <w:szCs w:val="18"/>
                <w:lang w:val="en-AU"/>
              </w:rPr>
            </w:pPr>
            <w:r>
              <w:rPr>
                <w:rFonts w:eastAsia="Verdana" w:cs="Verdana"/>
                <w:szCs w:val="18"/>
                <w:lang w:val="en-AU"/>
              </w:rPr>
              <w:t>5</w:t>
            </w:r>
            <w:r w:rsidR="00A677FD">
              <w:rPr>
                <w:rFonts w:eastAsia="Verdana" w:cs="Verdana"/>
                <w:szCs w:val="18"/>
                <w:lang w:val="en-AU"/>
              </w:rPr>
              <w:t>9</w:t>
            </w:r>
            <w:r w:rsidR="00473298">
              <w:rPr>
                <w:rFonts w:eastAsia="Verdana" w:cs="Verdana"/>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2A3462DB" w14:textId="77777777" w:rsidR="00473298" w:rsidRDefault="00473298">
            <w:pPr>
              <w:rPr>
                <w:szCs w:val="18"/>
                <w:lang w:val="en-AU"/>
              </w:rPr>
            </w:pPr>
            <w:r>
              <w:rPr>
                <w:szCs w:val="18"/>
                <w:lang w:val="en-AU"/>
              </w:rPr>
              <w:t>Curb international business tax avoidance</w:t>
            </w:r>
          </w:p>
        </w:tc>
        <w:tc>
          <w:tcPr>
            <w:tcW w:w="2126" w:type="dxa"/>
            <w:tcBorders>
              <w:top w:val="single" w:sz="2" w:space="0" w:color="707070"/>
              <w:left w:val="single" w:sz="2" w:space="0" w:color="707070"/>
              <w:bottom w:val="single" w:sz="2" w:space="0" w:color="707070"/>
              <w:right w:val="single" w:sz="2" w:space="0" w:color="707070"/>
            </w:tcBorders>
            <w:hideMark/>
          </w:tcPr>
          <w:p w14:paraId="36C1446D" w14:textId="77777777" w:rsidR="00473298" w:rsidRDefault="00473298">
            <w:pPr>
              <w:rPr>
                <w:szCs w:val="18"/>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2F6ACD69" w14:textId="77777777" w:rsidR="00473298" w:rsidRDefault="00473298">
            <w:pPr>
              <w:rPr>
                <w:szCs w:val="18"/>
                <w:lang w:val="en-AU"/>
              </w:rPr>
            </w:pPr>
            <w:r>
              <w:rPr>
                <w:szCs w:val="18"/>
                <w:lang w:val="en-AU"/>
              </w:rPr>
              <w:t>500</w:t>
            </w:r>
          </w:p>
        </w:tc>
      </w:tr>
      <w:tr w:rsidR="00473298" w14:paraId="356990C6"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hideMark/>
          </w:tcPr>
          <w:p w14:paraId="365D33F5" w14:textId="40F6CFC0" w:rsidR="00473298" w:rsidRDefault="00A677FD" w:rsidP="00887ADF">
            <w:pPr>
              <w:rPr>
                <w:szCs w:val="18"/>
                <w:lang w:val="en-AU"/>
              </w:rPr>
            </w:pPr>
            <w:r>
              <w:rPr>
                <w:szCs w:val="18"/>
                <w:lang w:val="en-AU"/>
              </w:rPr>
              <w:t>60</w:t>
            </w:r>
            <w:r w:rsidR="00473298">
              <w:rPr>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309F112D" w14:textId="77777777" w:rsidR="00473298" w:rsidRDefault="00473298">
            <w:pPr>
              <w:rPr>
                <w:szCs w:val="18"/>
                <w:lang w:val="en-AU"/>
              </w:rPr>
            </w:pPr>
            <w:r>
              <w:rPr>
                <w:szCs w:val="18"/>
                <w:lang w:val="en-AU"/>
              </w:rPr>
              <w:t>Abolish fuel tax credits for off-road use</w:t>
            </w:r>
          </w:p>
        </w:tc>
        <w:tc>
          <w:tcPr>
            <w:tcW w:w="2126" w:type="dxa"/>
            <w:tcBorders>
              <w:top w:val="single" w:sz="2" w:space="0" w:color="707070"/>
              <w:left w:val="single" w:sz="2" w:space="0" w:color="707070"/>
              <w:bottom w:val="single" w:sz="2" w:space="0" w:color="707070"/>
              <w:right w:val="single" w:sz="2" w:space="0" w:color="707070"/>
            </w:tcBorders>
            <w:hideMark/>
          </w:tcPr>
          <w:p w14:paraId="6162B6A6" w14:textId="77777777" w:rsidR="00473298" w:rsidRDefault="00473298">
            <w:pPr>
              <w:rPr>
                <w:szCs w:val="18"/>
                <w:lang w:val="en-AU"/>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2305ED33" w14:textId="77777777" w:rsidR="00473298" w:rsidRDefault="00473298">
            <w:pPr>
              <w:rPr>
                <w:szCs w:val="18"/>
                <w:lang w:val="en-AU"/>
              </w:rPr>
            </w:pPr>
            <w:r>
              <w:rPr>
                <w:szCs w:val="18"/>
                <w:lang w:val="en-AU"/>
              </w:rPr>
              <w:t>4,600</w:t>
            </w:r>
          </w:p>
        </w:tc>
      </w:tr>
      <w:tr w:rsidR="00473298" w14:paraId="38031F43"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hideMark/>
          </w:tcPr>
          <w:p w14:paraId="2DE3CE34" w14:textId="50E4F79D" w:rsidR="00473298" w:rsidRDefault="00887ADF" w:rsidP="00A677FD">
            <w:pPr>
              <w:rPr>
                <w:szCs w:val="18"/>
                <w:lang w:val="en-AU"/>
              </w:rPr>
            </w:pPr>
            <w:r>
              <w:rPr>
                <w:rFonts w:eastAsia="Verdana" w:cs="Verdana"/>
                <w:szCs w:val="18"/>
              </w:rPr>
              <w:t>6</w:t>
            </w:r>
            <w:r w:rsidR="00A677FD">
              <w:rPr>
                <w:rFonts w:eastAsia="Verdana" w:cs="Verdana"/>
                <w:szCs w:val="18"/>
              </w:rPr>
              <w:t>1</w:t>
            </w:r>
            <w:r w:rsidR="00473298">
              <w:rPr>
                <w:rFonts w:eastAsia="Verdana" w:cs="Verdana"/>
                <w:szCs w:val="18"/>
              </w:rPr>
              <w:t>.</w:t>
            </w:r>
          </w:p>
        </w:tc>
        <w:tc>
          <w:tcPr>
            <w:tcW w:w="4250" w:type="dxa"/>
            <w:tcBorders>
              <w:top w:val="single" w:sz="2" w:space="0" w:color="707070"/>
              <w:left w:val="single" w:sz="2" w:space="0" w:color="707070"/>
              <w:bottom w:val="single" w:sz="2" w:space="0" w:color="707070"/>
              <w:right w:val="single" w:sz="2" w:space="0" w:color="707070"/>
            </w:tcBorders>
            <w:hideMark/>
          </w:tcPr>
          <w:p w14:paraId="176A654E" w14:textId="77777777" w:rsidR="00473298" w:rsidRDefault="00473298">
            <w:pPr>
              <w:rPr>
                <w:szCs w:val="18"/>
                <w:lang w:val="en-AU"/>
              </w:rPr>
            </w:pPr>
            <w:r>
              <w:rPr>
                <w:szCs w:val="18"/>
                <w:lang w:val="en-AU"/>
              </w:rPr>
              <w:t>Introduce a ‘sugar tax’ on sweetened drinks</w:t>
            </w:r>
          </w:p>
        </w:tc>
        <w:tc>
          <w:tcPr>
            <w:tcW w:w="2126" w:type="dxa"/>
            <w:tcBorders>
              <w:top w:val="single" w:sz="2" w:space="0" w:color="707070"/>
              <w:left w:val="single" w:sz="2" w:space="0" w:color="707070"/>
              <w:bottom w:val="single" w:sz="2" w:space="0" w:color="707070"/>
              <w:right w:val="single" w:sz="2" w:space="0" w:color="707070"/>
            </w:tcBorders>
            <w:hideMark/>
          </w:tcPr>
          <w:p w14:paraId="67BD0E97" w14:textId="77777777" w:rsidR="00473298" w:rsidRDefault="00473298">
            <w:pPr>
              <w:rPr>
                <w:szCs w:val="18"/>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5AE5ABF8" w14:textId="77777777" w:rsidR="00473298" w:rsidRDefault="00473298">
            <w:pPr>
              <w:rPr>
                <w:szCs w:val="18"/>
                <w:lang w:val="en-AU"/>
              </w:rPr>
            </w:pPr>
            <w:r>
              <w:rPr>
                <w:szCs w:val="18"/>
                <w:lang w:val="en-AU"/>
              </w:rPr>
              <w:t>500</w:t>
            </w:r>
          </w:p>
        </w:tc>
      </w:tr>
      <w:tr w:rsidR="00473298" w14:paraId="17CA01DB"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hideMark/>
          </w:tcPr>
          <w:p w14:paraId="6AD322D5" w14:textId="343C3841" w:rsidR="00473298" w:rsidRDefault="00394B9E" w:rsidP="00A677FD">
            <w:pPr>
              <w:rPr>
                <w:szCs w:val="18"/>
                <w:lang w:val="en-AU"/>
              </w:rPr>
            </w:pPr>
            <w:r>
              <w:rPr>
                <w:szCs w:val="18"/>
                <w:lang w:val="en-AU"/>
              </w:rPr>
              <w:lastRenderedPageBreak/>
              <w:t>6</w:t>
            </w:r>
            <w:r w:rsidR="00A677FD">
              <w:rPr>
                <w:szCs w:val="18"/>
                <w:lang w:val="en-AU"/>
              </w:rPr>
              <w:t>2</w:t>
            </w:r>
            <w:r w:rsidR="00473298">
              <w:rPr>
                <w:szCs w:val="18"/>
                <w:lang w:val="en-AU"/>
              </w:rPr>
              <w:t>.</w:t>
            </w:r>
          </w:p>
        </w:tc>
        <w:tc>
          <w:tcPr>
            <w:tcW w:w="4250" w:type="dxa"/>
            <w:tcBorders>
              <w:top w:val="single" w:sz="2" w:space="0" w:color="707070"/>
              <w:left w:val="single" w:sz="2" w:space="0" w:color="707070"/>
              <w:bottom w:val="single" w:sz="2" w:space="0" w:color="707070"/>
              <w:right w:val="single" w:sz="2" w:space="0" w:color="707070"/>
            </w:tcBorders>
            <w:hideMark/>
          </w:tcPr>
          <w:p w14:paraId="40EC28E2" w14:textId="77777777" w:rsidR="00473298" w:rsidRDefault="00473298">
            <w:pPr>
              <w:rPr>
                <w:szCs w:val="18"/>
                <w:lang w:val="en-AU"/>
              </w:rPr>
            </w:pPr>
            <w:r>
              <w:rPr>
                <w:szCs w:val="18"/>
                <w:lang w:val="en-AU"/>
              </w:rPr>
              <w:t>Tax drinks consistently on the basis of alcohol content</w:t>
            </w:r>
          </w:p>
        </w:tc>
        <w:tc>
          <w:tcPr>
            <w:tcW w:w="2126" w:type="dxa"/>
            <w:tcBorders>
              <w:top w:val="single" w:sz="2" w:space="0" w:color="707070"/>
              <w:left w:val="single" w:sz="2" w:space="0" w:color="707070"/>
              <w:bottom w:val="single" w:sz="2" w:space="0" w:color="707070"/>
              <w:right w:val="single" w:sz="2" w:space="0" w:color="707070"/>
            </w:tcBorders>
            <w:hideMark/>
          </w:tcPr>
          <w:p w14:paraId="3EE94855" w14:textId="77777777" w:rsidR="00473298" w:rsidRDefault="00473298">
            <w:pPr>
              <w:rPr>
                <w:szCs w:val="18"/>
              </w:rPr>
            </w:pPr>
            <w:r>
              <w:rPr>
                <w:szCs w:val="18"/>
                <w:lang w:val="en-AU"/>
              </w:rPr>
              <w:t>0</w:t>
            </w:r>
          </w:p>
        </w:tc>
        <w:tc>
          <w:tcPr>
            <w:tcW w:w="2268" w:type="dxa"/>
            <w:tcBorders>
              <w:top w:val="single" w:sz="2" w:space="0" w:color="707070"/>
              <w:left w:val="single" w:sz="2" w:space="0" w:color="707070"/>
              <w:bottom w:val="single" w:sz="2" w:space="0" w:color="707070"/>
              <w:right w:val="single" w:sz="2" w:space="0" w:color="707070"/>
            </w:tcBorders>
            <w:hideMark/>
          </w:tcPr>
          <w:p w14:paraId="1688C3BE" w14:textId="77777777" w:rsidR="00473298" w:rsidRDefault="00473298">
            <w:pPr>
              <w:rPr>
                <w:szCs w:val="18"/>
                <w:lang w:val="en-AU"/>
              </w:rPr>
            </w:pPr>
            <w:r>
              <w:rPr>
                <w:szCs w:val="18"/>
                <w:lang w:val="en-AU"/>
              </w:rPr>
              <w:t>2,300</w:t>
            </w:r>
          </w:p>
        </w:tc>
      </w:tr>
      <w:tr w:rsidR="00473298" w14:paraId="5F1CDC59"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shd w:val="clear" w:color="auto" w:fill="D9D9D9" w:themeFill="background1" w:themeFillShade="D9"/>
          </w:tcPr>
          <w:p w14:paraId="3BB5DA05" w14:textId="77777777" w:rsidR="00473298" w:rsidRDefault="00473298">
            <w:pPr>
              <w:rPr>
                <w:b/>
                <w:szCs w:val="18"/>
                <w:lang w:val="en-AU"/>
              </w:rPr>
            </w:pPr>
          </w:p>
        </w:tc>
        <w:tc>
          <w:tcPr>
            <w:tcW w:w="4250" w:type="dxa"/>
            <w:tcBorders>
              <w:top w:val="single" w:sz="2" w:space="0" w:color="707070"/>
              <w:left w:val="single" w:sz="2" w:space="0" w:color="707070"/>
              <w:bottom w:val="single" w:sz="2" w:space="0" w:color="707070"/>
              <w:right w:val="single" w:sz="2" w:space="0" w:color="707070"/>
            </w:tcBorders>
            <w:shd w:val="clear" w:color="auto" w:fill="D9D9D9" w:themeFill="background1" w:themeFillShade="D9"/>
          </w:tcPr>
          <w:p w14:paraId="4A79B2C7" w14:textId="77777777" w:rsidR="00473298" w:rsidRDefault="00473298">
            <w:pPr>
              <w:rPr>
                <w:b/>
                <w:szCs w:val="18"/>
                <w:lang w:val="en-AU"/>
              </w:rPr>
            </w:pPr>
            <w:r>
              <w:rPr>
                <w:b/>
                <w:szCs w:val="18"/>
                <w:lang w:val="en-AU"/>
              </w:rPr>
              <w:t>Revenue impacts</w:t>
            </w:r>
          </w:p>
          <w:p w14:paraId="39CC68A4" w14:textId="77777777" w:rsidR="00473298" w:rsidRDefault="00473298">
            <w:pPr>
              <w:rPr>
                <w:szCs w:val="18"/>
                <w:lang w:val="en-AU"/>
              </w:rPr>
            </w:pPr>
          </w:p>
        </w:tc>
        <w:tc>
          <w:tcPr>
            <w:tcW w:w="2126" w:type="dxa"/>
            <w:tcBorders>
              <w:top w:val="single" w:sz="2" w:space="0" w:color="707070"/>
              <w:left w:val="single" w:sz="2" w:space="0" w:color="707070"/>
              <w:bottom w:val="single" w:sz="2" w:space="0" w:color="707070"/>
              <w:right w:val="single" w:sz="2" w:space="0" w:color="707070"/>
            </w:tcBorders>
            <w:shd w:val="clear" w:color="auto" w:fill="D9D9D9" w:themeFill="background1" w:themeFillShade="D9"/>
            <w:hideMark/>
          </w:tcPr>
          <w:p w14:paraId="71D72814" w14:textId="77777777" w:rsidR="00473298" w:rsidRDefault="00473298">
            <w:pPr>
              <w:rPr>
                <w:b/>
                <w:szCs w:val="18"/>
                <w:lang w:val="en-AU"/>
              </w:rPr>
            </w:pPr>
            <w:r>
              <w:rPr>
                <w:b/>
                <w:szCs w:val="18"/>
                <w:lang w:val="en-AU"/>
              </w:rPr>
              <w:t>4,400</w:t>
            </w:r>
          </w:p>
        </w:tc>
        <w:tc>
          <w:tcPr>
            <w:tcW w:w="2268" w:type="dxa"/>
            <w:tcBorders>
              <w:top w:val="single" w:sz="2" w:space="0" w:color="707070"/>
              <w:left w:val="single" w:sz="2" w:space="0" w:color="707070"/>
              <w:bottom w:val="single" w:sz="2" w:space="0" w:color="707070"/>
              <w:right w:val="single" w:sz="2" w:space="0" w:color="707070"/>
            </w:tcBorders>
            <w:shd w:val="clear" w:color="auto" w:fill="D9D9D9" w:themeFill="background1" w:themeFillShade="D9"/>
            <w:hideMark/>
          </w:tcPr>
          <w:p w14:paraId="66297290" w14:textId="2FD970F1" w:rsidR="00473298" w:rsidRDefault="001E0003">
            <w:pPr>
              <w:rPr>
                <w:b/>
                <w:szCs w:val="18"/>
                <w:lang w:val="en-AU"/>
              </w:rPr>
            </w:pPr>
            <w:r>
              <w:rPr>
                <w:b/>
                <w:szCs w:val="18"/>
                <w:lang w:val="en-AU"/>
              </w:rPr>
              <w:t>20,300</w:t>
            </w:r>
          </w:p>
        </w:tc>
      </w:tr>
      <w:tr w:rsidR="00473298" w14:paraId="2FF6A1B5"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tcPr>
          <w:p w14:paraId="713E1A98" w14:textId="77777777" w:rsidR="00473298" w:rsidRDefault="00473298">
            <w:pPr>
              <w:rPr>
                <w:b/>
                <w:szCs w:val="18"/>
                <w:lang w:val="en-AU"/>
              </w:rPr>
            </w:pPr>
          </w:p>
        </w:tc>
        <w:tc>
          <w:tcPr>
            <w:tcW w:w="4250" w:type="dxa"/>
            <w:tcBorders>
              <w:top w:val="single" w:sz="2" w:space="0" w:color="707070"/>
              <w:left w:val="single" w:sz="2" w:space="0" w:color="707070"/>
              <w:bottom w:val="single" w:sz="2" w:space="0" w:color="707070"/>
              <w:right w:val="single" w:sz="2" w:space="0" w:color="707070"/>
            </w:tcBorders>
            <w:hideMark/>
          </w:tcPr>
          <w:p w14:paraId="768F385E" w14:textId="15474AA4" w:rsidR="00473298" w:rsidRDefault="00515F9E">
            <w:pPr>
              <w:rPr>
                <w:b/>
                <w:szCs w:val="18"/>
                <w:lang w:val="en-AU"/>
              </w:rPr>
            </w:pPr>
            <w:r>
              <w:rPr>
                <w:b/>
                <w:szCs w:val="18"/>
                <w:lang w:val="en-AU"/>
              </w:rPr>
              <w:t>Overall</w:t>
            </w:r>
            <w:r w:rsidR="00473298">
              <w:rPr>
                <w:b/>
                <w:szCs w:val="18"/>
                <w:lang w:val="en-AU"/>
              </w:rPr>
              <w:t xml:space="preserve"> Budget impacts</w:t>
            </w:r>
          </w:p>
        </w:tc>
        <w:tc>
          <w:tcPr>
            <w:tcW w:w="2126" w:type="dxa"/>
            <w:tcBorders>
              <w:top w:val="single" w:sz="2" w:space="0" w:color="707070"/>
              <w:left w:val="single" w:sz="2" w:space="0" w:color="707070"/>
              <w:bottom w:val="single" w:sz="2" w:space="0" w:color="707070"/>
              <w:right w:val="single" w:sz="2" w:space="0" w:color="707070"/>
            </w:tcBorders>
          </w:tcPr>
          <w:p w14:paraId="6F7277CA" w14:textId="77777777" w:rsidR="00473298" w:rsidRDefault="00473298">
            <w:pPr>
              <w:rPr>
                <w:szCs w:val="18"/>
                <w:lang w:val="en-AU"/>
              </w:rPr>
            </w:pPr>
          </w:p>
        </w:tc>
        <w:tc>
          <w:tcPr>
            <w:tcW w:w="2268" w:type="dxa"/>
            <w:tcBorders>
              <w:top w:val="single" w:sz="2" w:space="0" w:color="707070"/>
              <w:left w:val="single" w:sz="2" w:space="0" w:color="707070"/>
              <w:bottom w:val="single" w:sz="2" w:space="0" w:color="707070"/>
              <w:right w:val="single" w:sz="2" w:space="0" w:color="707070"/>
            </w:tcBorders>
          </w:tcPr>
          <w:p w14:paraId="156A7426" w14:textId="77777777" w:rsidR="00473298" w:rsidRDefault="00473298">
            <w:pPr>
              <w:rPr>
                <w:szCs w:val="18"/>
                <w:lang w:val="en-AU"/>
              </w:rPr>
            </w:pPr>
          </w:p>
        </w:tc>
      </w:tr>
      <w:tr w:rsidR="00473298" w14:paraId="1A93202A"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tcPr>
          <w:p w14:paraId="23A676AB" w14:textId="77777777" w:rsidR="00473298" w:rsidRDefault="00473298">
            <w:pPr>
              <w:rPr>
                <w:b/>
                <w:szCs w:val="18"/>
                <w:lang w:val="en-AU"/>
              </w:rPr>
            </w:pPr>
          </w:p>
        </w:tc>
        <w:tc>
          <w:tcPr>
            <w:tcW w:w="4250" w:type="dxa"/>
            <w:tcBorders>
              <w:top w:val="single" w:sz="2" w:space="0" w:color="707070"/>
              <w:left w:val="single" w:sz="2" w:space="0" w:color="707070"/>
              <w:bottom w:val="single" w:sz="2" w:space="0" w:color="707070"/>
              <w:right w:val="single" w:sz="2" w:space="0" w:color="707070"/>
            </w:tcBorders>
            <w:hideMark/>
          </w:tcPr>
          <w:p w14:paraId="442356C3" w14:textId="77777777" w:rsidR="00473298" w:rsidRDefault="00473298">
            <w:pPr>
              <w:rPr>
                <w:b/>
                <w:szCs w:val="18"/>
                <w:lang w:val="en-AU"/>
              </w:rPr>
            </w:pPr>
            <w:r>
              <w:rPr>
                <w:b/>
                <w:szCs w:val="18"/>
                <w:lang w:val="en-AU"/>
              </w:rPr>
              <w:t>Budget expenditures</w:t>
            </w:r>
          </w:p>
        </w:tc>
        <w:tc>
          <w:tcPr>
            <w:tcW w:w="2126" w:type="dxa"/>
            <w:tcBorders>
              <w:top w:val="single" w:sz="2" w:space="0" w:color="707070"/>
              <w:left w:val="single" w:sz="2" w:space="0" w:color="707070"/>
              <w:bottom w:val="single" w:sz="2" w:space="0" w:color="707070"/>
              <w:right w:val="single" w:sz="2" w:space="0" w:color="707070"/>
            </w:tcBorders>
            <w:hideMark/>
          </w:tcPr>
          <w:p w14:paraId="1AC44C1C" w14:textId="18CC5E00" w:rsidR="00473298" w:rsidRDefault="00473298" w:rsidP="007D471E">
            <w:pPr>
              <w:rPr>
                <w:szCs w:val="18"/>
                <w:lang w:val="en-AU"/>
              </w:rPr>
            </w:pPr>
            <w:r>
              <w:rPr>
                <w:szCs w:val="18"/>
                <w:lang w:val="en-AU"/>
              </w:rPr>
              <w:t>-13,4</w:t>
            </w:r>
            <w:r w:rsidR="008745B7">
              <w:rPr>
                <w:szCs w:val="18"/>
                <w:lang w:val="en-AU"/>
              </w:rPr>
              <w:t>39</w:t>
            </w:r>
          </w:p>
        </w:tc>
        <w:tc>
          <w:tcPr>
            <w:tcW w:w="2268" w:type="dxa"/>
            <w:tcBorders>
              <w:top w:val="single" w:sz="2" w:space="0" w:color="707070"/>
              <w:left w:val="single" w:sz="2" w:space="0" w:color="707070"/>
              <w:bottom w:val="single" w:sz="2" w:space="0" w:color="707070"/>
              <w:right w:val="single" w:sz="2" w:space="0" w:color="707070"/>
            </w:tcBorders>
            <w:hideMark/>
          </w:tcPr>
          <w:p w14:paraId="77A89CC5" w14:textId="170B9DFD" w:rsidR="00473298" w:rsidRDefault="00473298" w:rsidP="007D471E">
            <w:pPr>
              <w:rPr>
                <w:szCs w:val="18"/>
                <w:lang w:val="en-AU"/>
              </w:rPr>
            </w:pPr>
            <w:r>
              <w:rPr>
                <w:szCs w:val="18"/>
                <w:lang w:val="en-AU"/>
              </w:rPr>
              <w:t>-23,</w:t>
            </w:r>
            <w:r w:rsidR="008745B7">
              <w:rPr>
                <w:szCs w:val="18"/>
                <w:lang w:val="en-AU"/>
              </w:rPr>
              <w:t>09</w:t>
            </w:r>
            <w:r w:rsidR="007D471E">
              <w:rPr>
                <w:szCs w:val="18"/>
                <w:lang w:val="en-AU"/>
              </w:rPr>
              <w:t>2</w:t>
            </w:r>
          </w:p>
        </w:tc>
      </w:tr>
      <w:tr w:rsidR="00473298" w14:paraId="7334495E"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tcPr>
          <w:p w14:paraId="1945A2A2" w14:textId="77777777" w:rsidR="00473298" w:rsidRDefault="00473298">
            <w:pPr>
              <w:rPr>
                <w:b/>
                <w:szCs w:val="18"/>
                <w:lang w:val="en-AU"/>
              </w:rPr>
            </w:pPr>
          </w:p>
        </w:tc>
        <w:tc>
          <w:tcPr>
            <w:tcW w:w="4250" w:type="dxa"/>
            <w:tcBorders>
              <w:top w:val="single" w:sz="2" w:space="0" w:color="707070"/>
              <w:left w:val="single" w:sz="2" w:space="0" w:color="707070"/>
              <w:bottom w:val="single" w:sz="2" w:space="0" w:color="707070"/>
              <w:right w:val="single" w:sz="2" w:space="0" w:color="707070"/>
            </w:tcBorders>
            <w:hideMark/>
          </w:tcPr>
          <w:p w14:paraId="1F7CDD3F" w14:textId="77777777" w:rsidR="00473298" w:rsidRDefault="00473298">
            <w:pPr>
              <w:rPr>
                <w:b/>
                <w:szCs w:val="18"/>
                <w:lang w:val="en-AU"/>
              </w:rPr>
            </w:pPr>
            <w:r>
              <w:rPr>
                <w:b/>
                <w:szCs w:val="18"/>
                <w:lang w:val="en-AU"/>
              </w:rPr>
              <w:t>Budget revenue</w:t>
            </w:r>
          </w:p>
        </w:tc>
        <w:tc>
          <w:tcPr>
            <w:tcW w:w="2126" w:type="dxa"/>
            <w:tcBorders>
              <w:top w:val="single" w:sz="2" w:space="0" w:color="707070"/>
              <w:left w:val="single" w:sz="2" w:space="0" w:color="707070"/>
              <w:bottom w:val="single" w:sz="2" w:space="0" w:color="707070"/>
              <w:right w:val="single" w:sz="2" w:space="0" w:color="707070"/>
            </w:tcBorders>
            <w:vAlign w:val="bottom"/>
            <w:hideMark/>
          </w:tcPr>
          <w:p w14:paraId="14407CCD" w14:textId="77777777" w:rsidR="00473298" w:rsidRDefault="00473298">
            <w:pPr>
              <w:rPr>
                <w:szCs w:val="18"/>
                <w:lang w:val="en-AU"/>
              </w:rPr>
            </w:pPr>
            <w:r>
              <w:rPr>
                <w:rFonts w:ascii="Calibri" w:hAnsi="Calibri" w:cs="Calibri"/>
                <w:color w:val="000000"/>
                <w:sz w:val="22"/>
              </w:rPr>
              <w:t>4,400</w:t>
            </w:r>
          </w:p>
        </w:tc>
        <w:tc>
          <w:tcPr>
            <w:tcW w:w="2268" w:type="dxa"/>
            <w:tcBorders>
              <w:top w:val="single" w:sz="2" w:space="0" w:color="707070"/>
              <w:left w:val="single" w:sz="2" w:space="0" w:color="707070"/>
              <w:bottom w:val="single" w:sz="2" w:space="0" w:color="707070"/>
              <w:right w:val="single" w:sz="2" w:space="0" w:color="707070"/>
            </w:tcBorders>
            <w:vAlign w:val="bottom"/>
            <w:hideMark/>
          </w:tcPr>
          <w:p w14:paraId="09007FD2" w14:textId="66923BA3" w:rsidR="00473298" w:rsidRDefault="00473298" w:rsidP="008745B7">
            <w:pPr>
              <w:rPr>
                <w:szCs w:val="18"/>
                <w:lang w:val="en-AU"/>
              </w:rPr>
            </w:pPr>
            <w:r>
              <w:rPr>
                <w:rFonts w:ascii="Calibri" w:hAnsi="Calibri" w:cs="Calibri"/>
                <w:color w:val="000000"/>
                <w:sz w:val="22"/>
              </w:rPr>
              <w:t>2</w:t>
            </w:r>
            <w:r w:rsidR="008745B7">
              <w:rPr>
                <w:rFonts w:ascii="Calibri" w:hAnsi="Calibri" w:cs="Calibri"/>
                <w:color w:val="000000"/>
                <w:sz w:val="22"/>
              </w:rPr>
              <w:t>0</w:t>
            </w:r>
            <w:r>
              <w:rPr>
                <w:rFonts w:ascii="Calibri" w:hAnsi="Calibri" w:cs="Calibri"/>
                <w:color w:val="000000"/>
                <w:sz w:val="22"/>
              </w:rPr>
              <w:t>,</w:t>
            </w:r>
            <w:r w:rsidR="008745B7">
              <w:rPr>
                <w:rFonts w:ascii="Calibri" w:hAnsi="Calibri" w:cs="Calibri"/>
                <w:color w:val="000000"/>
                <w:sz w:val="22"/>
              </w:rPr>
              <w:t>3</w:t>
            </w:r>
            <w:r>
              <w:rPr>
                <w:rFonts w:ascii="Calibri" w:hAnsi="Calibri" w:cs="Calibri"/>
                <w:color w:val="000000"/>
                <w:sz w:val="22"/>
              </w:rPr>
              <w:t>00</w:t>
            </w:r>
          </w:p>
        </w:tc>
      </w:tr>
      <w:tr w:rsidR="00473298" w14:paraId="65B45F57" w14:textId="77777777" w:rsidTr="00473298">
        <w:trPr>
          <w:trHeight w:val="370"/>
        </w:trPr>
        <w:tc>
          <w:tcPr>
            <w:tcW w:w="1134" w:type="dxa"/>
            <w:tcBorders>
              <w:top w:val="single" w:sz="2" w:space="0" w:color="707070"/>
              <w:left w:val="single" w:sz="2" w:space="0" w:color="707070"/>
              <w:bottom w:val="single" w:sz="2" w:space="0" w:color="707070"/>
              <w:right w:val="single" w:sz="2" w:space="0" w:color="707070"/>
            </w:tcBorders>
          </w:tcPr>
          <w:p w14:paraId="37EF9030" w14:textId="77777777" w:rsidR="00473298" w:rsidRDefault="00473298">
            <w:pPr>
              <w:rPr>
                <w:szCs w:val="18"/>
                <w:lang w:val="en-AU"/>
              </w:rPr>
            </w:pPr>
          </w:p>
        </w:tc>
        <w:tc>
          <w:tcPr>
            <w:tcW w:w="4250" w:type="dxa"/>
            <w:tcBorders>
              <w:top w:val="single" w:sz="2" w:space="0" w:color="707070"/>
              <w:left w:val="single" w:sz="2" w:space="0" w:color="707070"/>
              <w:bottom w:val="single" w:sz="2" w:space="0" w:color="707070"/>
              <w:right w:val="single" w:sz="2" w:space="0" w:color="707070"/>
            </w:tcBorders>
            <w:hideMark/>
          </w:tcPr>
          <w:p w14:paraId="7C7B50C8" w14:textId="77777777" w:rsidR="00473298" w:rsidRDefault="00473298">
            <w:pPr>
              <w:rPr>
                <w:b/>
                <w:szCs w:val="18"/>
                <w:lang w:val="en-AU"/>
              </w:rPr>
            </w:pPr>
            <w:r>
              <w:rPr>
                <w:b/>
                <w:szCs w:val="18"/>
                <w:lang w:val="en-AU"/>
              </w:rPr>
              <w:t xml:space="preserve">Budget impact </w:t>
            </w:r>
            <w:r>
              <w:rPr>
                <w:b/>
                <w:szCs w:val="18"/>
                <w:lang w:val="en-AU"/>
              </w:rPr>
              <w:br/>
            </w:r>
            <w:r>
              <w:rPr>
                <w:rFonts w:eastAsia="Verdana" w:cs="Verdana"/>
                <w:b/>
                <w:szCs w:val="18"/>
                <w:lang w:val="en-AU"/>
              </w:rPr>
              <w:t>(net of un-costed measures)</w:t>
            </w:r>
          </w:p>
        </w:tc>
        <w:tc>
          <w:tcPr>
            <w:tcW w:w="2126" w:type="dxa"/>
            <w:tcBorders>
              <w:top w:val="single" w:sz="2" w:space="0" w:color="707070"/>
              <w:left w:val="single" w:sz="2" w:space="0" w:color="707070"/>
              <w:bottom w:val="single" w:sz="2" w:space="0" w:color="707070"/>
              <w:right w:val="single" w:sz="2" w:space="0" w:color="707070"/>
            </w:tcBorders>
            <w:vAlign w:val="bottom"/>
            <w:hideMark/>
          </w:tcPr>
          <w:p w14:paraId="21D71693" w14:textId="1306C33F" w:rsidR="00473298" w:rsidRDefault="00473298" w:rsidP="008745B7">
            <w:pPr>
              <w:rPr>
                <w:szCs w:val="18"/>
                <w:lang w:val="en-AU"/>
              </w:rPr>
            </w:pPr>
            <w:r>
              <w:rPr>
                <w:rFonts w:ascii="Calibri" w:hAnsi="Calibri" w:cs="Calibri"/>
                <w:b/>
                <w:color w:val="000000"/>
                <w:sz w:val="22"/>
              </w:rPr>
              <w:t>-9,0</w:t>
            </w:r>
            <w:r w:rsidR="008745B7">
              <w:rPr>
                <w:rFonts w:ascii="Calibri" w:hAnsi="Calibri" w:cs="Calibri"/>
                <w:b/>
                <w:color w:val="000000"/>
                <w:sz w:val="22"/>
              </w:rPr>
              <w:t>39</w:t>
            </w:r>
          </w:p>
        </w:tc>
        <w:tc>
          <w:tcPr>
            <w:tcW w:w="2268" w:type="dxa"/>
            <w:tcBorders>
              <w:top w:val="single" w:sz="2" w:space="0" w:color="707070"/>
              <w:left w:val="single" w:sz="2" w:space="0" w:color="707070"/>
              <w:bottom w:val="single" w:sz="2" w:space="0" w:color="707070"/>
              <w:right w:val="single" w:sz="2" w:space="0" w:color="707070"/>
            </w:tcBorders>
            <w:vAlign w:val="bottom"/>
            <w:hideMark/>
          </w:tcPr>
          <w:p w14:paraId="5389BA13" w14:textId="0E967063" w:rsidR="00473298" w:rsidRDefault="00473298" w:rsidP="00E41130">
            <w:pPr>
              <w:rPr>
                <w:szCs w:val="18"/>
                <w:lang w:val="en-AU"/>
              </w:rPr>
            </w:pPr>
            <w:r>
              <w:rPr>
                <w:rFonts w:ascii="Calibri" w:hAnsi="Calibri" w:cs="Calibri"/>
                <w:b/>
                <w:color w:val="000000"/>
                <w:sz w:val="22"/>
              </w:rPr>
              <w:t>-</w:t>
            </w:r>
            <w:r w:rsidR="008745B7">
              <w:rPr>
                <w:rFonts w:ascii="Calibri" w:hAnsi="Calibri" w:cs="Calibri"/>
                <w:b/>
                <w:color w:val="000000"/>
                <w:sz w:val="22"/>
              </w:rPr>
              <w:t>2,79</w:t>
            </w:r>
            <w:r w:rsidR="00E41130">
              <w:rPr>
                <w:rFonts w:ascii="Calibri" w:hAnsi="Calibri" w:cs="Calibri"/>
                <w:b/>
                <w:color w:val="000000"/>
                <w:sz w:val="22"/>
              </w:rPr>
              <w:t>2</w:t>
            </w:r>
          </w:p>
        </w:tc>
      </w:tr>
    </w:tbl>
    <w:p w14:paraId="6357E45D" w14:textId="77777777" w:rsidR="00F3461C" w:rsidRDefault="00F3461C" w:rsidP="00473298">
      <w:pPr>
        <w:rPr>
          <w:sz w:val="18"/>
          <w:szCs w:val="18"/>
        </w:rPr>
      </w:pPr>
    </w:p>
    <w:p w14:paraId="59EB43FD" w14:textId="7FFD5A69" w:rsidR="00473298" w:rsidRDefault="00F3461C" w:rsidP="00473298">
      <w:r>
        <w:rPr>
          <w:sz w:val="18"/>
          <w:szCs w:val="18"/>
        </w:rPr>
        <w:t>N</w:t>
      </w:r>
      <w:r w:rsidR="00473298">
        <w:rPr>
          <w:sz w:val="18"/>
          <w:szCs w:val="18"/>
        </w:rPr>
        <w:t>ot available</w:t>
      </w:r>
      <w:r>
        <w:rPr>
          <w:sz w:val="18"/>
          <w:szCs w:val="18"/>
        </w:rPr>
        <w:t>:</w:t>
      </w:r>
      <w:r w:rsidR="00473298">
        <w:rPr>
          <w:sz w:val="18"/>
          <w:szCs w:val="18"/>
        </w:rPr>
        <w:t xml:space="preserve"> Either there are insufficient data available to estimate the costs or the costs will be variable depending on need in any given year, for example in case of natural disasters.</w:t>
      </w:r>
      <w:r w:rsidR="00473298">
        <w:rPr>
          <w:sz w:val="18"/>
          <w:szCs w:val="18"/>
        </w:rPr>
        <w:br/>
        <w:t>Fiscal costs are expressed as negative values and savings or revenue increases as positive values.</w:t>
      </w:r>
      <w:r w:rsidR="00473298">
        <w:rPr>
          <w:sz w:val="18"/>
          <w:szCs w:val="18"/>
        </w:rPr>
        <w:br/>
      </w:r>
      <w:r w:rsidR="00473298">
        <w:rPr>
          <w:rFonts w:eastAsia="Verdana" w:cs="Verdana"/>
          <w:sz w:val="18"/>
          <w:szCs w:val="18"/>
        </w:rPr>
        <w:t xml:space="preserve">Negative figures are expenditure increases; positive figures in </w:t>
      </w:r>
      <w:r w:rsidR="00473298">
        <w:rPr>
          <w:rFonts w:eastAsia="Verdana" w:cs="Verdana"/>
          <w:i/>
          <w:sz w:val="18"/>
          <w:szCs w:val="18"/>
        </w:rPr>
        <w:t>italics</w:t>
      </w:r>
      <w:r w:rsidR="00473298">
        <w:rPr>
          <w:rFonts w:eastAsia="Verdana" w:cs="Verdana"/>
          <w:sz w:val="18"/>
          <w:szCs w:val="18"/>
        </w:rPr>
        <w:t xml:space="preserve"> are savings measures.</w:t>
      </w:r>
      <w:r w:rsidR="00473298">
        <w:rPr>
          <w:rFonts w:eastAsia="Verdana" w:cs="Verdana"/>
          <w:sz w:val="18"/>
          <w:szCs w:val="18"/>
        </w:rPr>
        <w:br/>
        <w:t>Estimates are rounded up or down to nearest whole number, and to nearest $10 million where impact is over $100 million</w:t>
      </w:r>
    </w:p>
    <w:p w14:paraId="76F1C2D7" w14:textId="47EC9A8F" w:rsidR="15F2D75C" w:rsidRPr="003053A7" w:rsidRDefault="15F2D75C" w:rsidP="7B33A330">
      <w:pPr>
        <w:rPr>
          <w:sz w:val="18"/>
          <w:szCs w:val="18"/>
        </w:rPr>
      </w:pPr>
    </w:p>
    <w:p w14:paraId="1FC39945" w14:textId="77777777" w:rsidR="00BE6CB1" w:rsidRDefault="00BE6CB1" w:rsidP="00BE6CB1">
      <w:r>
        <w:br w:type="page"/>
      </w:r>
    </w:p>
    <w:p w14:paraId="44E871BC" w14:textId="5E987F43" w:rsidR="0068094C" w:rsidRDefault="0068094C" w:rsidP="0068094C"/>
    <w:p w14:paraId="432758FE" w14:textId="0150B81F" w:rsidR="0068094C" w:rsidRDefault="0068094C" w:rsidP="004C47B2">
      <w:pPr>
        <w:pStyle w:val="Heading1"/>
      </w:pPr>
      <w:r>
        <w:t xml:space="preserve"> </w:t>
      </w:r>
      <w:bookmarkStart w:id="15" w:name="_Toc63685911"/>
      <w:r w:rsidR="7E907BD6">
        <w:t xml:space="preserve">A </w:t>
      </w:r>
      <w:r w:rsidR="71CA5F26">
        <w:t>p</w:t>
      </w:r>
      <w:r w:rsidR="7E907BD6">
        <w:t xml:space="preserve">ermanent </w:t>
      </w:r>
      <w:r w:rsidR="1453A5B2">
        <w:t>b</w:t>
      </w:r>
      <w:r w:rsidR="7E907BD6">
        <w:t xml:space="preserve">oost to the </w:t>
      </w:r>
      <w:r w:rsidR="7A369AA7">
        <w:t>l</w:t>
      </w:r>
      <w:r w:rsidR="7E907BD6">
        <w:t xml:space="preserve">owest </w:t>
      </w:r>
      <w:r w:rsidR="4E8DB20F">
        <w:t>i</w:t>
      </w:r>
      <w:r w:rsidR="7E907BD6">
        <w:t>ncomes</w:t>
      </w:r>
      <w:bookmarkEnd w:id="15"/>
    </w:p>
    <w:p w14:paraId="4D680DF6" w14:textId="744995F9" w:rsidR="0068094C" w:rsidRDefault="00977074" w:rsidP="000C6B7B">
      <w:pPr>
        <w:pStyle w:val="Heading2"/>
        <w:numPr>
          <w:ilvl w:val="0"/>
          <w:numId w:val="0"/>
        </w:numPr>
        <w:ind w:left="1276" w:hanging="916"/>
      </w:pPr>
      <w:bookmarkStart w:id="16" w:name="_Toc63685912"/>
      <w:r>
        <w:t>Summary</w:t>
      </w:r>
      <w:bookmarkEnd w:id="16"/>
    </w:p>
    <w:p w14:paraId="2EA66AE3" w14:textId="37BD5901" w:rsidR="446FD0C6" w:rsidRPr="003E1288" w:rsidRDefault="446FD0C6" w:rsidP="00600920">
      <w:pPr>
        <w:pStyle w:val="ListParagraph"/>
      </w:pPr>
      <w:r w:rsidRPr="003E1288">
        <w:t xml:space="preserve">More than 3 million people, including 1.1 million children rely on the lifeline income support payments </w:t>
      </w:r>
      <w:r w:rsidR="00600920">
        <w:t>that the government chose to temporarily double in response to the pandemic’s economic shutdowns. Despite some improvement in economic conditions, t</w:t>
      </w:r>
      <w:r w:rsidR="3C6F1EB5" w:rsidRPr="003E1288">
        <w:t xml:space="preserve">he number of people receiving </w:t>
      </w:r>
      <w:proofErr w:type="spellStart"/>
      <w:r w:rsidR="3C6F1EB5" w:rsidRPr="003E1288">
        <w:t>JobSeeker</w:t>
      </w:r>
      <w:proofErr w:type="spellEnd"/>
      <w:r w:rsidR="3C6F1EB5" w:rsidRPr="003E1288">
        <w:t xml:space="preserve"> Payment </w:t>
      </w:r>
      <w:r w:rsidR="00600920">
        <w:t>remains at record highs</w:t>
      </w:r>
      <w:r w:rsidR="3C6F1EB5" w:rsidRPr="003E1288">
        <w:t>. Despit</w:t>
      </w:r>
      <w:r w:rsidR="7126D03E" w:rsidRPr="003E1288">
        <w:t xml:space="preserve">e this, </w:t>
      </w:r>
      <w:r w:rsidR="00600920">
        <w:t>people receiving these lifeline income support payments had their incomes</w:t>
      </w:r>
      <w:r w:rsidR="177DDC84" w:rsidRPr="003E1288">
        <w:t xml:space="preserve"> </w:t>
      </w:r>
      <w:r w:rsidR="00600920">
        <w:t xml:space="preserve">further </w:t>
      </w:r>
      <w:r w:rsidR="177DDC84" w:rsidRPr="003E1288">
        <w:t>cut on 1 January</w:t>
      </w:r>
      <w:r w:rsidR="00600920">
        <w:t>, losing</w:t>
      </w:r>
      <w:r w:rsidR="177DDC84" w:rsidRPr="003E1288">
        <w:t xml:space="preserve"> $100 a fortnight. A single person on </w:t>
      </w:r>
      <w:proofErr w:type="spellStart"/>
      <w:r w:rsidR="177DDC84" w:rsidRPr="003E1288">
        <w:t>JobSeeker</w:t>
      </w:r>
      <w:proofErr w:type="spellEnd"/>
      <w:r w:rsidR="177DDC84" w:rsidRPr="003E1288">
        <w:t xml:space="preserve"> now receives just $51 a day</w:t>
      </w:r>
      <w:r w:rsidR="135079F9" w:rsidRPr="003E1288">
        <w:t>, which is around $360 a week, or</w:t>
      </w:r>
      <w:r w:rsidR="177DDC84" w:rsidRPr="003E1288">
        <w:t xml:space="preserve"> $18,600 a year. </w:t>
      </w:r>
    </w:p>
    <w:p w14:paraId="77A035AF" w14:textId="6D908D0A" w:rsidR="46E6A570" w:rsidRPr="003E1288" w:rsidRDefault="46E6A570" w:rsidP="00843680">
      <w:pPr>
        <w:pStyle w:val="ListParagraph"/>
      </w:pPr>
      <w:r w:rsidRPr="003E1288">
        <w:t xml:space="preserve">These rates are insufficient to cover basic living costs. </w:t>
      </w:r>
      <w:r w:rsidR="2219EE98" w:rsidRPr="003E1288">
        <w:t>For example, m</w:t>
      </w:r>
      <w:r w:rsidRPr="003E1288">
        <w:t xml:space="preserve">edian rents in </w:t>
      </w:r>
      <w:r w:rsidR="23E459C7" w:rsidRPr="003E1288">
        <w:t xml:space="preserve">all </w:t>
      </w:r>
      <w:r w:rsidR="004653F9">
        <w:t xml:space="preserve">capital cities </w:t>
      </w:r>
      <w:r w:rsidR="00600920">
        <w:t xml:space="preserve">now </w:t>
      </w:r>
      <w:r w:rsidRPr="003E1288">
        <w:t xml:space="preserve">exceed the entire </w:t>
      </w:r>
      <w:proofErr w:type="spellStart"/>
      <w:r w:rsidRPr="003E1288">
        <w:t>JobSeeker</w:t>
      </w:r>
      <w:proofErr w:type="spellEnd"/>
      <w:r w:rsidRPr="003E1288">
        <w:t xml:space="preserve"> Payment.</w:t>
      </w:r>
      <w:r w:rsidRPr="003E1288">
        <w:rPr>
          <w:rStyle w:val="FootnoteReference"/>
          <w:b/>
        </w:rPr>
        <w:footnoteReference w:id="3"/>
      </w:r>
      <w:r w:rsidR="00600920">
        <w:t xml:space="preserve"> Anglica</w:t>
      </w:r>
      <w:r w:rsidR="004660C8">
        <w:t>re Australia shows that there are</w:t>
      </w:r>
      <w:r w:rsidR="00600920">
        <w:t xml:space="preserve"> just 13 affordable rentals for someone on the base rate of </w:t>
      </w:r>
      <w:proofErr w:type="spellStart"/>
      <w:r w:rsidR="00600920">
        <w:t>JobSeeker</w:t>
      </w:r>
      <w:proofErr w:type="spellEnd"/>
      <w:r w:rsidR="00600920">
        <w:t xml:space="preserve"> out of 77,000 surveyed.</w:t>
      </w:r>
      <w:r w:rsidR="00600920">
        <w:rPr>
          <w:rStyle w:val="FootnoteReference"/>
        </w:rPr>
        <w:footnoteReference w:id="4"/>
      </w:r>
      <w:r w:rsidR="33C8241A" w:rsidRPr="003E1288">
        <w:t xml:space="preserve"> If </w:t>
      </w:r>
      <w:proofErr w:type="spellStart"/>
      <w:r w:rsidR="33C8241A" w:rsidRPr="003E1288">
        <w:t>JobSeeker</w:t>
      </w:r>
      <w:proofErr w:type="spellEnd"/>
      <w:r w:rsidR="33C8241A" w:rsidRPr="003E1288">
        <w:t xml:space="preserve"> Payment is returned to $40 a day at the end of March (as per current government policy) all </w:t>
      </w:r>
      <w:r w:rsidR="603A7A05" w:rsidRPr="003E1288">
        <w:t xml:space="preserve">but one capital cities’ </w:t>
      </w:r>
      <w:r w:rsidR="33C8241A" w:rsidRPr="003E1288">
        <w:t xml:space="preserve">median rent will exceed the amount received via </w:t>
      </w:r>
      <w:proofErr w:type="spellStart"/>
      <w:r w:rsidR="33C8241A" w:rsidRPr="003E1288">
        <w:t>JobSeeker</w:t>
      </w:r>
      <w:proofErr w:type="spellEnd"/>
      <w:r w:rsidR="33C8241A" w:rsidRPr="003E1288">
        <w:t xml:space="preserve"> Payment</w:t>
      </w:r>
      <w:r w:rsidR="0DB53435" w:rsidRPr="003E1288">
        <w:t xml:space="preserve"> (including Commonwealth Rent Assistance)</w:t>
      </w:r>
      <w:r w:rsidR="1738A6BC" w:rsidRPr="003E1288">
        <w:t xml:space="preserve">. </w:t>
      </w:r>
    </w:p>
    <w:p w14:paraId="5238FB17" w14:textId="4A1B8BF4" w:rsidR="37EE7DE9" w:rsidRPr="003E1288" w:rsidRDefault="37EE7DE9" w:rsidP="00843680">
      <w:pPr>
        <w:pStyle w:val="ListParagraph"/>
      </w:pPr>
      <w:r w:rsidRPr="003E1288">
        <w:t>The Australian Government alleviated poverty for millions of people last year when it doubled income support.</w:t>
      </w:r>
      <w:r w:rsidR="004660C8">
        <w:t xml:space="preserve"> Millions were able to put food on the table and keep a roof over their head.</w:t>
      </w:r>
      <w:r w:rsidRPr="003E1288">
        <w:t xml:space="preserve"> </w:t>
      </w:r>
      <w:r w:rsidR="4F8D7869" w:rsidRPr="003E1288">
        <w:t>We urge the governmen</w:t>
      </w:r>
      <w:r w:rsidR="0961FF23" w:rsidRPr="003E1288">
        <w:t>t</w:t>
      </w:r>
      <w:r w:rsidR="092769BC" w:rsidRPr="003E1288">
        <w:t xml:space="preserve"> to</w:t>
      </w:r>
      <w:r w:rsidR="004660C8">
        <w:t xml:space="preserve"> now permanently and adequately</w:t>
      </w:r>
      <w:r w:rsidR="092769BC" w:rsidRPr="003E1288">
        <w:t xml:space="preserve"> increase these</w:t>
      </w:r>
      <w:r w:rsidR="49AB1427" w:rsidRPr="003E1288">
        <w:t xml:space="preserve"> lifeline payments</w:t>
      </w:r>
      <w:r w:rsidR="491FB1A7" w:rsidRPr="003E1288">
        <w:t xml:space="preserve"> to keep millions of people, including children, afloat. </w:t>
      </w:r>
    </w:p>
    <w:p w14:paraId="144A5D23" w14:textId="77777777" w:rsidR="0068094C" w:rsidRDefault="0068094C" w:rsidP="0068094C">
      <w:pPr>
        <w:pStyle w:val="List3"/>
        <w:ind w:left="0" w:firstLine="0"/>
      </w:pPr>
    </w:p>
    <w:p w14:paraId="2D0E3689" w14:textId="2583E235" w:rsidR="0068094C" w:rsidRPr="00BE6CB1" w:rsidRDefault="0068094C" w:rsidP="003520E9">
      <w:pPr>
        <w:pStyle w:val="Heading2"/>
      </w:pPr>
      <w:bookmarkStart w:id="17" w:name="_Toc63685913"/>
      <w:r>
        <w:t>Introduction</w:t>
      </w:r>
      <w:bookmarkEnd w:id="17"/>
    </w:p>
    <w:p w14:paraId="09FF8F2D" w14:textId="09067DCE" w:rsidR="004660C8" w:rsidRDefault="5F97F026" w:rsidP="7B33A330">
      <w:r>
        <w:t xml:space="preserve">ACOSS welcomed the Federal Government’s COVID-19 response package that </w:t>
      </w:r>
      <w:r w:rsidR="004660C8">
        <w:t>doubled</w:t>
      </w:r>
      <w:r>
        <w:t xml:space="preserve"> </w:t>
      </w:r>
      <w:proofErr w:type="spellStart"/>
      <w:r>
        <w:t>JobSeeker</w:t>
      </w:r>
      <w:proofErr w:type="spellEnd"/>
      <w:r>
        <w:t xml:space="preserve"> and related payments. </w:t>
      </w:r>
      <w:r w:rsidR="3359AF3B">
        <w:t xml:space="preserve">The increased income support had a profound effect in homes across the country. </w:t>
      </w:r>
      <w:r w:rsidR="00515F9E">
        <w:t xml:space="preserve">People </w:t>
      </w:r>
      <w:r w:rsidR="004653F9">
        <w:t>were</w:t>
      </w:r>
      <w:r w:rsidR="00515F9E">
        <w:t xml:space="preserve"> in a much better position to put and keep a roof over their heads. </w:t>
      </w:r>
      <w:r w:rsidR="3359AF3B">
        <w:t>93% said they could afford fresh fruit and vegetables</w:t>
      </w:r>
      <w:r w:rsidR="004653F9">
        <w:t xml:space="preserve"> thanks to the doubling of income support</w:t>
      </w:r>
      <w:r w:rsidR="002155F2">
        <w:t>.</w:t>
      </w:r>
      <w:r w:rsidR="002155F2">
        <w:rPr>
          <w:rStyle w:val="FootnoteReference"/>
        </w:rPr>
        <w:footnoteReference w:id="5"/>
      </w:r>
      <w:r w:rsidR="002155F2">
        <w:t xml:space="preserve"> </w:t>
      </w:r>
      <w:r w:rsidR="004660C8">
        <w:t xml:space="preserve">People spoke about how they could buy birthday presents for their kids, buy a new t-shirt, and a bag of oranges. Women told us that the doubling of income support allowed them to escape domestic violence. </w:t>
      </w:r>
    </w:p>
    <w:p w14:paraId="261ADA49" w14:textId="1CB7A7C3" w:rsidR="5F97F026" w:rsidRDefault="3359AF3B" w:rsidP="7B33A330">
      <w:r>
        <w:t>This compares with</w:t>
      </w:r>
      <w:r w:rsidR="25401A73">
        <w:t xml:space="preserve"> </w:t>
      </w:r>
      <w:r w:rsidR="003A57DB">
        <w:t xml:space="preserve">2019 data that showed </w:t>
      </w:r>
      <w:r w:rsidR="00BE6E2D">
        <w:t>more than 80%</w:t>
      </w:r>
      <w:r>
        <w:t xml:space="preserve"> </w:t>
      </w:r>
      <w:r w:rsidR="0405EAC7">
        <w:t>of people</w:t>
      </w:r>
      <w:r w:rsidR="00BB3ED9">
        <w:t xml:space="preserve"> receiving the old brutal rate of</w:t>
      </w:r>
      <w:r w:rsidR="0405EAC7">
        <w:t xml:space="preserve"> </w:t>
      </w:r>
      <w:proofErr w:type="spellStart"/>
      <w:r w:rsidR="0405EAC7">
        <w:t>Newstart</w:t>
      </w:r>
      <w:proofErr w:type="spellEnd"/>
      <w:r w:rsidR="0405EAC7">
        <w:t xml:space="preserve"> </w:t>
      </w:r>
      <w:r>
        <w:t>had to regularly skip meals</w:t>
      </w:r>
      <w:r w:rsidR="004660C8">
        <w:t xml:space="preserve">, with many </w:t>
      </w:r>
      <w:r w:rsidR="00BB3ED9">
        <w:t>often</w:t>
      </w:r>
      <w:r w:rsidR="004660C8">
        <w:t xml:space="preserve"> not eating at all</w:t>
      </w:r>
      <w:r>
        <w:t>.</w:t>
      </w:r>
      <w:r w:rsidR="00985B9B">
        <w:rPr>
          <w:rStyle w:val="FootnoteReference"/>
        </w:rPr>
        <w:footnoteReference w:id="6"/>
      </w:r>
    </w:p>
    <w:p w14:paraId="3FB73FA0" w14:textId="5240D8F6" w:rsidR="45FD5BCB" w:rsidRDefault="00AE0B2F" w:rsidP="7B33A330">
      <w:r>
        <w:t xml:space="preserve">Despite the enormous benefits </w:t>
      </w:r>
      <w:r w:rsidR="00027A88">
        <w:t xml:space="preserve">delivered by higher rates of income support, </w:t>
      </w:r>
      <w:r w:rsidR="004660C8">
        <w:t xml:space="preserve">the government has gradually cut back </w:t>
      </w:r>
      <w:r w:rsidR="00027A88">
        <w:t>the Coronavirus Supplement</w:t>
      </w:r>
      <w:r w:rsidR="004660C8">
        <w:t xml:space="preserve">. </w:t>
      </w:r>
      <w:r>
        <w:t>More than 2</w:t>
      </w:r>
      <w:r w:rsidR="45FD5BCB">
        <w:t xml:space="preserve"> million </w:t>
      </w:r>
      <w:r w:rsidR="45FD5BCB">
        <w:lastRenderedPageBreak/>
        <w:t xml:space="preserve">people had their incomes cut </w:t>
      </w:r>
      <w:r w:rsidR="004660C8">
        <w:t xml:space="preserve">by $50 a week </w:t>
      </w:r>
      <w:r w:rsidR="00BE6E2D">
        <w:t>on 1 January 2021, including</w:t>
      </w:r>
      <w:r w:rsidR="004660C8">
        <w:t xml:space="preserve"> parents of</w:t>
      </w:r>
      <w:r w:rsidR="00BE6E2D">
        <w:t xml:space="preserve"> 1.1</w:t>
      </w:r>
      <w:r w:rsidR="45FD5BCB">
        <w:t xml:space="preserve"> million children. </w:t>
      </w:r>
    </w:p>
    <w:p w14:paraId="10EA2D63" w14:textId="1CD0419B" w:rsidR="68E8D127" w:rsidRDefault="7F8697C1" w:rsidP="7B33A330">
      <w:r>
        <w:t xml:space="preserve">The payment cuts over the last few months mean that single people on </w:t>
      </w:r>
      <w:proofErr w:type="spellStart"/>
      <w:r>
        <w:t>JobSeeker</w:t>
      </w:r>
      <w:proofErr w:type="spellEnd"/>
      <w:r>
        <w:t xml:space="preserve"> </w:t>
      </w:r>
      <w:r w:rsidR="004B3E0A">
        <w:t xml:space="preserve">now </w:t>
      </w:r>
      <w:r>
        <w:t>receive just $51 a day</w:t>
      </w:r>
      <w:r w:rsidR="25D40086">
        <w:t xml:space="preserve"> ($36</w:t>
      </w:r>
      <w:r w:rsidR="16F9AA62">
        <w:t>0</w:t>
      </w:r>
      <w:r w:rsidR="25D40086">
        <w:t>pw)</w:t>
      </w:r>
      <w:r w:rsidR="00027A88">
        <w:t xml:space="preserve"> down from $80 a day in April 2020</w:t>
      </w:r>
      <w:r>
        <w:t>.</w:t>
      </w:r>
      <w:r w:rsidR="410DF255">
        <w:t xml:space="preserve"> For context, median rent for homes </w:t>
      </w:r>
      <w:r w:rsidR="0073744E">
        <w:t>in all capital cities is between $390 (Adelaide) and $525 (ACT) per week</w:t>
      </w:r>
      <w:r w:rsidR="057D50F9">
        <w:t>.</w:t>
      </w:r>
      <w:r w:rsidR="68E8D127" w:rsidRPr="7B33A330">
        <w:rPr>
          <w:rStyle w:val="FootnoteReference"/>
        </w:rPr>
        <w:footnoteReference w:id="7"/>
      </w:r>
      <w:r w:rsidR="057D50F9">
        <w:t xml:space="preserve"> </w:t>
      </w:r>
      <w:r>
        <w:t>This d</w:t>
      </w:r>
      <w:r w:rsidR="44485A14">
        <w:t xml:space="preserve">emonstrates that </w:t>
      </w:r>
      <w:r w:rsidR="5F97F026">
        <w:t xml:space="preserve">current </w:t>
      </w:r>
      <w:r w:rsidR="5B423B20">
        <w:t>rates of payment do</w:t>
      </w:r>
      <w:r w:rsidR="004660C8">
        <w:t xml:space="preserve"> not reflect </w:t>
      </w:r>
      <w:r w:rsidR="004B3E0A">
        <w:t>costs faced</w:t>
      </w:r>
      <w:r w:rsidR="004660C8">
        <w:t>.</w:t>
      </w:r>
      <w:r w:rsidR="5F97F026">
        <w:t xml:space="preserve"> </w:t>
      </w:r>
      <w:r w:rsidR="004660C8">
        <w:t>We also know that t</w:t>
      </w:r>
      <w:r w:rsidR="5F97F026">
        <w:t xml:space="preserve">he proposed </w:t>
      </w:r>
      <w:r w:rsidR="64F5E77B">
        <w:t>return to $40 a day</w:t>
      </w:r>
      <w:r w:rsidR="5F97F026">
        <w:t xml:space="preserve"> will </w:t>
      </w:r>
      <w:r w:rsidR="18BF5A29">
        <w:t>massively increase poverty levels compared with before COVID-19</w:t>
      </w:r>
      <w:r w:rsidR="004660C8">
        <w:t>,</w:t>
      </w:r>
      <w:r w:rsidR="18BF5A29">
        <w:t xml:space="preserve"> as there are more people relying on these lifeline payments. </w:t>
      </w:r>
    </w:p>
    <w:p w14:paraId="3E3C6545" w14:textId="247DF950" w:rsidR="004660C8" w:rsidRDefault="004660C8" w:rsidP="7B33A330">
      <w:r>
        <w:t xml:space="preserve">Unless the government acts, </w:t>
      </w:r>
      <w:proofErr w:type="spellStart"/>
      <w:r>
        <w:t>JobSeeker</w:t>
      </w:r>
      <w:proofErr w:type="spellEnd"/>
      <w:r>
        <w:t xml:space="preserve"> Payment will return to its old brutal </w:t>
      </w:r>
      <w:proofErr w:type="spellStart"/>
      <w:r>
        <w:t>Newstart</w:t>
      </w:r>
      <w:proofErr w:type="spellEnd"/>
      <w:r>
        <w:t xml:space="preserve"> rate of $40 a day at the end of March</w:t>
      </w:r>
      <w:r w:rsidR="00F86A6B">
        <w:t>, with a record number of people relying on it</w:t>
      </w:r>
      <w:r>
        <w:t>. We cannot allow this to happen. There is a broad consensus that unemployment and related payments must be permanently increased.</w:t>
      </w:r>
    </w:p>
    <w:p w14:paraId="75CB13A8" w14:textId="45C8EA6B" w:rsidR="7B33A330" w:rsidRDefault="00F86A6B" w:rsidP="7B33A330">
      <w:r>
        <w:t xml:space="preserve">As a matter </w:t>
      </w:r>
      <w:proofErr w:type="spellStart"/>
      <w:r>
        <w:t>if</w:t>
      </w:r>
      <w:proofErr w:type="spellEnd"/>
      <w:r>
        <w:t xml:space="preserve"> urgency, the government must</w:t>
      </w:r>
      <w:r w:rsidR="004660C8">
        <w:t xml:space="preserve"> permanently and adequately increase payments. Temporary assistance measures do not provide the certainty and security people need to cope with the health and economic crises we face. Temporary assistance means that people cannot plan their budgets, make decisions about renewing leases or determine whether they will have enough income for the start of the school year.</w:t>
      </w:r>
      <w:r w:rsidR="00EB5F09">
        <w:t xml:space="preserve"> The government must right the number one fairness fail in our community and deliver a permanent and adequate increase to unemployment and related payments so that everyone can cover the basics.  </w:t>
      </w:r>
      <w:r w:rsidR="004660C8">
        <w:t xml:space="preserve"> </w:t>
      </w:r>
    </w:p>
    <w:p w14:paraId="67072661" w14:textId="34865324" w:rsidR="00FD1810" w:rsidRDefault="6A6252B5" w:rsidP="003520E9">
      <w:pPr>
        <w:pStyle w:val="Heading2"/>
      </w:pPr>
      <w:bookmarkStart w:id="18" w:name="_Toc63685914"/>
      <w:r>
        <w:t>E</w:t>
      </w:r>
      <w:r w:rsidR="17B6E98A">
        <w:t>nsuring everyone has enough to cover the basics</w:t>
      </w:r>
      <w:bookmarkEnd w:id="18"/>
    </w:p>
    <w:p w14:paraId="302B7BC4" w14:textId="20EA6438" w:rsidR="22239FBF" w:rsidRDefault="22239FBF">
      <w:r>
        <w:t xml:space="preserve">ACOSS recommends the following payment reforms to take effect </w:t>
      </w:r>
      <w:r w:rsidR="002B237C">
        <w:t>immediately</w:t>
      </w:r>
      <w:r w:rsidR="2E656A07">
        <w:t>:</w:t>
      </w:r>
      <w:r>
        <w:t xml:space="preserve"> </w:t>
      </w:r>
    </w:p>
    <w:p w14:paraId="1E6C1653" w14:textId="6A4CCC44" w:rsidR="22239FBF" w:rsidRPr="0073744E" w:rsidRDefault="22239FBF" w:rsidP="00F13F51">
      <w:pPr>
        <w:pStyle w:val="ListParagraph"/>
        <w:numPr>
          <w:ilvl w:val="0"/>
          <w:numId w:val="15"/>
        </w:numPr>
        <w:rPr>
          <w:rFonts w:asciiTheme="minorHAnsi" w:eastAsiaTheme="minorEastAsia" w:hAnsiTheme="minorHAnsi"/>
        </w:rPr>
      </w:pPr>
      <w:r w:rsidRPr="0073744E">
        <w:t>Adequate and fair payment rates</w:t>
      </w:r>
      <w:r w:rsidR="33E5ACCE" w:rsidRPr="0073744E">
        <w:t xml:space="preserve">: </w:t>
      </w:r>
      <w:r w:rsidRPr="0073744E">
        <w:t>Set a standard minimum income floor across the working age payments system at the current pension rate (including the Pension Supplement). This is currently $472 per week for a single person.</w:t>
      </w:r>
    </w:p>
    <w:p w14:paraId="12F65DD7" w14:textId="77535201" w:rsidR="22239FBF" w:rsidRPr="0073744E" w:rsidRDefault="22239FBF" w:rsidP="00F13F51">
      <w:pPr>
        <w:pStyle w:val="ListParagraph"/>
        <w:numPr>
          <w:ilvl w:val="0"/>
          <w:numId w:val="15"/>
        </w:numPr>
      </w:pPr>
      <w:r w:rsidRPr="0073744E">
        <w:t>Increase base rates of allowances to this income floor. This would require an increase of $185pw to the single maximum rate of JobSeeker Payment and $235 per week for single, maximum rate of Youth Allowance. This would simplify the income support system, w</w:t>
      </w:r>
      <w:r w:rsidR="00795DE5">
        <w:t>hile securing fairness. (I</w:t>
      </w:r>
      <w:r w:rsidRPr="0073744E">
        <w:t>ncreases</w:t>
      </w:r>
      <w:r w:rsidR="00795DE5">
        <w:t xml:space="preserve"> to the income floor</w:t>
      </w:r>
      <w:r w:rsidRPr="0073744E">
        <w:t xml:space="preserve"> would apply to all allowance payments, including Austudy and Abstudy</w:t>
      </w:r>
      <w:r w:rsidR="00795DE5">
        <w:t>, as well as parenting payment</w:t>
      </w:r>
      <w:r w:rsidRPr="0073744E">
        <w:t>).</w:t>
      </w:r>
    </w:p>
    <w:p w14:paraId="03B12B96" w14:textId="21347861" w:rsidR="22239FBF" w:rsidRPr="0073744E" w:rsidRDefault="22239FBF" w:rsidP="00F13F51">
      <w:pPr>
        <w:pStyle w:val="ListParagraph"/>
        <w:numPr>
          <w:ilvl w:val="0"/>
          <w:numId w:val="15"/>
        </w:numPr>
      </w:pPr>
      <w:r w:rsidRPr="0073744E">
        <w:t>Roll universal payments like the Energy Supplement into base rates of income support to simplify the system, recognising that they are intended to assist with basic household expenses.</w:t>
      </w:r>
    </w:p>
    <w:p w14:paraId="53894776" w14:textId="3A4A54BB" w:rsidR="5D265D43" w:rsidRPr="0073744E" w:rsidRDefault="5D265D43" w:rsidP="00F13F51">
      <w:pPr>
        <w:pStyle w:val="ListParagraph"/>
        <w:numPr>
          <w:ilvl w:val="0"/>
          <w:numId w:val="15"/>
        </w:numPr>
      </w:pPr>
      <w:r w:rsidRPr="0073744E">
        <w:t>I</w:t>
      </w:r>
      <w:r w:rsidR="22239FBF" w:rsidRPr="0073744E">
        <w:t>ndex income support payments twice per year</w:t>
      </w:r>
      <w:r w:rsidR="6225B0F8" w:rsidRPr="0073744E">
        <w:t xml:space="preserve"> </w:t>
      </w:r>
      <w:r w:rsidR="22239FBF" w:rsidRPr="0073744E">
        <w:t>to wages as well as prices.</w:t>
      </w:r>
    </w:p>
    <w:p w14:paraId="58CE5A9C" w14:textId="010228D0" w:rsidR="22239FBF" w:rsidRPr="0073744E" w:rsidRDefault="22239FBF" w:rsidP="00F13F51">
      <w:pPr>
        <w:pStyle w:val="ListParagraph"/>
        <w:numPr>
          <w:ilvl w:val="0"/>
          <w:numId w:val="15"/>
        </w:numPr>
      </w:pPr>
      <w:r w:rsidRPr="0073744E">
        <w:t>Income support payments must not be subject to mandatory cashless debit or income management.</w:t>
      </w:r>
    </w:p>
    <w:p w14:paraId="6C1378F4" w14:textId="77777777" w:rsidR="00F53755" w:rsidRDefault="00F53755" w:rsidP="7B33A330">
      <w:pPr>
        <w:pStyle w:val="List3"/>
      </w:pPr>
    </w:p>
    <w:p w14:paraId="2D6475FB" w14:textId="689C23AB" w:rsidR="5F94FD0F" w:rsidRDefault="5F94FD0F" w:rsidP="00F53755">
      <w:pPr>
        <w:pStyle w:val="List3"/>
        <w:ind w:left="0" w:firstLine="0"/>
      </w:pPr>
      <w:r>
        <w:t xml:space="preserve">For further detail about these recommendations and other key reforms ACOSS proposes for social security, please refer to </w:t>
      </w:r>
      <w:hyperlink r:id="rId16">
        <w:r w:rsidRPr="7B33A330">
          <w:rPr>
            <w:rStyle w:val="Hyperlink"/>
          </w:rPr>
          <w:t>the Next Steps for Income Support briefing note.</w:t>
        </w:r>
      </w:hyperlink>
    </w:p>
    <w:p w14:paraId="463F29E8" w14:textId="1570297E" w:rsidR="0068094C" w:rsidRDefault="00985429" w:rsidP="0068094C">
      <w:pPr>
        <w:pStyle w:val="Recommendation"/>
        <w:rPr>
          <w:color w:val="000000" w:themeColor="text1"/>
        </w:rPr>
      </w:pPr>
      <w:r>
        <w:t>Recommendation 1:</w:t>
      </w:r>
      <w:r w:rsidR="0068094C">
        <w:t xml:space="preserve"> </w:t>
      </w:r>
      <w:r w:rsidR="2927A5DD" w:rsidRPr="7B33A330">
        <w:rPr>
          <w:color w:val="000000" w:themeColor="text1"/>
        </w:rPr>
        <w:t>Permanently increase JobSeeker, Youth Allowance, Parenting Payment and related income support to the same level as the pension plus Pension Supplement, and index these payments to wages as well as prices.</w:t>
      </w:r>
    </w:p>
    <w:p w14:paraId="3B7B4B86" w14:textId="77777777" w:rsidR="0068094C" w:rsidRDefault="0068094C" w:rsidP="0068094C">
      <w:pPr>
        <w:pStyle w:val="Recommendation"/>
        <w:rPr>
          <w:color w:val="000000" w:themeColor="text1"/>
        </w:rPr>
      </w:pPr>
    </w:p>
    <w:p w14:paraId="442440A8" w14:textId="793D9652" w:rsidR="0068094C" w:rsidRPr="00204C41" w:rsidRDefault="0068094C" w:rsidP="00D562C8"/>
    <w:p w14:paraId="5EB347D5" w14:textId="4F89D488" w:rsidR="0068094C" w:rsidRPr="00F03627" w:rsidRDefault="29AE461D" w:rsidP="003520E9">
      <w:pPr>
        <w:pStyle w:val="Heading2"/>
      </w:pPr>
      <w:bookmarkStart w:id="19" w:name="_Toc63685915"/>
      <w:r>
        <w:t>Provide</w:t>
      </w:r>
      <w:r w:rsidR="68EB25C7">
        <w:t xml:space="preserve"> supplementary payments to meet specific need</w:t>
      </w:r>
      <w:bookmarkEnd w:id="19"/>
    </w:p>
    <w:p w14:paraId="4D0DA583" w14:textId="619A2CAA" w:rsidR="0068094C" w:rsidRPr="00F03627" w:rsidRDefault="68EB25C7" w:rsidP="7B33A330">
      <w:r>
        <w:t>In addition to the income floor</w:t>
      </w:r>
      <w:r w:rsidR="23ACA66D">
        <w:t xml:space="preserve"> described above</w:t>
      </w:r>
      <w:r>
        <w:t>, the following supplements should be provided</w:t>
      </w:r>
      <w:r w:rsidR="003E4933">
        <w:t xml:space="preserve"> so that specific financial needs are met</w:t>
      </w:r>
      <w:r>
        <w:t>:</w:t>
      </w:r>
    </w:p>
    <w:p w14:paraId="0286346B" w14:textId="25AC171C" w:rsidR="0068094C" w:rsidRPr="0073744E" w:rsidRDefault="68EB25C7" w:rsidP="00F13F51">
      <w:pPr>
        <w:pStyle w:val="ListParagraph"/>
        <w:numPr>
          <w:ilvl w:val="0"/>
          <w:numId w:val="14"/>
        </w:numPr>
        <w:rPr>
          <w:rFonts w:asciiTheme="minorHAnsi" w:eastAsiaTheme="minorEastAsia" w:hAnsiTheme="minorHAnsi"/>
        </w:rPr>
      </w:pPr>
      <w:r w:rsidRPr="00795DE5">
        <w:rPr>
          <w:b/>
        </w:rPr>
        <w:t>Housing Supplement:</w:t>
      </w:r>
      <w:r w:rsidRPr="0073744E">
        <w:t xml:space="preserve"> Increase the </w:t>
      </w:r>
      <w:r w:rsidR="003E4933">
        <w:t>maximum thresholds</w:t>
      </w:r>
      <w:r w:rsidRPr="0073744E">
        <w:t xml:space="preserve"> of Commonwealth Rent Assistance by 50%</w:t>
      </w:r>
      <w:r w:rsidR="4899C5D5" w:rsidRPr="0073744E">
        <w:t xml:space="preserve"> </w:t>
      </w:r>
      <w:r w:rsidRPr="0073744E">
        <w:t>to more adequately subsidise private rental costs for low-income tenants</w:t>
      </w:r>
      <w:r w:rsidRPr="00802708">
        <w:t xml:space="preserve">. </w:t>
      </w:r>
      <w:r w:rsidR="00675C6B">
        <w:t>(See Chapter 5</w:t>
      </w:r>
      <w:r w:rsidR="00F51AB4" w:rsidRPr="00802708">
        <w:t xml:space="preserve">: </w:t>
      </w:r>
      <w:r w:rsidR="00675C6B">
        <w:t>Make access to housing affordable for people with low incomes</w:t>
      </w:r>
      <w:r w:rsidR="00F51AB4" w:rsidRPr="00802708">
        <w:t>)</w:t>
      </w:r>
      <w:r w:rsidR="00795DE5">
        <w:br/>
      </w:r>
    </w:p>
    <w:p w14:paraId="276A4181" w14:textId="77777777" w:rsidR="00945D9C" w:rsidRDefault="68EB25C7" w:rsidP="00F13F51">
      <w:pPr>
        <w:pStyle w:val="ListParagraph"/>
        <w:numPr>
          <w:ilvl w:val="0"/>
          <w:numId w:val="14"/>
        </w:numPr>
      </w:pPr>
      <w:r w:rsidRPr="00795DE5">
        <w:rPr>
          <w:b/>
        </w:rPr>
        <w:t>Disability and Illness Supplement:</w:t>
      </w:r>
      <w:r w:rsidRPr="0073744E">
        <w:t xml:space="preserve"> Introduce a Cost of Disability and Illness Supplement that recognises the additional costs faced by people with disability. This Supplement should be at least $50 per week.</w:t>
      </w:r>
      <w:r w:rsidR="0068094C" w:rsidRPr="0073744E">
        <w:rPr>
          <w:rStyle w:val="FootnoteReference"/>
          <w:b/>
        </w:rPr>
        <w:footnoteReference w:id="8"/>
      </w:r>
      <w:r w:rsidRPr="0073744E">
        <w:t xml:space="preserve"> This is in addition to ACOSS’s long-standing call for broader access to the Disability Support Pension to avoid people with disability ending up on JobSeeker Payment. </w:t>
      </w:r>
    </w:p>
    <w:p w14:paraId="7290F8C5" w14:textId="319F705E" w:rsidR="0068094C" w:rsidRPr="0073744E" w:rsidRDefault="0068094C" w:rsidP="00945D9C">
      <w:pPr>
        <w:pStyle w:val="ListParagraph"/>
        <w:numPr>
          <w:ilvl w:val="0"/>
          <w:numId w:val="0"/>
        </w:numPr>
        <w:ind w:left="720"/>
      </w:pPr>
    </w:p>
    <w:p w14:paraId="762E5252" w14:textId="4CA69EDD" w:rsidR="0068094C" w:rsidRPr="00F03627" w:rsidRDefault="00304990" w:rsidP="00F13F51">
      <w:pPr>
        <w:pStyle w:val="List3"/>
        <w:numPr>
          <w:ilvl w:val="0"/>
          <w:numId w:val="14"/>
        </w:numPr>
        <w:rPr>
          <w:rFonts w:asciiTheme="minorHAnsi" w:eastAsiaTheme="minorEastAsia" w:hAnsiTheme="minorHAnsi"/>
          <w:szCs w:val="20"/>
        </w:rPr>
      </w:pPr>
      <w:r w:rsidRPr="0073744E">
        <w:rPr>
          <w:b/>
        </w:rPr>
        <w:t>Single Parenting Supplement</w:t>
      </w:r>
      <w:r>
        <w:t xml:space="preserve">: Introduce a Single Parent Supplement that recognises the added costs of single parenthood. The Single Parent Supplement should be at least $200 per week (and must reflect number and age of children). This could be paid via Family Tax Benefit Part B. </w:t>
      </w:r>
    </w:p>
    <w:p w14:paraId="4F256CF6" w14:textId="3CD468C2" w:rsidR="0068094C" w:rsidRPr="00F03627" w:rsidRDefault="0068094C" w:rsidP="7B33A330">
      <w:pPr>
        <w:pStyle w:val="List3"/>
        <w:rPr>
          <w:i/>
          <w:iCs/>
        </w:rPr>
      </w:pPr>
    </w:p>
    <w:p w14:paraId="43CD7093" w14:textId="11D38B28" w:rsidR="7B33A330" w:rsidRDefault="00304990" w:rsidP="7B33A330">
      <w:pPr>
        <w:pStyle w:val="List3"/>
        <w:ind w:left="0" w:firstLine="0"/>
      </w:pPr>
      <w:r w:rsidRPr="7B33A330">
        <w:t>As in other policy areas, we believe government should take the opportunity in its response to the pandemic and high unemployment rates, to reform</w:t>
      </w:r>
      <w:r w:rsidR="0073744E">
        <w:t xml:space="preserve"> social security to remove long</w:t>
      </w:r>
      <w:r w:rsidRPr="7B33A330">
        <w:t xml:space="preserve">standing inequities, needless complexity, and inefficiency. For more information on our proposals for reform of working-age income support, see our brief </w:t>
      </w:r>
      <w:hyperlink r:id="rId17">
        <w:r w:rsidR="3179F80D" w:rsidRPr="7B33A330">
          <w:rPr>
            <w:rStyle w:val="Hyperlink"/>
          </w:rPr>
          <w:t>Next Steps for Income Support</w:t>
        </w:r>
        <w:r w:rsidRPr="7B33A330">
          <w:rPr>
            <w:rStyle w:val="Hyperlink"/>
          </w:rPr>
          <w:t>.</w:t>
        </w:r>
      </w:hyperlink>
    </w:p>
    <w:p w14:paraId="17AD93B2" w14:textId="0A7B579C" w:rsidR="0068094C" w:rsidRDefault="00985429" w:rsidP="0068094C">
      <w:pPr>
        <w:pStyle w:val="Recommendation"/>
        <w:rPr>
          <w:color w:val="000000" w:themeColor="text1"/>
        </w:rPr>
      </w:pPr>
      <w:r>
        <w:t>Recommendation 2:</w:t>
      </w:r>
      <w:r w:rsidR="0068094C">
        <w:t xml:space="preserve"> </w:t>
      </w:r>
      <w:r w:rsidR="784B7DC8" w:rsidRPr="7B33A330">
        <w:rPr>
          <w:color w:val="000000" w:themeColor="text1"/>
        </w:rPr>
        <w:t xml:space="preserve">Provide supplementary payments </w:t>
      </w:r>
      <w:r w:rsidR="64140F87" w:rsidRPr="7B33A330">
        <w:rPr>
          <w:color w:val="000000" w:themeColor="text1"/>
        </w:rPr>
        <w:t>that reflect specific costs faced.</w:t>
      </w:r>
      <w:r w:rsidR="270F0AD7" w:rsidRPr="7B33A330">
        <w:rPr>
          <w:color w:val="000000" w:themeColor="text1"/>
        </w:rPr>
        <w:t xml:space="preserve"> </w:t>
      </w:r>
      <w:r w:rsidR="00EF656B">
        <w:rPr>
          <w:rStyle w:val="FootnoteReference"/>
          <w:color w:val="000000" w:themeColor="text1"/>
        </w:rPr>
        <w:footnoteReference w:id="9"/>
      </w:r>
    </w:p>
    <w:p w14:paraId="520D1C9E" w14:textId="2A17EAF1" w:rsidR="7B33A330" w:rsidRDefault="7B33A330" w:rsidP="7B33A330">
      <w:pPr>
        <w:pStyle w:val="ListNumber"/>
        <w:numPr>
          <w:ilvl w:val="0"/>
          <w:numId w:val="0"/>
        </w:numPr>
        <w:rPr>
          <w:rFonts w:eastAsiaTheme="minorEastAsia"/>
          <w:b/>
          <w:bCs/>
          <w:szCs w:val="20"/>
        </w:rPr>
      </w:pPr>
    </w:p>
    <w:p w14:paraId="61800616" w14:textId="6D482936" w:rsidR="2E9DDD98" w:rsidRDefault="2E9DDD98" w:rsidP="003520E9">
      <w:pPr>
        <w:pStyle w:val="Heading2"/>
      </w:pPr>
      <w:bookmarkStart w:id="20" w:name="_Toc63685916"/>
      <w:r>
        <w:t>Abolish compulsory Cashless Debit Card and Income Management</w:t>
      </w:r>
      <w:bookmarkEnd w:id="20"/>
    </w:p>
    <w:p w14:paraId="28C58D61" w14:textId="77777777" w:rsidR="00E93EFB" w:rsidRDefault="2E9DDD98" w:rsidP="7B33A330">
      <w:pPr>
        <w:pStyle w:val="List3"/>
        <w:ind w:left="0" w:firstLine="0"/>
      </w:pPr>
      <w:r w:rsidRPr="7B33A330">
        <w:t xml:space="preserve">More than 30,000 people across the country have their social security payment quarantined because of where they live, the type of payment they receive and the length of time they have received their payment. This means they lack access to cash to meet regular expenses such as school lunches for children. There is no reliable evidence that this kind of intervention improves people’s lives. </w:t>
      </w:r>
    </w:p>
    <w:p w14:paraId="42B3F152" w14:textId="77777777" w:rsidR="00795DE5" w:rsidRDefault="00795DE5" w:rsidP="7B33A330">
      <w:pPr>
        <w:pStyle w:val="List3"/>
        <w:ind w:left="0" w:firstLine="0"/>
      </w:pPr>
    </w:p>
    <w:p w14:paraId="1980A5FD" w14:textId="3DCD7D0F" w:rsidR="7B33A330" w:rsidRDefault="2E9DDD98" w:rsidP="7B33A330">
      <w:pPr>
        <w:pStyle w:val="List3"/>
        <w:ind w:left="0" w:firstLine="0"/>
      </w:pPr>
      <w:r w:rsidRPr="7B33A330">
        <w:t>The government must abolish mandatory income quarantining and genuinely engage with people affected about how to resolve issues affecting them and their communities.</w:t>
      </w:r>
    </w:p>
    <w:p w14:paraId="6E7AC8EC" w14:textId="7F52DD63" w:rsidR="2E9DDD98" w:rsidRDefault="00985429" w:rsidP="7B33A330">
      <w:pPr>
        <w:pStyle w:val="Recommendation"/>
        <w:rPr>
          <w:bCs/>
          <w:color w:val="auto"/>
        </w:rPr>
      </w:pPr>
      <w:r>
        <w:lastRenderedPageBreak/>
        <w:t>Recommendation 3</w:t>
      </w:r>
      <w:r w:rsidR="2E9DDD98">
        <w:t xml:space="preserve">: </w:t>
      </w:r>
      <w:r w:rsidR="2E9DDD98" w:rsidRPr="7B33A330">
        <w:rPr>
          <w:color w:val="auto"/>
        </w:rPr>
        <w:t>Compulsory income quarantining should cease. People should be given the option to continue cashless debit or income management on a voluntary basis or leave the schemes.</w:t>
      </w:r>
    </w:p>
    <w:p w14:paraId="18C90019" w14:textId="77777777" w:rsidR="7B33A330" w:rsidRDefault="7B33A330" w:rsidP="7B33A330">
      <w:pPr>
        <w:pStyle w:val="Recommendation"/>
        <w:rPr>
          <w:color w:val="000000" w:themeColor="text1"/>
        </w:rPr>
      </w:pPr>
    </w:p>
    <w:p w14:paraId="1035E8F4" w14:textId="559B5C26" w:rsidR="2E9DDD98" w:rsidRDefault="2E9DDD98" w:rsidP="7B33A330">
      <w:pPr>
        <w:pStyle w:val="ListNumber"/>
        <w:numPr>
          <w:ilvl w:val="0"/>
          <w:numId w:val="0"/>
        </w:numPr>
        <w:rPr>
          <w:b/>
          <w:bCs/>
        </w:rPr>
      </w:pPr>
      <w:r w:rsidRPr="7B33A330">
        <w:rPr>
          <w:rFonts w:eastAsiaTheme="minorEastAsia"/>
          <w:b/>
          <w:bCs/>
          <w:color w:val="CE2028"/>
          <w:szCs w:val="20"/>
        </w:rPr>
        <w:t>Budget impact:</w:t>
      </w:r>
      <w:r w:rsidRPr="7B33A330">
        <w:rPr>
          <w:b/>
          <w:bCs/>
        </w:rPr>
        <w:t xml:space="preserve"> </w:t>
      </w:r>
      <w:r w:rsidRPr="002B237C">
        <w:rPr>
          <w:b/>
          <w:bCs/>
          <w:i/>
        </w:rPr>
        <w:t>Revenue neutral: Savings to be re-invested into supporting community-led programs</w:t>
      </w:r>
    </w:p>
    <w:p w14:paraId="5241C521" w14:textId="001C4B67" w:rsidR="7B33A330" w:rsidRDefault="7B33A330" w:rsidP="7B33A330">
      <w:pPr>
        <w:pStyle w:val="ListNumber"/>
        <w:numPr>
          <w:ilvl w:val="0"/>
          <w:numId w:val="0"/>
        </w:numPr>
        <w:rPr>
          <w:rFonts w:eastAsiaTheme="minorEastAsia"/>
          <w:b/>
          <w:bCs/>
          <w:szCs w:val="20"/>
        </w:rPr>
      </w:pPr>
    </w:p>
    <w:p w14:paraId="64C490E2" w14:textId="3487D7A3" w:rsidR="0EA1B877" w:rsidRDefault="0EA1B877" w:rsidP="003520E9">
      <w:pPr>
        <w:pStyle w:val="Heading2"/>
      </w:pPr>
      <w:bookmarkStart w:id="21" w:name="_Toc63685917"/>
      <w:r>
        <w:t>Extend income support to temporary visa holders, people seeking asylum and international students</w:t>
      </w:r>
      <w:bookmarkEnd w:id="21"/>
    </w:p>
    <w:p w14:paraId="73F0AB9B" w14:textId="33A59992" w:rsidR="0EA1B877" w:rsidRDefault="0EA1B877" w:rsidP="7B33A330">
      <w:pPr>
        <w:pStyle w:val="List3"/>
        <w:spacing w:after="0"/>
        <w:ind w:left="0" w:firstLine="0"/>
      </w:pPr>
      <w:r w:rsidRPr="7B33A330">
        <w:t xml:space="preserve">Australia continues to be affected by the pandemic, as </w:t>
      </w:r>
      <w:r w:rsidR="14CCE1DB" w:rsidRPr="7B33A330">
        <w:t>ar</w:t>
      </w:r>
      <w:r w:rsidR="00795DE5">
        <w:t>e people who are in Australia</w:t>
      </w:r>
      <w:r w:rsidR="14CCE1DB" w:rsidRPr="7B33A330">
        <w:t xml:space="preserve"> without permanent residency. More than one million people at the start of the pandemic were in Australia either on a temporary or student visa, or were seeking asylum. The</w:t>
      </w:r>
      <w:r w:rsidR="43786B9F" w:rsidRPr="7B33A330">
        <w:t xml:space="preserve"> vast majority have not had access to income support (with the exception of New Zealand citizens and some people seeking asylum under the SSRS program). </w:t>
      </w:r>
    </w:p>
    <w:p w14:paraId="2127680B" w14:textId="06F191D4" w:rsidR="7B33A330" w:rsidRDefault="7B33A330" w:rsidP="7B33A330">
      <w:pPr>
        <w:pStyle w:val="List3"/>
        <w:spacing w:after="0"/>
        <w:ind w:left="0"/>
      </w:pPr>
    </w:p>
    <w:p w14:paraId="4713B15B" w14:textId="111DC20C" w:rsidR="43786B9F" w:rsidRDefault="43786B9F" w:rsidP="7B33A330">
      <w:pPr>
        <w:pStyle w:val="List3"/>
        <w:spacing w:after="0"/>
        <w:ind w:left="0" w:firstLine="0"/>
      </w:pPr>
      <w:r w:rsidRPr="7B33A330">
        <w:t>ACOSS</w:t>
      </w:r>
      <w:r w:rsidR="00795DE5">
        <w:t>,</w:t>
      </w:r>
      <w:r w:rsidRPr="7B33A330">
        <w:t xml:space="preserve"> along with many other organisations</w:t>
      </w:r>
      <w:r w:rsidR="00795DE5">
        <w:t>,</w:t>
      </w:r>
      <w:r w:rsidRPr="7B33A330">
        <w:t xml:space="preserve"> call for income support to be granted to these groups providing they satisfy the means test. Considering the challenges in returning to country of origin</w:t>
      </w:r>
      <w:r w:rsidR="2F90DAA2" w:rsidRPr="7B33A330">
        <w:t xml:space="preserve"> (and for people seeking asylum, this is not an option), Australia has an obligation to ensure these groups have financial support should they be with</w:t>
      </w:r>
      <w:r w:rsidR="333A0B0B" w:rsidRPr="7B33A330">
        <w:t xml:space="preserve">out paid work. </w:t>
      </w:r>
    </w:p>
    <w:p w14:paraId="3F5B2B1E" w14:textId="11BEC190" w:rsidR="7B33A330" w:rsidRDefault="7B33A330" w:rsidP="7B33A330">
      <w:pPr>
        <w:pStyle w:val="List3"/>
        <w:spacing w:after="0"/>
        <w:ind w:left="0" w:firstLine="0"/>
      </w:pPr>
    </w:p>
    <w:p w14:paraId="656AC762" w14:textId="5BD5E266" w:rsidR="1688EC4E" w:rsidRDefault="1688EC4E" w:rsidP="7B33A330">
      <w:pPr>
        <w:pStyle w:val="List3"/>
        <w:spacing w:after="0"/>
        <w:ind w:left="0" w:firstLine="0"/>
      </w:pPr>
      <w:r w:rsidRPr="7B33A330">
        <w:t xml:space="preserve">For further detail, please see the </w:t>
      </w:r>
      <w:hyperlink r:id="rId18">
        <w:r w:rsidRPr="7B33A330">
          <w:rPr>
            <w:rStyle w:val="Hyperlink"/>
          </w:rPr>
          <w:t>‘Who misses out on access to Australia’s safety net under COVID-19'.</w:t>
        </w:r>
      </w:hyperlink>
    </w:p>
    <w:p w14:paraId="02576445" w14:textId="50F43E26" w:rsidR="7B33A330" w:rsidRDefault="7B33A330" w:rsidP="7B33A330">
      <w:pPr>
        <w:pStyle w:val="List3"/>
        <w:spacing w:after="0"/>
        <w:ind w:left="0"/>
      </w:pPr>
    </w:p>
    <w:p w14:paraId="2C2672BF" w14:textId="12AD842D" w:rsidR="7B33A330" w:rsidRPr="00FF007A" w:rsidRDefault="00985429" w:rsidP="00FF007A">
      <w:pPr>
        <w:pStyle w:val="Recommendation"/>
        <w:rPr>
          <w:color w:val="auto"/>
        </w:rPr>
      </w:pPr>
      <w:r>
        <w:t>Recommendation 4</w:t>
      </w:r>
      <w:r w:rsidR="0EA1B877">
        <w:t xml:space="preserve">: </w:t>
      </w:r>
      <w:r w:rsidR="0EA1B877" w:rsidRPr="7B33A330">
        <w:rPr>
          <w:color w:val="auto"/>
        </w:rPr>
        <w:t>Extend income support to temporary visa holders, people seeking asylum and international students</w:t>
      </w:r>
      <w:r w:rsidR="00FF007A">
        <w:rPr>
          <w:b w:val="0"/>
          <w:bCs/>
        </w:rPr>
        <w:tab/>
      </w:r>
    </w:p>
    <w:p w14:paraId="39827302" w14:textId="77777777" w:rsidR="002B237C" w:rsidRDefault="002B237C" w:rsidP="7B33A330">
      <w:pPr>
        <w:pStyle w:val="ListNumber"/>
        <w:numPr>
          <w:ilvl w:val="0"/>
          <w:numId w:val="0"/>
        </w:numPr>
        <w:rPr>
          <w:b/>
          <w:bCs/>
        </w:rPr>
      </w:pPr>
    </w:p>
    <w:p w14:paraId="1A15B726" w14:textId="4AD8FCEF" w:rsidR="76402557" w:rsidRDefault="76402557" w:rsidP="003520E9">
      <w:pPr>
        <w:pStyle w:val="Heading2"/>
      </w:pPr>
      <w:bookmarkStart w:id="22" w:name="_Toc63685918"/>
      <w:r>
        <w:t>Abolish the Liquid Assets Waiting Period</w:t>
      </w:r>
      <w:bookmarkEnd w:id="22"/>
    </w:p>
    <w:p w14:paraId="188D4F18" w14:textId="5C82F2F6" w:rsidR="7B33A330" w:rsidRDefault="76402557" w:rsidP="7B33A330">
      <w:pPr>
        <w:pStyle w:val="List3"/>
        <w:ind w:left="0" w:firstLine="0"/>
      </w:pPr>
      <w:r w:rsidRPr="7B33A330">
        <w:t>The Australian Government did the right thing at the start of the pandemic suspending the Liquid Assets Waiting Period (LAWP). The LAWP requires people to wait much longer for their first income support payment if they have liquid assets exceeding $5,500 (if single with no dependents) or $11,000 otherwise. This forces people to draw down the savings they are likely to need later to deal with financial emergencies. It should be replaced with a comprehensive means test.</w:t>
      </w:r>
    </w:p>
    <w:p w14:paraId="7D652B2A" w14:textId="03D64296" w:rsidR="76402557" w:rsidRDefault="00985429" w:rsidP="7B33A330">
      <w:pPr>
        <w:pStyle w:val="Recommendation"/>
        <w:rPr>
          <w:color w:val="auto"/>
        </w:rPr>
      </w:pPr>
      <w:r w:rsidRPr="007C661D">
        <w:rPr>
          <w:color w:val="C00000"/>
        </w:rPr>
        <w:t>Recommendation 5</w:t>
      </w:r>
      <w:r w:rsidR="76402557" w:rsidRPr="007C661D">
        <w:rPr>
          <w:color w:val="C00000"/>
        </w:rPr>
        <w:t xml:space="preserve">: </w:t>
      </w:r>
      <w:r w:rsidR="76402557" w:rsidRPr="7B33A330">
        <w:rPr>
          <w:color w:val="auto"/>
        </w:rPr>
        <w:t>The Liquid Assets Waiting Period should be abolished and replaced with a comprehensive means test for payments to which it applies.</w:t>
      </w:r>
    </w:p>
    <w:p w14:paraId="73177312" w14:textId="77777777" w:rsidR="7B33A330" w:rsidRDefault="7B33A330" w:rsidP="7B33A330">
      <w:pPr>
        <w:pStyle w:val="Recommendation"/>
        <w:rPr>
          <w:color w:val="000000" w:themeColor="text1"/>
        </w:rPr>
      </w:pPr>
    </w:p>
    <w:p w14:paraId="30649B9D" w14:textId="32F481C2" w:rsidR="76402557" w:rsidRPr="002B237C" w:rsidRDefault="76402557" w:rsidP="7B33A330">
      <w:pPr>
        <w:pStyle w:val="ListNumber"/>
        <w:numPr>
          <w:ilvl w:val="0"/>
          <w:numId w:val="0"/>
        </w:numPr>
        <w:rPr>
          <w:b/>
          <w:bCs/>
          <w:i/>
        </w:rPr>
      </w:pPr>
      <w:r w:rsidRPr="007C661D">
        <w:rPr>
          <w:rFonts w:eastAsiaTheme="minorEastAsia"/>
          <w:b/>
          <w:bCs/>
          <w:color w:val="C00000"/>
          <w:szCs w:val="20"/>
        </w:rPr>
        <w:t>Budget impact:</w:t>
      </w:r>
      <w:r w:rsidRPr="007C661D">
        <w:rPr>
          <w:b/>
          <w:bCs/>
          <w:color w:val="C00000"/>
        </w:rPr>
        <w:t xml:space="preserve"> </w:t>
      </w:r>
      <w:r w:rsidR="2CC24210" w:rsidRPr="002B237C">
        <w:rPr>
          <w:b/>
          <w:bCs/>
          <w:i/>
        </w:rPr>
        <w:t>-$30 million (</w:t>
      </w:r>
      <w:r w:rsidR="34D9EAD1" w:rsidRPr="002B237C">
        <w:rPr>
          <w:b/>
          <w:bCs/>
          <w:i/>
        </w:rPr>
        <w:t>-</w:t>
      </w:r>
      <w:r w:rsidR="2CC24210" w:rsidRPr="002B237C">
        <w:rPr>
          <w:b/>
          <w:bCs/>
          <w:i/>
        </w:rPr>
        <w:t>$31 million in 2022-23)</w:t>
      </w:r>
    </w:p>
    <w:p w14:paraId="48249CDB" w14:textId="6E19BBCE" w:rsidR="7B33A330" w:rsidRDefault="7B33A330" w:rsidP="7B33A330">
      <w:pPr>
        <w:pStyle w:val="ListNumber"/>
        <w:numPr>
          <w:ilvl w:val="0"/>
          <w:numId w:val="0"/>
        </w:numPr>
        <w:rPr>
          <w:b/>
          <w:bCs/>
        </w:rPr>
      </w:pPr>
    </w:p>
    <w:p w14:paraId="518C18AB" w14:textId="758FF9B0" w:rsidR="2CC24210" w:rsidRDefault="003520E9" w:rsidP="003520E9">
      <w:pPr>
        <w:pStyle w:val="Heading2"/>
      </w:pPr>
      <w:r>
        <w:br w:type="column"/>
      </w:r>
      <w:bookmarkStart w:id="23" w:name="_Toc63685919"/>
      <w:r w:rsidR="2CC24210">
        <w:lastRenderedPageBreak/>
        <w:t>Reduce waiting periods for newly arrived migrants</w:t>
      </w:r>
      <w:bookmarkEnd w:id="23"/>
    </w:p>
    <w:p w14:paraId="72918E81" w14:textId="590DC1B9" w:rsidR="2CC24210" w:rsidRDefault="2CC24210" w:rsidP="00394B9E">
      <w:pPr>
        <w:pStyle w:val="List3"/>
        <w:spacing w:after="0"/>
        <w:ind w:left="0" w:firstLine="0"/>
      </w:pPr>
      <w:r w:rsidRPr="7B33A330">
        <w:t>ACOSS welcomed the government’s suspension of the Newly Arrived Residents Waiting Period last year in response to the pandemic. However, the return of the waiting period for income support of up to four years for many newly arrived migrants, and a one-year wait for Family Tax Benefit</w:t>
      </w:r>
      <w:r w:rsidR="31B1AB86" w:rsidRPr="7B33A330">
        <w:t xml:space="preserve"> will lead to people becoming destitute, especially when there is just one job for every nine people looking for one.</w:t>
      </w:r>
      <w:r w:rsidRPr="7B33A330">
        <w:t xml:space="preserve"> Excessive waiting periods </w:t>
      </w:r>
      <w:r w:rsidR="0CE4F4AE" w:rsidRPr="7B33A330">
        <w:t xml:space="preserve">deny people in need support, which </w:t>
      </w:r>
      <w:r w:rsidR="00D562C8">
        <w:t>should not have a place in</w:t>
      </w:r>
      <w:r w:rsidR="0CE4F4AE" w:rsidRPr="7B33A330">
        <w:t xml:space="preserve"> our income support system. </w:t>
      </w:r>
    </w:p>
    <w:p w14:paraId="495A6B12" w14:textId="2F0DA1D0" w:rsidR="7B33A330" w:rsidRDefault="7B33A330" w:rsidP="7B33A330">
      <w:pPr>
        <w:pStyle w:val="Recommendation"/>
      </w:pPr>
    </w:p>
    <w:p w14:paraId="15D5856E" w14:textId="2210AA72" w:rsidR="2CC24210" w:rsidRDefault="00985429" w:rsidP="7B33A330">
      <w:pPr>
        <w:pStyle w:val="Recommendation"/>
      </w:pPr>
      <w:r w:rsidRPr="007C661D">
        <w:rPr>
          <w:color w:val="C00000"/>
        </w:rPr>
        <w:t>Recommendation 6</w:t>
      </w:r>
      <w:r w:rsidR="2CC24210" w:rsidRPr="007C661D">
        <w:rPr>
          <w:color w:val="C00000"/>
        </w:rPr>
        <w:t xml:space="preserve">: </w:t>
      </w:r>
      <w:r w:rsidR="66D204C8" w:rsidRPr="7B33A330">
        <w:rPr>
          <w:color w:val="auto"/>
        </w:rPr>
        <w:t>Waiting periods for newly-arrived migrants should be reduced. There should be no waiting period for newly-arrived migrants to access Family Tax Benefit, Paid Parental Leave, Special Benefit or Carer Allowance.</w:t>
      </w:r>
    </w:p>
    <w:p w14:paraId="45AE8E18" w14:textId="42B02FBC" w:rsidR="7B33A330" w:rsidRDefault="7B33A330" w:rsidP="7B33A330">
      <w:pPr>
        <w:pStyle w:val="ListNumber"/>
        <w:numPr>
          <w:ilvl w:val="0"/>
          <w:numId w:val="0"/>
        </w:numPr>
      </w:pPr>
    </w:p>
    <w:p w14:paraId="125B2F88" w14:textId="7F9254CE" w:rsidR="2CC24210" w:rsidRDefault="2CC24210" w:rsidP="7B33A330">
      <w:pPr>
        <w:pStyle w:val="ListNumber"/>
        <w:numPr>
          <w:ilvl w:val="0"/>
          <w:numId w:val="0"/>
        </w:numPr>
        <w:rPr>
          <w:b/>
          <w:bCs/>
        </w:rPr>
      </w:pPr>
      <w:r w:rsidRPr="007C661D">
        <w:rPr>
          <w:rFonts w:eastAsiaTheme="minorEastAsia"/>
          <w:b/>
          <w:bCs/>
          <w:color w:val="C00000"/>
          <w:szCs w:val="20"/>
        </w:rPr>
        <w:t>Budget impact:</w:t>
      </w:r>
      <w:r w:rsidRPr="7B33A330">
        <w:rPr>
          <w:b/>
          <w:bCs/>
        </w:rPr>
        <w:t xml:space="preserve"> </w:t>
      </w:r>
      <w:r w:rsidRPr="002B237C">
        <w:rPr>
          <w:b/>
          <w:bCs/>
          <w:i/>
        </w:rPr>
        <w:t>-$</w:t>
      </w:r>
      <w:r w:rsidR="13C88CD6" w:rsidRPr="002B237C">
        <w:rPr>
          <w:b/>
          <w:bCs/>
          <w:i/>
        </w:rPr>
        <w:t>6</w:t>
      </w:r>
      <w:r w:rsidRPr="002B237C">
        <w:rPr>
          <w:b/>
          <w:bCs/>
          <w:i/>
        </w:rPr>
        <w:t>0 million (</w:t>
      </w:r>
      <w:r w:rsidR="4562D2B8" w:rsidRPr="002B237C">
        <w:rPr>
          <w:b/>
          <w:bCs/>
          <w:i/>
        </w:rPr>
        <w:t>-</w:t>
      </w:r>
      <w:r w:rsidRPr="002B237C">
        <w:rPr>
          <w:b/>
          <w:bCs/>
          <w:i/>
        </w:rPr>
        <w:t>$</w:t>
      </w:r>
      <w:r w:rsidR="4F39B1DA" w:rsidRPr="002B237C">
        <w:rPr>
          <w:b/>
          <w:bCs/>
          <w:i/>
        </w:rPr>
        <w:t>6</w:t>
      </w:r>
      <w:r w:rsidRPr="002B237C">
        <w:rPr>
          <w:b/>
          <w:bCs/>
          <w:i/>
        </w:rPr>
        <w:t>1 million in 2022-23)</w:t>
      </w:r>
      <w:r w:rsidR="4241C9FB" w:rsidRPr="7B33A330">
        <w:rPr>
          <w:b/>
          <w:bCs/>
        </w:rPr>
        <w:t xml:space="preserve"> </w:t>
      </w:r>
    </w:p>
    <w:p w14:paraId="1D33BD69" w14:textId="7320D2C7" w:rsidR="7B33A330" w:rsidRDefault="7B33A330" w:rsidP="7B33A330">
      <w:pPr>
        <w:pStyle w:val="ListNumber"/>
        <w:numPr>
          <w:ilvl w:val="0"/>
          <w:numId w:val="0"/>
        </w:numPr>
        <w:rPr>
          <w:i/>
          <w:iCs/>
        </w:rPr>
      </w:pPr>
    </w:p>
    <w:p w14:paraId="42CE4089" w14:textId="6D04817C" w:rsidR="3946A02A" w:rsidRDefault="3946A02A" w:rsidP="003520E9">
      <w:pPr>
        <w:pStyle w:val="Heading2"/>
      </w:pPr>
      <w:bookmarkStart w:id="24" w:name="_Toc63685920"/>
      <w:r>
        <w:t>Improve access to income support</w:t>
      </w:r>
      <w:bookmarkEnd w:id="24"/>
    </w:p>
    <w:p w14:paraId="6127CCF0" w14:textId="769BE1A2" w:rsidR="3946A02A" w:rsidRDefault="3946A02A" w:rsidP="7B33A330">
      <w:pPr>
        <w:pStyle w:val="List3"/>
        <w:spacing w:after="0"/>
        <w:ind w:left="0" w:firstLine="0"/>
      </w:pPr>
      <w:r w:rsidRPr="7B33A330">
        <w:t>ACOSS has long called for measures to improve access to income support payments, particularly for people in crisis.</w:t>
      </w:r>
      <w:r w:rsidR="033A54D8" w:rsidRPr="7B33A330">
        <w:t xml:space="preserve"> To better facilitate access to income support for people in need, ACOSS recommends the following: </w:t>
      </w:r>
    </w:p>
    <w:p w14:paraId="261801E8" w14:textId="4734BE3E" w:rsidR="033A54D8" w:rsidRDefault="033A54D8" w:rsidP="00F13F51">
      <w:pPr>
        <w:pStyle w:val="List3"/>
        <w:numPr>
          <w:ilvl w:val="0"/>
          <w:numId w:val="5"/>
        </w:numPr>
        <w:spacing w:after="0"/>
        <w:rPr>
          <w:rFonts w:asciiTheme="minorHAnsi" w:eastAsiaTheme="minorEastAsia" w:hAnsiTheme="minorHAnsi"/>
          <w:szCs w:val="20"/>
        </w:rPr>
      </w:pPr>
      <w:r w:rsidRPr="7B33A330">
        <w:t>Removal of one-week waiting periods for Parenting Payment and Youth Allowance (Other)</w:t>
      </w:r>
    </w:p>
    <w:p w14:paraId="68092463" w14:textId="7FCDBAC2" w:rsidR="033A54D8" w:rsidRDefault="033A54D8" w:rsidP="00F13F51">
      <w:pPr>
        <w:pStyle w:val="List3"/>
        <w:numPr>
          <w:ilvl w:val="0"/>
          <w:numId w:val="5"/>
        </w:numPr>
        <w:spacing w:after="0"/>
        <w:rPr>
          <w:szCs w:val="20"/>
        </w:rPr>
      </w:pPr>
      <w:r w:rsidRPr="7B33A330">
        <w:t>Improve access to Crisis Payment</w:t>
      </w:r>
      <w:r w:rsidR="03488DF2" w:rsidRPr="7B33A330">
        <w:t xml:space="preserve"> for domestic and family violence survivors</w:t>
      </w:r>
      <w:r w:rsidRPr="7B33A330">
        <w:t>, as recommended in our 2020 Budget Priorities Statement</w:t>
      </w:r>
      <w:r w:rsidRPr="7B33A330">
        <w:rPr>
          <w:rStyle w:val="FootnoteReference"/>
        </w:rPr>
        <w:footnoteReference w:id="10"/>
      </w:r>
    </w:p>
    <w:p w14:paraId="2F33F063" w14:textId="1A05A1E8" w:rsidR="394DA8E6" w:rsidRDefault="394DA8E6" w:rsidP="00F13F51">
      <w:pPr>
        <w:pStyle w:val="List3"/>
        <w:numPr>
          <w:ilvl w:val="0"/>
          <w:numId w:val="5"/>
        </w:numPr>
        <w:spacing w:after="0"/>
        <w:rPr>
          <w:szCs w:val="20"/>
        </w:rPr>
      </w:pPr>
      <w:r w:rsidRPr="7B33A330">
        <w:t>Increase permanent staffing at Centrelink to meet need</w:t>
      </w:r>
    </w:p>
    <w:p w14:paraId="1D49945F" w14:textId="4752F3C8" w:rsidR="24EF346C" w:rsidRDefault="24EF346C" w:rsidP="00F13F51">
      <w:pPr>
        <w:pStyle w:val="List3"/>
        <w:numPr>
          <w:ilvl w:val="0"/>
          <w:numId w:val="5"/>
        </w:numPr>
        <w:spacing w:after="0"/>
        <w:rPr>
          <w:szCs w:val="20"/>
        </w:rPr>
      </w:pPr>
      <w:r w:rsidRPr="7B33A330">
        <w:t>Align the means test for Special Benefit with JobSeeker Payment</w:t>
      </w:r>
    </w:p>
    <w:p w14:paraId="240E442A" w14:textId="36DE5D3D" w:rsidR="24EF346C" w:rsidRDefault="24EF346C" w:rsidP="00F13F51">
      <w:pPr>
        <w:pStyle w:val="List3"/>
        <w:numPr>
          <w:ilvl w:val="0"/>
          <w:numId w:val="5"/>
        </w:numPr>
        <w:spacing w:after="0"/>
        <w:rPr>
          <w:szCs w:val="20"/>
        </w:rPr>
      </w:pPr>
      <w:r w:rsidRPr="7B33A330">
        <w:t>Ensure all receiving JobSeeker and related payments receive a Low-Income Health Card</w:t>
      </w:r>
      <w:r w:rsidR="033A54D8" w:rsidRPr="7B33A330">
        <w:t xml:space="preserve"> </w:t>
      </w:r>
      <w:r w:rsidR="3946A02A" w:rsidRPr="7B33A330">
        <w:t xml:space="preserve"> </w:t>
      </w:r>
      <w:r w:rsidR="7B33A330" w:rsidRPr="7B33A330">
        <w:t xml:space="preserve"> </w:t>
      </w:r>
      <w:r w:rsidR="3946A02A" w:rsidRPr="7B33A330">
        <w:t xml:space="preserve">  </w:t>
      </w:r>
    </w:p>
    <w:p w14:paraId="4623E987" w14:textId="60EBD064" w:rsidR="7B33A330" w:rsidRDefault="7B33A330" w:rsidP="7B33A330">
      <w:pPr>
        <w:pStyle w:val="List3"/>
        <w:spacing w:after="0"/>
      </w:pPr>
    </w:p>
    <w:p w14:paraId="6407CCB3" w14:textId="1F78565F" w:rsidR="07B3C546" w:rsidRDefault="07B3C546" w:rsidP="7B33A330">
      <w:pPr>
        <w:pStyle w:val="List3"/>
        <w:spacing w:after="0"/>
        <w:ind w:left="0" w:firstLine="0"/>
      </w:pPr>
      <w:r w:rsidRPr="7B33A330">
        <w:t>For more detail on these measures, please see ACOSS’s 2020 Budget Priorities Statement.</w:t>
      </w:r>
      <w:r w:rsidRPr="7B33A330">
        <w:rPr>
          <w:rStyle w:val="FootnoteReference"/>
        </w:rPr>
        <w:footnoteReference w:id="11"/>
      </w:r>
    </w:p>
    <w:p w14:paraId="08DE8922" w14:textId="2F0DA1D0" w:rsidR="7B33A330" w:rsidRDefault="7B33A330" w:rsidP="7B33A330">
      <w:pPr>
        <w:pStyle w:val="Recommendation"/>
      </w:pPr>
    </w:p>
    <w:p w14:paraId="43397C45" w14:textId="45F15FDA" w:rsidR="3946A02A" w:rsidRDefault="00985429" w:rsidP="7B33A330">
      <w:pPr>
        <w:pStyle w:val="Recommendation"/>
        <w:rPr>
          <w:color w:val="auto"/>
        </w:rPr>
      </w:pPr>
      <w:r w:rsidRPr="007C661D">
        <w:rPr>
          <w:color w:val="C00000"/>
        </w:rPr>
        <w:t>Recommendation 7</w:t>
      </w:r>
      <w:r w:rsidR="3946A02A" w:rsidRPr="007C661D">
        <w:rPr>
          <w:color w:val="C00000"/>
        </w:rPr>
        <w:t>:</w:t>
      </w:r>
      <w:r w:rsidR="3946A02A">
        <w:t xml:space="preserve"> </w:t>
      </w:r>
      <w:r w:rsidR="57983EF1" w:rsidRPr="7B33A330">
        <w:rPr>
          <w:color w:val="auto"/>
        </w:rPr>
        <w:t>Improve access to income support by removing waiting periods, reforming Crisis Payment</w:t>
      </w:r>
      <w:r w:rsidR="041FFE55" w:rsidRPr="7B33A330">
        <w:rPr>
          <w:color w:val="auto"/>
        </w:rPr>
        <w:t xml:space="preserve">, aligning Special Benefit means test, and boosting Centrelink resources. </w:t>
      </w:r>
    </w:p>
    <w:p w14:paraId="53BDEE27" w14:textId="4C085B3D" w:rsidR="041FFE55" w:rsidRDefault="041FFE55" w:rsidP="7B33A330">
      <w:pPr>
        <w:pStyle w:val="Recommendation"/>
        <w:rPr>
          <w:color w:val="auto"/>
        </w:rPr>
      </w:pPr>
      <w:r w:rsidRPr="7B33A330">
        <w:rPr>
          <w:color w:val="auto"/>
        </w:rPr>
        <w:t xml:space="preserve"> </w:t>
      </w:r>
      <w:r w:rsidR="57983EF1" w:rsidRPr="7B33A330">
        <w:rPr>
          <w:color w:val="auto"/>
        </w:rPr>
        <w:t xml:space="preserve">  </w:t>
      </w:r>
    </w:p>
    <w:p w14:paraId="100AF39B" w14:textId="65239972" w:rsidR="3946A02A" w:rsidRDefault="3946A02A" w:rsidP="7B33A330">
      <w:pPr>
        <w:pStyle w:val="ListNumber"/>
        <w:numPr>
          <w:ilvl w:val="0"/>
          <w:numId w:val="0"/>
        </w:numPr>
        <w:rPr>
          <w:b/>
          <w:bCs/>
          <w:i/>
        </w:rPr>
      </w:pPr>
      <w:r w:rsidRPr="00FA797F">
        <w:rPr>
          <w:rFonts w:eastAsiaTheme="minorEastAsia"/>
          <w:b/>
          <w:bCs/>
          <w:color w:val="C00000"/>
          <w:szCs w:val="20"/>
        </w:rPr>
        <w:t>Budget impact:</w:t>
      </w:r>
      <w:r w:rsidRPr="00FA797F">
        <w:rPr>
          <w:b/>
          <w:bCs/>
          <w:color w:val="C00000"/>
        </w:rPr>
        <w:t xml:space="preserve"> </w:t>
      </w:r>
      <w:r w:rsidRPr="002B237C">
        <w:rPr>
          <w:b/>
          <w:bCs/>
          <w:i/>
        </w:rPr>
        <w:t>-$</w:t>
      </w:r>
      <w:r w:rsidR="28E584CF" w:rsidRPr="002B237C">
        <w:rPr>
          <w:b/>
          <w:bCs/>
          <w:i/>
        </w:rPr>
        <w:t>160</w:t>
      </w:r>
      <w:r w:rsidRPr="002B237C">
        <w:rPr>
          <w:b/>
          <w:bCs/>
          <w:i/>
        </w:rPr>
        <w:t xml:space="preserve"> million (</w:t>
      </w:r>
      <w:r w:rsidR="55B00CC4" w:rsidRPr="002B237C">
        <w:rPr>
          <w:b/>
          <w:bCs/>
          <w:i/>
        </w:rPr>
        <w:t>-</w:t>
      </w:r>
      <w:r w:rsidRPr="002B237C">
        <w:rPr>
          <w:b/>
          <w:bCs/>
          <w:i/>
        </w:rPr>
        <w:t>$</w:t>
      </w:r>
      <w:r w:rsidR="0239C333" w:rsidRPr="002B237C">
        <w:rPr>
          <w:b/>
          <w:bCs/>
          <w:i/>
        </w:rPr>
        <w:t>162</w:t>
      </w:r>
      <w:r w:rsidRPr="002B237C">
        <w:rPr>
          <w:b/>
          <w:bCs/>
          <w:i/>
        </w:rPr>
        <w:t xml:space="preserve"> million in 2022-23) </w:t>
      </w:r>
    </w:p>
    <w:p w14:paraId="764EB607" w14:textId="77777777" w:rsidR="002B237C" w:rsidRPr="002B237C" w:rsidRDefault="002B237C" w:rsidP="7B33A330">
      <w:pPr>
        <w:pStyle w:val="ListNumber"/>
        <w:numPr>
          <w:ilvl w:val="0"/>
          <w:numId w:val="0"/>
        </w:numPr>
        <w:rPr>
          <w:i/>
          <w:iCs/>
        </w:rPr>
      </w:pPr>
    </w:p>
    <w:p w14:paraId="129949AE" w14:textId="2F6ABE23" w:rsidR="6310F992" w:rsidRDefault="003520E9" w:rsidP="003520E9">
      <w:pPr>
        <w:pStyle w:val="Heading2"/>
      </w:pPr>
      <w:r>
        <w:br w:type="column"/>
      </w:r>
      <w:bookmarkStart w:id="25" w:name="_Toc63685921"/>
      <w:r w:rsidR="6310F992">
        <w:lastRenderedPageBreak/>
        <w:t>Establish a social security commission</w:t>
      </w:r>
      <w:bookmarkEnd w:id="25"/>
    </w:p>
    <w:p w14:paraId="6293FA1D" w14:textId="0842B8B4" w:rsidR="6310F992" w:rsidRDefault="6310F992" w:rsidP="7B33A330">
      <w:pPr>
        <w:pStyle w:val="List3"/>
        <w:spacing w:after="0"/>
        <w:ind w:left="0" w:firstLine="0"/>
      </w:pPr>
      <w:r w:rsidRPr="7B33A330">
        <w:t>The setting of social security payment rates has largely been a political process. An independent body to advise the parliament on the setting of payment rates and payment settings would enable a fairer approach to social security design</w:t>
      </w:r>
      <w:r w:rsidR="00D562C8">
        <w:t>,</w:t>
      </w:r>
      <w:r w:rsidRPr="7B33A330">
        <w:t xml:space="preserve"> with rates set by reference to household need.</w:t>
      </w:r>
      <w:r w:rsidR="00D562C8">
        <w:t xml:space="preserve"> This does not negate the need to immediately implement the above recommendations, including recommendations 1 and 2. </w:t>
      </w:r>
    </w:p>
    <w:p w14:paraId="100CBB43" w14:textId="78F9CB11" w:rsidR="7B33A330" w:rsidRDefault="7B33A330" w:rsidP="7B33A330">
      <w:pPr>
        <w:pStyle w:val="List3"/>
        <w:spacing w:after="0"/>
        <w:ind w:left="0" w:firstLine="0"/>
      </w:pPr>
    </w:p>
    <w:p w14:paraId="72D967F9" w14:textId="1D883184" w:rsidR="6310F992" w:rsidRDefault="00985429" w:rsidP="7B33A330">
      <w:pPr>
        <w:pStyle w:val="Recommendation"/>
      </w:pPr>
      <w:r w:rsidRPr="00FA797F">
        <w:rPr>
          <w:color w:val="C00000"/>
        </w:rPr>
        <w:t>Recommendation 8</w:t>
      </w:r>
      <w:r w:rsidR="6310F992" w:rsidRPr="00FA797F">
        <w:rPr>
          <w:color w:val="C00000"/>
        </w:rPr>
        <w:t xml:space="preserve">: </w:t>
      </w:r>
      <w:r w:rsidR="00D562C8">
        <w:rPr>
          <w:color w:val="auto"/>
        </w:rPr>
        <w:t>Establish a</w:t>
      </w:r>
      <w:r w:rsidR="6310F992" w:rsidRPr="7B33A330">
        <w:rPr>
          <w:color w:val="auto"/>
        </w:rPr>
        <w:t xml:space="preserve"> social security commission </w:t>
      </w:r>
      <w:r w:rsidR="00D562C8">
        <w:rPr>
          <w:color w:val="auto"/>
        </w:rPr>
        <w:t>to</w:t>
      </w:r>
      <w:r w:rsidR="6310F992" w:rsidRPr="7B33A330">
        <w:rPr>
          <w:color w:val="auto"/>
        </w:rPr>
        <w:t xml:space="preserve"> provide independent expert advice to the Parliament about the setting of social security payment rates (including family payments), covering adequacy, means test settings and indexation.</w:t>
      </w:r>
    </w:p>
    <w:p w14:paraId="2A112040" w14:textId="42B02FBC" w:rsidR="7B33A330" w:rsidRDefault="7B33A330" w:rsidP="7B33A330">
      <w:pPr>
        <w:pStyle w:val="ListNumber"/>
        <w:numPr>
          <w:ilvl w:val="0"/>
          <w:numId w:val="0"/>
        </w:numPr>
      </w:pPr>
    </w:p>
    <w:p w14:paraId="0BB5DE20" w14:textId="7BC407CA" w:rsidR="6310F992" w:rsidRDefault="6310F992" w:rsidP="7B33A330">
      <w:pPr>
        <w:pStyle w:val="ListNumber"/>
        <w:numPr>
          <w:ilvl w:val="0"/>
          <w:numId w:val="0"/>
        </w:numPr>
        <w:rPr>
          <w:i/>
          <w:iCs/>
        </w:rPr>
      </w:pPr>
      <w:r w:rsidRPr="00FA797F">
        <w:rPr>
          <w:rFonts w:eastAsiaTheme="minorEastAsia"/>
          <w:b/>
          <w:bCs/>
          <w:color w:val="C00000"/>
          <w:szCs w:val="20"/>
        </w:rPr>
        <w:t>Budget impact:</w:t>
      </w:r>
      <w:r w:rsidRPr="7B33A330">
        <w:rPr>
          <w:b/>
          <w:bCs/>
        </w:rPr>
        <w:t xml:space="preserve"> </w:t>
      </w:r>
      <w:r w:rsidRPr="003A57DB">
        <w:rPr>
          <w:b/>
          <w:bCs/>
          <w:i/>
        </w:rPr>
        <w:t>-$4 million (</w:t>
      </w:r>
      <w:r w:rsidR="03DAF55C" w:rsidRPr="003A57DB">
        <w:rPr>
          <w:b/>
          <w:bCs/>
          <w:i/>
        </w:rPr>
        <w:t>-</w:t>
      </w:r>
      <w:r w:rsidRPr="003A57DB">
        <w:rPr>
          <w:b/>
          <w:bCs/>
          <w:i/>
        </w:rPr>
        <w:t xml:space="preserve">$4.1 million in 2022-23) </w:t>
      </w:r>
    </w:p>
    <w:p w14:paraId="0DE4B5B7" w14:textId="77777777" w:rsidR="0068094C" w:rsidRDefault="0068094C" w:rsidP="0068094C">
      <w:r>
        <w:br w:type="page"/>
      </w:r>
    </w:p>
    <w:p w14:paraId="019729F1" w14:textId="02763750" w:rsidR="0068094C" w:rsidRDefault="0068094C" w:rsidP="004C47B2">
      <w:pPr>
        <w:pStyle w:val="Heading1"/>
      </w:pPr>
      <w:r>
        <w:lastRenderedPageBreak/>
        <w:t xml:space="preserve"> </w:t>
      </w:r>
      <w:bookmarkStart w:id="26" w:name="_Toc63685922"/>
      <w:r w:rsidR="57E43769">
        <w:t>Restoring jobs</w:t>
      </w:r>
      <w:r>
        <w:t xml:space="preserve"> for people out of paid work</w:t>
      </w:r>
      <w:bookmarkEnd w:id="26"/>
    </w:p>
    <w:p w14:paraId="59341CC0" w14:textId="7DB47C99" w:rsidR="0068094C" w:rsidRPr="00E668D2" w:rsidRDefault="00977074" w:rsidP="000C6B7B">
      <w:pPr>
        <w:pStyle w:val="Heading2"/>
        <w:numPr>
          <w:ilvl w:val="0"/>
          <w:numId w:val="0"/>
        </w:numPr>
        <w:ind w:left="1276" w:hanging="916"/>
      </w:pPr>
      <w:bookmarkStart w:id="27" w:name="_Toc63685923"/>
      <w:r>
        <w:t>Summary</w:t>
      </w:r>
      <w:bookmarkEnd w:id="27"/>
    </w:p>
    <w:p w14:paraId="1BC105A2" w14:textId="7D51DFE5" w:rsidR="0068094C" w:rsidRPr="00E668D2" w:rsidRDefault="61E9BD94" w:rsidP="00F13F51">
      <w:pPr>
        <w:pStyle w:val="List3"/>
        <w:numPr>
          <w:ilvl w:val="0"/>
          <w:numId w:val="17"/>
        </w:numPr>
        <w:rPr>
          <w:rFonts w:asciiTheme="minorHAnsi" w:eastAsiaTheme="minorEastAsia" w:hAnsiTheme="minorHAnsi"/>
          <w:szCs w:val="20"/>
        </w:rPr>
      </w:pPr>
      <w:r w:rsidRPr="00E668D2">
        <w:t xml:space="preserve">Although jobs are being restored after the deepest recession in almost a century, </w:t>
      </w:r>
      <w:r w:rsidR="1A687F0F" w:rsidRPr="00E668D2">
        <w:t>one third</w:t>
      </w:r>
      <w:r w:rsidRPr="00E668D2">
        <w:t xml:space="preserve"> of full</w:t>
      </w:r>
      <w:r w:rsidR="17375190" w:rsidRPr="00E668D2">
        <w:t>-</w:t>
      </w:r>
      <w:r w:rsidRPr="00E668D2">
        <w:t xml:space="preserve">time jobs lost have not yet been recovered, and there </w:t>
      </w:r>
      <w:r w:rsidR="6F78F147" w:rsidRPr="00E668D2">
        <w:t xml:space="preserve">is </w:t>
      </w:r>
      <w:r w:rsidRPr="00E668D2">
        <w:t>an average of nine people who a</w:t>
      </w:r>
      <w:r w:rsidR="1CF3AB77" w:rsidRPr="00E668D2">
        <w:t xml:space="preserve">re unemployed or searching for more paid hours </w:t>
      </w:r>
      <w:r w:rsidR="4785EDE9" w:rsidRPr="00E668D2">
        <w:t>per</w:t>
      </w:r>
      <w:r w:rsidR="1CF3AB77" w:rsidRPr="00E668D2">
        <w:t xml:space="preserve"> vacancy. </w:t>
      </w:r>
    </w:p>
    <w:p w14:paraId="55360B8D" w14:textId="77777777" w:rsidR="00843680" w:rsidRPr="00E668D2" w:rsidRDefault="6DA45C3D" w:rsidP="00F13F51">
      <w:pPr>
        <w:pStyle w:val="List3"/>
        <w:numPr>
          <w:ilvl w:val="0"/>
          <w:numId w:val="17"/>
        </w:numPr>
        <w:rPr>
          <w:rFonts w:asciiTheme="minorHAnsi" w:eastAsiaTheme="minorEastAsia" w:hAnsiTheme="minorHAnsi"/>
          <w:szCs w:val="20"/>
        </w:rPr>
      </w:pPr>
      <w:r w:rsidRPr="00E668D2">
        <w:rPr>
          <w:rFonts w:eastAsiaTheme="minorEastAsia"/>
          <w:szCs w:val="20"/>
        </w:rPr>
        <w:t>A</w:t>
      </w:r>
      <w:r w:rsidR="16A24C3C" w:rsidRPr="00E668D2">
        <w:rPr>
          <w:rFonts w:eastAsiaTheme="minorEastAsia"/>
          <w:szCs w:val="20"/>
        </w:rPr>
        <w:t xml:space="preserve">round </w:t>
      </w:r>
      <w:r w:rsidR="1013F706" w:rsidRPr="00E668D2">
        <w:rPr>
          <w:rFonts w:eastAsiaTheme="minorEastAsia"/>
          <w:szCs w:val="20"/>
        </w:rPr>
        <w:t>40%</w:t>
      </w:r>
      <w:r w:rsidRPr="00E668D2">
        <w:rPr>
          <w:rFonts w:eastAsiaTheme="minorEastAsia"/>
          <w:szCs w:val="20"/>
        </w:rPr>
        <w:t xml:space="preserve"> </w:t>
      </w:r>
      <w:r w:rsidR="75E3CB47" w:rsidRPr="00E668D2">
        <w:rPr>
          <w:rFonts w:eastAsiaTheme="minorEastAsia"/>
          <w:szCs w:val="20"/>
        </w:rPr>
        <w:t>of</w:t>
      </w:r>
      <w:r w:rsidRPr="00E668D2">
        <w:rPr>
          <w:rFonts w:eastAsiaTheme="minorEastAsia"/>
          <w:szCs w:val="20"/>
        </w:rPr>
        <w:t xml:space="preserve"> </w:t>
      </w:r>
      <w:r w:rsidR="77F82D3D" w:rsidRPr="00E668D2">
        <w:rPr>
          <w:rFonts w:eastAsiaTheme="minorEastAsia"/>
          <w:szCs w:val="20"/>
        </w:rPr>
        <w:t xml:space="preserve">the 1.5 million </w:t>
      </w:r>
      <w:r w:rsidRPr="00E668D2">
        <w:rPr>
          <w:rFonts w:eastAsiaTheme="minorEastAsia"/>
          <w:szCs w:val="20"/>
        </w:rPr>
        <w:t>people on unemployment payments is unemployed long-term</w:t>
      </w:r>
      <w:r w:rsidR="267F4022" w:rsidRPr="00E668D2">
        <w:rPr>
          <w:rFonts w:eastAsiaTheme="minorEastAsia"/>
          <w:szCs w:val="20"/>
        </w:rPr>
        <w:t xml:space="preserve">, and many </w:t>
      </w:r>
      <w:r w:rsidRPr="00E668D2">
        <w:rPr>
          <w:rFonts w:eastAsiaTheme="minorEastAsia"/>
          <w:szCs w:val="20"/>
        </w:rPr>
        <w:t>face barriers to employment such as disability</w:t>
      </w:r>
      <w:r w:rsidR="179265D1" w:rsidRPr="00E668D2">
        <w:rPr>
          <w:rFonts w:eastAsiaTheme="minorEastAsia"/>
          <w:szCs w:val="20"/>
        </w:rPr>
        <w:t xml:space="preserve"> </w:t>
      </w:r>
      <w:r w:rsidR="53F098ED" w:rsidRPr="00E668D2">
        <w:rPr>
          <w:rFonts w:eastAsiaTheme="minorEastAsia"/>
          <w:szCs w:val="20"/>
        </w:rPr>
        <w:t xml:space="preserve">or </w:t>
      </w:r>
      <w:r w:rsidR="59EC9103" w:rsidRPr="00E668D2">
        <w:rPr>
          <w:rFonts w:eastAsiaTheme="minorEastAsia"/>
          <w:szCs w:val="20"/>
        </w:rPr>
        <w:t xml:space="preserve">mature </w:t>
      </w:r>
      <w:r w:rsidRPr="00E668D2">
        <w:rPr>
          <w:rFonts w:eastAsiaTheme="minorEastAsia"/>
          <w:szCs w:val="20"/>
        </w:rPr>
        <w:t>age</w:t>
      </w:r>
      <w:r w:rsidR="2B2DD3F9" w:rsidRPr="00E668D2">
        <w:rPr>
          <w:rFonts w:eastAsiaTheme="minorEastAsia"/>
          <w:szCs w:val="20"/>
        </w:rPr>
        <w:t>.</w:t>
      </w:r>
      <w:r w:rsidR="5F40BC6C" w:rsidRPr="00E668D2">
        <w:rPr>
          <w:rFonts w:eastAsiaTheme="minorEastAsia"/>
          <w:szCs w:val="20"/>
        </w:rPr>
        <w:t xml:space="preserve"> </w:t>
      </w:r>
    </w:p>
    <w:p w14:paraId="0E40CBF2" w14:textId="0C2EC19A" w:rsidR="00843680" w:rsidRPr="00E668D2" w:rsidRDefault="00843680" w:rsidP="00F13F51">
      <w:pPr>
        <w:pStyle w:val="List3"/>
        <w:numPr>
          <w:ilvl w:val="0"/>
          <w:numId w:val="17"/>
        </w:numPr>
        <w:rPr>
          <w:rFonts w:asciiTheme="minorHAnsi" w:eastAsiaTheme="minorEastAsia" w:hAnsiTheme="minorHAnsi"/>
          <w:szCs w:val="20"/>
        </w:rPr>
      </w:pPr>
      <w:r w:rsidRPr="00E668D2">
        <w:t>We should learn the lessons of past recessions and take the following steps to prevent high and prolonged unemployment from becoming</w:t>
      </w:r>
      <w:r w:rsidRPr="00E668D2">
        <w:rPr>
          <w:spacing w:val="-6"/>
        </w:rPr>
        <w:t xml:space="preserve"> </w:t>
      </w:r>
      <w:r w:rsidRPr="00E668D2">
        <w:t>entrenched:</w:t>
      </w:r>
    </w:p>
    <w:p w14:paraId="66DCA887" w14:textId="1B4E90D0" w:rsidR="00843680" w:rsidRDefault="00843680" w:rsidP="00F13F51">
      <w:pPr>
        <w:pStyle w:val="ListParagraph"/>
        <w:widowControl w:val="0"/>
        <w:numPr>
          <w:ilvl w:val="0"/>
          <w:numId w:val="30"/>
        </w:numPr>
        <w:tabs>
          <w:tab w:val="left" w:pos="2149"/>
        </w:tabs>
        <w:autoSpaceDE w:val="0"/>
        <w:autoSpaceDN w:val="0"/>
        <w:spacing w:line="259" w:lineRule="auto"/>
        <w:ind w:right="69"/>
        <w:contextualSpacing w:val="0"/>
      </w:pPr>
      <w:r w:rsidRPr="00E668D2">
        <w:t>Set a goal</w:t>
      </w:r>
      <w:r w:rsidRPr="00B74A2B">
        <w:t xml:space="preserve"> to </w:t>
      </w:r>
      <w:r w:rsidRPr="00843680">
        <w:t>reduce unemployment below 5% by June 2022</w:t>
      </w:r>
      <w:r>
        <w:rPr>
          <w:i/>
        </w:rPr>
        <w:t xml:space="preserve">. </w:t>
      </w:r>
      <w:r w:rsidRPr="00843680">
        <w:t>This</w:t>
      </w:r>
      <w:r>
        <w:rPr>
          <w:i/>
        </w:rPr>
        <w:t xml:space="preserve"> </w:t>
      </w:r>
      <w:r w:rsidRPr="00B74A2B">
        <w:t>requires budget policies to boost demand for goods and services and direct investment in infrastructure and services like social housing and aged</w:t>
      </w:r>
      <w:r w:rsidRPr="00B74A2B">
        <w:rPr>
          <w:spacing w:val="-2"/>
        </w:rPr>
        <w:t xml:space="preserve"> </w:t>
      </w:r>
      <w:r w:rsidRPr="00B74A2B">
        <w:t>care</w:t>
      </w:r>
      <w:r>
        <w:t>;</w:t>
      </w:r>
    </w:p>
    <w:p w14:paraId="3A3A23ED" w14:textId="77777777" w:rsidR="00843680" w:rsidRDefault="00843680" w:rsidP="00F13F51">
      <w:pPr>
        <w:pStyle w:val="ListParagraph"/>
        <w:widowControl w:val="0"/>
        <w:numPr>
          <w:ilvl w:val="0"/>
          <w:numId w:val="30"/>
        </w:numPr>
        <w:tabs>
          <w:tab w:val="left" w:pos="2149"/>
        </w:tabs>
        <w:autoSpaceDE w:val="0"/>
        <w:autoSpaceDN w:val="0"/>
        <w:spacing w:line="259" w:lineRule="auto"/>
        <w:ind w:right="69"/>
        <w:contextualSpacing w:val="0"/>
      </w:pPr>
      <w:r w:rsidRPr="00B74A2B">
        <w:t>Sustain</w:t>
      </w:r>
      <w:r>
        <w:rPr>
          <w:i/>
        </w:rPr>
        <w:t xml:space="preserve"> JobKeeper payments as long as needed </w:t>
      </w:r>
      <w:r>
        <w:t>to protect jobs in industries and regions directly and substantially affected by COVID-19</w:t>
      </w:r>
      <w:r>
        <w:rPr>
          <w:spacing w:val="-13"/>
        </w:rPr>
        <w:t xml:space="preserve"> </w:t>
      </w:r>
      <w:r>
        <w:t>restrictions;</w:t>
      </w:r>
    </w:p>
    <w:p w14:paraId="63810F9D" w14:textId="691800BB" w:rsidR="00843680" w:rsidRPr="00BD3CB4" w:rsidRDefault="00843680" w:rsidP="00F13F51">
      <w:pPr>
        <w:pStyle w:val="ListParagraph"/>
        <w:widowControl w:val="0"/>
        <w:numPr>
          <w:ilvl w:val="0"/>
          <w:numId w:val="30"/>
        </w:numPr>
        <w:tabs>
          <w:tab w:val="left" w:pos="2148"/>
        </w:tabs>
        <w:autoSpaceDE w:val="0"/>
        <w:autoSpaceDN w:val="0"/>
        <w:spacing w:line="259" w:lineRule="auto"/>
        <w:ind w:right="69"/>
        <w:contextualSpacing w:val="0"/>
      </w:pPr>
      <w:r w:rsidRPr="00B74A2B">
        <w:t>Commit to a</w:t>
      </w:r>
      <w:r>
        <w:rPr>
          <w:i/>
        </w:rPr>
        <w:t xml:space="preserve"> jobs and training guarantee for people unemployed for over 12 months (6 months for young people)</w:t>
      </w:r>
      <w:r w:rsidRPr="00843680">
        <w:t>, including wage subsidies and/or substantial vocational training as required;</w:t>
      </w:r>
    </w:p>
    <w:p w14:paraId="6940F60A" w14:textId="77777777" w:rsidR="00843680" w:rsidRDefault="00843680" w:rsidP="00F13F51">
      <w:pPr>
        <w:pStyle w:val="ListParagraph"/>
        <w:widowControl w:val="0"/>
        <w:numPr>
          <w:ilvl w:val="0"/>
          <w:numId w:val="30"/>
        </w:numPr>
        <w:tabs>
          <w:tab w:val="left" w:pos="2148"/>
        </w:tabs>
        <w:autoSpaceDE w:val="0"/>
        <w:autoSpaceDN w:val="0"/>
        <w:spacing w:line="259" w:lineRule="auto"/>
        <w:ind w:right="69"/>
        <w:contextualSpacing w:val="0"/>
      </w:pPr>
      <w:r>
        <w:rPr>
          <w:i/>
        </w:rPr>
        <w:t>O</w:t>
      </w:r>
      <w:r>
        <w:t xml:space="preserve">ffer </w:t>
      </w:r>
      <w:r w:rsidRPr="00BD3CB4">
        <w:rPr>
          <w:i/>
        </w:rPr>
        <w:t xml:space="preserve">professional career guidance and training </w:t>
      </w:r>
      <w:r>
        <w:t>to other people receiving unemployment payments who need this including young education leavers, parents and carers returning to paid work, and older people who need to renew their careers;</w:t>
      </w:r>
    </w:p>
    <w:p w14:paraId="7C2BCF12" w14:textId="77777777" w:rsidR="00843680" w:rsidRDefault="00843680" w:rsidP="00F13F51">
      <w:pPr>
        <w:pStyle w:val="ListParagraph"/>
        <w:widowControl w:val="0"/>
        <w:numPr>
          <w:ilvl w:val="0"/>
          <w:numId w:val="30"/>
        </w:numPr>
        <w:tabs>
          <w:tab w:val="left" w:pos="2149"/>
        </w:tabs>
        <w:autoSpaceDE w:val="0"/>
        <w:autoSpaceDN w:val="0"/>
        <w:spacing w:line="259" w:lineRule="auto"/>
        <w:ind w:right="69"/>
        <w:contextualSpacing w:val="0"/>
      </w:pPr>
      <w:r>
        <w:rPr>
          <w:i/>
        </w:rPr>
        <w:t xml:space="preserve">Replace jobactive with a personalised service for people who are unemployed long-term or disadvantaged in the labour market, </w:t>
      </w:r>
      <w:r>
        <w:t xml:space="preserve">that treats people with respect, is properly resourced, and whose quality is assured by an independent statutory agency; </w:t>
      </w:r>
    </w:p>
    <w:p w14:paraId="37B3E5E4" w14:textId="4A6224A6" w:rsidR="00843680" w:rsidRDefault="00843680" w:rsidP="00F13F51">
      <w:pPr>
        <w:pStyle w:val="ListParagraph"/>
        <w:widowControl w:val="0"/>
        <w:numPr>
          <w:ilvl w:val="0"/>
          <w:numId w:val="30"/>
        </w:numPr>
        <w:tabs>
          <w:tab w:val="left" w:pos="2149"/>
        </w:tabs>
        <w:autoSpaceDE w:val="0"/>
        <w:autoSpaceDN w:val="0"/>
        <w:spacing w:line="259" w:lineRule="auto"/>
        <w:ind w:right="69"/>
        <w:contextualSpacing w:val="0"/>
      </w:pPr>
      <w:r w:rsidRPr="00BD3CB4">
        <w:rPr>
          <w:i/>
        </w:rPr>
        <w:t>Embed employment services in</w:t>
      </w:r>
      <w:r>
        <w:t xml:space="preserve"> </w:t>
      </w:r>
      <w:r>
        <w:rPr>
          <w:i/>
        </w:rPr>
        <w:t xml:space="preserve">local partnerships for jobs </w:t>
      </w:r>
      <w:r>
        <w:t>with employers, councils and community organisations, with input from people using the service;</w:t>
      </w:r>
    </w:p>
    <w:p w14:paraId="70EDD371" w14:textId="0B873B84" w:rsidR="00FE2905" w:rsidRDefault="00843680" w:rsidP="00F13F51">
      <w:pPr>
        <w:pStyle w:val="ListParagraph"/>
        <w:widowControl w:val="0"/>
        <w:numPr>
          <w:ilvl w:val="0"/>
          <w:numId w:val="30"/>
        </w:numPr>
        <w:tabs>
          <w:tab w:val="left" w:pos="2149"/>
        </w:tabs>
        <w:autoSpaceDE w:val="0"/>
        <w:autoSpaceDN w:val="0"/>
        <w:spacing w:line="259" w:lineRule="auto"/>
        <w:ind w:right="69"/>
        <w:contextualSpacing w:val="0"/>
      </w:pPr>
      <w:r>
        <w:rPr>
          <w:i/>
        </w:rPr>
        <w:t>Shift the role of employment services from supervising compliance to positive support to find employment</w:t>
      </w:r>
      <w:r>
        <w:t>, by removing harsh elements of the Targeted Compliance Framework and restoring the role of Services Australia in assuring compliance with activity</w:t>
      </w:r>
      <w:r>
        <w:rPr>
          <w:spacing w:val="-12"/>
        </w:rPr>
        <w:t xml:space="preserve"> </w:t>
      </w:r>
      <w:r>
        <w:t>requirements.</w:t>
      </w:r>
    </w:p>
    <w:p w14:paraId="69C3E5AA" w14:textId="77777777" w:rsidR="00843680" w:rsidRPr="00843680" w:rsidRDefault="00843680" w:rsidP="00843680">
      <w:pPr>
        <w:pStyle w:val="List3"/>
      </w:pPr>
    </w:p>
    <w:p w14:paraId="28A6E95E" w14:textId="79629D65" w:rsidR="0068094C" w:rsidRPr="00BE6CB1" w:rsidRDefault="0068094C" w:rsidP="003520E9">
      <w:pPr>
        <w:pStyle w:val="Heading2"/>
      </w:pPr>
      <w:bookmarkStart w:id="28" w:name="_Toc63685924"/>
      <w:r>
        <w:t>Introduction</w:t>
      </w:r>
      <w:bookmarkEnd w:id="28"/>
    </w:p>
    <w:p w14:paraId="6ED58983" w14:textId="77777777" w:rsidR="00FE2905" w:rsidRDefault="63A9A109" w:rsidP="676F2219">
      <w:r>
        <w:t xml:space="preserve">The deepest recession in almost a century, together with restrictions to prevent the spread of </w:t>
      </w:r>
      <w:r w:rsidR="00504DD5">
        <w:t>COVID-19</w:t>
      </w:r>
      <w:r>
        <w:t>, have transformed the labour market</w:t>
      </w:r>
      <w:r w:rsidR="19ED872D">
        <w:t xml:space="preserve">. After rising to an 'effective rate’ of 15%, unemployment remains high at </w:t>
      </w:r>
      <w:r w:rsidR="73CC5E2D">
        <w:t>6.8%</w:t>
      </w:r>
      <w:r w:rsidR="02CB8E71">
        <w:t xml:space="preserve">. </w:t>
      </w:r>
    </w:p>
    <w:p w14:paraId="44AA2BA5" w14:textId="11096359" w:rsidR="002B237C" w:rsidRDefault="02CB8E71" w:rsidP="676F2219">
      <w:r>
        <w:t xml:space="preserve">While the overall number of jobs has been restored to its pre-COVID level, </w:t>
      </w:r>
      <w:r w:rsidR="3552B43E">
        <w:t>one third</w:t>
      </w:r>
      <w:r>
        <w:t xml:space="preserve"> of fulltime positions lost</w:t>
      </w:r>
      <w:r w:rsidR="465FDD18">
        <w:t xml:space="preserve"> </w:t>
      </w:r>
      <w:r>
        <w:t>have not been re</w:t>
      </w:r>
      <w:r w:rsidR="6C4EB1A8">
        <w:t>stored.</w:t>
      </w:r>
      <w:r w:rsidR="63A9A109" w:rsidRPr="7B33A330">
        <w:rPr>
          <w:rStyle w:val="FootnoteReference"/>
        </w:rPr>
        <w:footnoteReference w:id="12"/>
      </w:r>
      <w:r w:rsidR="6C4EB1A8">
        <w:t xml:space="preserve"> </w:t>
      </w:r>
    </w:p>
    <w:p w14:paraId="6B47EFE5" w14:textId="4F593195" w:rsidR="63A9A109" w:rsidRDefault="303D0E60" w:rsidP="676F2219">
      <w:r>
        <w:lastRenderedPageBreak/>
        <w:t>Deeper</w:t>
      </w:r>
      <w:r w:rsidR="210E735C">
        <w:t xml:space="preserve"> changes a</w:t>
      </w:r>
      <w:r w:rsidR="73CC5E2D">
        <w:t xml:space="preserve">lready under way </w:t>
      </w:r>
      <w:r w:rsidR="4D8D94DD">
        <w:t>in the labour market – including sluggish wage growth, a lack of secure fulltime positions for young people, and a shift from fac</w:t>
      </w:r>
      <w:r w:rsidR="669EA1D5">
        <w:t>e-to-face to d</w:t>
      </w:r>
      <w:r w:rsidR="4D8D94DD">
        <w:t>igital services, have accelerated</w:t>
      </w:r>
      <w:r w:rsidR="005E55E3">
        <w:rPr>
          <w:rStyle w:val="FootnoteReference"/>
        </w:rPr>
        <w:footnoteReference w:id="13"/>
      </w:r>
      <w:r w:rsidR="73CC5E2D">
        <w:t xml:space="preserve">  </w:t>
      </w:r>
    </w:p>
    <w:p w14:paraId="6743ED89" w14:textId="7FA172B8" w:rsidR="5D40E93B" w:rsidRDefault="5D40E93B" w:rsidP="676F2219">
      <w:r>
        <w:t>Labour market conditions are still tough for people searching for employment. There is an average of nine people who are unemployed or searching for more paid hours for every vacancy.</w:t>
      </w:r>
      <w:r w:rsidRPr="7B33A330">
        <w:rPr>
          <w:rStyle w:val="FootnoteReference"/>
        </w:rPr>
        <w:footnoteReference w:id="14"/>
      </w:r>
      <w:r>
        <w:t xml:space="preserve"> There are </w:t>
      </w:r>
      <w:r w:rsidR="661A6FB3">
        <w:t>1.</w:t>
      </w:r>
      <w:r w:rsidR="3137AFF1">
        <w:t>5</w:t>
      </w:r>
      <w:r w:rsidR="661A6FB3">
        <w:t xml:space="preserve"> million people on </w:t>
      </w:r>
      <w:r w:rsidR="00A618BF">
        <w:t>JobSeeker</w:t>
      </w:r>
      <w:r w:rsidR="661A6FB3">
        <w:t xml:space="preserve"> and Youth Allowance (unemploy</w:t>
      </w:r>
      <w:r w:rsidR="3EA5BC58">
        <w:t>ment</w:t>
      </w:r>
      <w:r w:rsidR="661A6FB3">
        <w:t xml:space="preserve"> payments</w:t>
      </w:r>
      <w:r w:rsidR="698C4344">
        <w:t>)</w:t>
      </w:r>
      <w:r w:rsidR="661A6FB3">
        <w:t xml:space="preserve">, twice the number before COVID, </w:t>
      </w:r>
      <w:r w:rsidR="039BCE76">
        <w:t xml:space="preserve">and the number is likely to be </w:t>
      </w:r>
      <w:r w:rsidR="568FCA3D">
        <w:t>boosted as</w:t>
      </w:r>
      <w:r w:rsidR="039BCE76">
        <w:t xml:space="preserve"> more than 200,000 school leavers</w:t>
      </w:r>
      <w:r w:rsidR="133121FC">
        <w:t xml:space="preserve"> search for employment</w:t>
      </w:r>
      <w:r w:rsidR="039BCE76">
        <w:t>.</w:t>
      </w:r>
      <w:r w:rsidRPr="7B33A330">
        <w:rPr>
          <w:rStyle w:val="FootnoteReference"/>
        </w:rPr>
        <w:footnoteReference w:id="15"/>
      </w:r>
      <w:r w:rsidR="039BCE76">
        <w:t xml:space="preserve"> </w:t>
      </w:r>
    </w:p>
    <w:p w14:paraId="6F60145C" w14:textId="6142F589" w:rsidR="194EC013" w:rsidRDefault="7A87BAF4" w:rsidP="000B50DA">
      <w:r>
        <w:t>Around</w:t>
      </w:r>
      <w:r w:rsidR="194EC013">
        <w:t xml:space="preserve"> 40% </w:t>
      </w:r>
      <w:r w:rsidR="49244BCF">
        <w:t xml:space="preserve">of those </w:t>
      </w:r>
      <w:r w:rsidR="7D9ABE27">
        <w:t xml:space="preserve">on unemployment payments </w:t>
      </w:r>
      <w:r w:rsidR="38857BAC">
        <w:t>(</w:t>
      </w:r>
      <w:r w:rsidR="301988C1">
        <w:t>around</w:t>
      </w:r>
      <w:r w:rsidR="7D9ABE27">
        <w:t xml:space="preserve"> 700,000 people</w:t>
      </w:r>
      <w:r w:rsidR="595C8B3F">
        <w:t>)</w:t>
      </w:r>
      <w:r w:rsidR="7D9ABE27">
        <w:t xml:space="preserve"> </w:t>
      </w:r>
      <w:r w:rsidR="661A6FB3">
        <w:t xml:space="preserve">have received income support for over a year. </w:t>
      </w:r>
      <w:r w:rsidR="056A88BD">
        <w:t xml:space="preserve">Over one third </w:t>
      </w:r>
      <w:r w:rsidR="4815CB38">
        <w:t xml:space="preserve">are </w:t>
      </w:r>
      <w:r w:rsidR="1493F029">
        <w:t>4</w:t>
      </w:r>
      <w:r w:rsidR="4815CB38">
        <w:t xml:space="preserve">5 years </w:t>
      </w:r>
      <w:r w:rsidR="328B340B">
        <w:t>or older</w:t>
      </w:r>
      <w:r w:rsidR="4815CB38">
        <w:t xml:space="preserve">, </w:t>
      </w:r>
      <w:r w:rsidR="707C8561">
        <w:t>one quarter</w:t>
      </w:r>
      <w:r w:rsidR="6DE42A21">
        <w:t xml:space="preserve"> </w:t>
      </w:r>
      <w:r w:rsidR="4815CB38">
        <w:t xml:space="preserve">have disability, </w:t>
      </w:r>
      <w:r w:rsidR="0EEC4DB6">
        <w:t>9% identify with Aboriginal and Torres Strait Islander communities and 7</w:t>
      </w:r>
      <w:r w:rsidR="5E84BCB5">
        <w:t xml:space="preserve">% </w:t>
      </w:r>
      <w:r w:rsidR="4815CB38">
        <w:t>are raising a child alone</w:t>
      </w:r>
      <w:r w:rsidR="482BD069">
        <w:t xml:space="preserve">. Many belong to groups </w:t>
      </w:r>
      <w:r w:rsidR="4815CB38">
        <w:t xml:space="preserve">who </w:t>
      </w:r>
      <w:r w:rsidR="55FA5E84">
        <w:t>would</w:t>
      </w:r>
      <w:r w:rsidR="4815CB38">
        <w:t xml:space="preserve"> have received pension payments before 'welfare to work’ policies diverted them to unemployment paymen</w:t>
      </w:r>
      <w:r w:rsidR="2D6627DE">
        <w:t>ts.</w:t>
      </w:r>
      <w:r w:rsidR="194EC013" w:rsidRPr="7B33A330">
        <w:rPr>
          <w:rStyle w:val="FootnoteReference"/>
        </w:rPr>
        <w:footnoteReference w:id="16"/>
      </w:r>
      <w:r w:rsidR="2D6627DE">
        <w:t xml:space="preserve"> The number of long-term recipients will rise substantially from April 2021 – one year after the COVID recession hit.</w:t>
      </w:r>
      <w:r w:rsidR="7B80365A">
        <w:t xml:space="preserve"> </w:t>
      </w:r>
    </w:p>
    <w:p w14:paraId="36F2DA23" w14:textId="2801875F" w:rsidR="1EABBD72" w:rsidRDefault="00FA797F" w:rsidP="000B50DA">
      <w:pPr>
        <w:pStyle w:val="Heading4"/>
      </w:pPr>
      <w:r>
        <w:t>Figure 1</w:t>
      </w:r>
      <w:r w:rsidR="1EABBD72">
        <w:t>: Who receives unemployment payments?</w:t>
      </w:r>
    </w:p>
    <w:p w14:paraId="31B26E7F" w14:textId="2BCFF666" w:rsidR="11F97FC9" w:rsidRDefault="11A9B3B1" w:rsidP="002B237C">
      <w:pPr>
        <w:jc w:val="center"/>
      </w:pPr>
      <w:r>
        <w:rPr>
          <w:noProof/>
          <w:color w:val="2B579A"/>
          <w:shd w:val="clear" w:color="auto" w:fill="E6E6E6"/>
          <w:lang w:val="en-AU" w:eastAsia="en-AU"/>
        </w:rPr>
        <w:drawing>
          <wp:inline distT="0" distB="0" distL="0" distR="0" wp14:anchorId="31F9582A" wp14:editId="79FCD2A7">
            <wp:extent cx="4572000" cy="2743200"/>
            <wp:effectExtent l="0" t="0" r="0" b="0"/>
            <wp:docPr id="938913674" name="Picture 93891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7347D286" w14:textId="7F4E1673" w:rsidR="375E7B51" w:rsidRDefault="375E7B51" w:rsidP="7B33A330">
      <w:r w:rsidRPr="7B33A330">
        <w:rPr>
          <w:sz w:val="18"/>
          <w:szCs w:val="18"/>
        </w:rPr>
        <w:t>Source: DSS Payment demographic data.</w:t>
      </w:r>
    </w:p>
    <w:p w14:paraId="642C75A7" w14:textId="30351171" w:rsidR="002B237C" w:rsidRDefault="00C1BBF2" w:rsidP="676F2219">
      <w:r>
        <w:t xml:space="preserve">Once </w:t>
      </w:r>
      <w:r w:rsidR="6BE0276C">
        <w:t xml:space="preserve">jobs lost during the lockdowns are restored, employment growth is unlikely to be strong enough to quickly reduce unemployment in the absence of the budget policies advocated in </w:t>
      </w:r>
      <w:r w:rsidR="39843CE1">
        <w:t xml:space="preserve">this submission. </w:t>
      </w:r>
    </w:p>
    <w:p w14:paraId="36597AE6" w14:textId="75677B4D" w:rsidR="0E51E9A5" w:rsidRDefault="39843CE1" w:rsidP="676F2219">
      <w:r>
        <w:t xml:space="preserve">Even if employment growth is sustained, there are many people who stand little chance of securing paid employment without major improvements in the </w:t>
      </w:r>
      <w:r w:rsidR="0E51E9A5">
        <w:t xml:space="preserve">employment services </w:t>
      </w:r>
      <w:r w:rsidR="4B40D31F">
        <w:t xml:space="preserve">and training </w:t>
      </w:r>
      <w:r w:rsidR="0E51E9A5">
        <w:t>system</w:t>
      </w:r>
      <w:r w:rsidR="5A1418CD">
        <w:t>s.</w:t>
      </w:r>
      <w:r w:rsidR="4BB6CC27">
        <w:t xml:space="preserve"> </w:t>
      </w:r>
      <w:r w:rsidR="002B237C">
        <w:t xml:space="preserve">  </w:t>
      </w:r>
    </w:p>
    <w:p w14:paraId="21FBF163" w14:textId="1D51CDC2" w:rsidR="7B33A330" w:rsidRDefault="7B33A330" w:rsidP="7B33A330"/>
    <w:p w14:paraId="789A50E7" w14:textId="43A70474" w:rsidR="0F2F3130" w:rsidRDefault="0F2F3130" w:rsidP="003520E9">
      <w:pPr>
        <w:pStyle w:val="Heading2"/>
      </w:pPr>
      <w:bookmarkStart w:id="29" w:name="_Toc63685925"/>
      <w:r>
        <w:lastRenderedPageBreak/>
        <w:t>Generate new jobs and protect existing ones</w:t>
      </w:r>
      <w:bookmarkEnd w:id="29"/>
    </w:p>
    <w:p w14:paraId="75EA8BF3" w14:textId="16905FAF" w:rsidR="566CB040" w:rsidRDefault="566CB040">
      <w:r>
        <w:t xml:space="preserve">The MYEFO projects that unemployment will </w:t>
      </w:r>
      <w:r w:rsidR="3AAE8C4F">
        <w:t xml:space="preserve">slowly </w:t>
      </w:r>
      <w:r>
        <w:t xml:space="preserve">decline from </w:t>
      </w:r>
      <w:r w:rsidR="55785003">
        <w:t>7.25</w:t>
      </w:r>
      <w:r>
        <w:t>% in 202</w:t>
      </w:r>
      <w:r w:rsidR="2C9B267A">
        <w:t>0</w:t>
      </w:r>
      <w:r>
        <w:t xml:space="preserve">-21 to </w:t>
      </w:r>
      <w:r w:rsidR="40DA0A2E">
        <w:t>5.25</w:t>
      </w:r>
      <w:r>
        <w:t xml:space="preserve">% </w:t>
      </w:r>
      <w:r w:rsidR="210E7BE0">
        <w:t>in</w:t>
      </w:r>
      <w:r>
        <w:t xml:space="preserve"> 2023-24</w:t>
      </w:r>
      <w:r w:rsidR="7586F072">
        <w:t xml:space="preserve">, though these projections may be pessimistic given stronger than expected employment </w:t>
      </w:r>
      <w:r w:rsidR="661BF7D5">
        <w:t xml:space="preserve">growth </w:t>
      </w:r>
      <w:r w:rsidR="7586F072">
        <w:t>in the last quarter of 2020</w:t>
      </w:r>
      <w:r>
        <w:t xml:space="preserve">. </w:t>
      </w:r>
      <w:r w:rsidR="65976BEB">
        <w:t xml:space="preserve">High unemployment </w:t>
      </w:r>
      <w:r w:rsidR="3B52B59F">
        <w:t>is socially harmful and a waste of economic resources</w:t>
      </w:r>
      <w:r w:rsidR="2C159AC1">
        <w:t>, and we can do better</w:t>
      </w:r>
      <w:r w:rsidR="3E990B60">
        <w:t xml:space="preserve"> than this</w:t>
      </w:r>
      <w:r w:rsidR="3B52B59F">
        <w:t xml:space="preserve">. </w:t>
      </w:r>
      <w:r w:rsidR="02703D82">
        <w:t xml:space="preserve">The government should set a goal </w:t>
      </w:r>
      <w:r>
        <w:t xml:space="preserve">to reduce unemployment below 5% </w:t>
      </w:r>
      <w:r w:rsidR="765942EF">
        <w:t>by the end of the next financial year (June 2022)</w:t>
      </w:r>
      <w:r w:rsidR="520BB5CE">
        <w:t>.</w:t>
      </w:r>
    </w:p>
    <w:p w14:paraId="374D7378" w14:textId="12C401AC" w:rsidR="74A52062" w:rsidRDefault="74A52062">
      <w:r>
        <w:t>We outline po</w:t>
      </w:r>
      <w:r w:rsidR="520BB5CE">
        <w:t>licies</w:t>
      </w:r>
      <w:r w:rsidR="7FB2D786">
        <w:t xml:space="preserve"> elsewhere in this submission </w:t>
      </w:r>
      <w:r w:rsidR="520BB5CE">
        <w:t xml:space="preserve">to speed growth </w:t>
      </w:r>
      <w:r w:rsidR="56A6CE8A">
        <w:t xml:space="preserve">in </w:t>
      </w:r>
      <w:r w:rsidR="520BB5CE">
        <w:t>employment through improved income support (lifting demand for goods and services), infr</w:t>
      </w:r>
      <w:r w:rsidR="69F15EAB">
        <w:t>astructure investment such as social housing, and improvements in care services</w:t>
      </w:r>
      <w:r w:rsidR="438EE0DB">
        <w:t xml:space="preserve">. In addition, </w:t>
      </w:r>
      <w:r w:rsidR="55F6B738">
        <w:t xml:space="preserve">we propose that the </w:t>
      </w:r>
      <w:r w:rsidR="00A618BF">
        <w:t>JobKeeper</w:t>
      </w:r>
      <w:r w:rsidR="55F6B738">
        <w:t xml:space="preserve"> wage subsidy be maintained for as long as </w:t>
      </w:r>
      <w:r w:rsidR="23DC1B55">
        <w:t xml:space="preserve">it is </w:t>
      </w:r>
      <w:r w:rsidR="55F6B738">
        <w:t>needed</w:t>
      </w:r>
      <w:r w:rsidR="64EB9CBC">
        <w:t>.</w:t>
      </w:r>
    </w:p>
    <w:p w14:paraId="32FF1BF2" w14:textId="5FEE3414" w:rsidR="3ACBD377" w:rsidRDefault="3ACBD377">
      <w:r>
        <w:t xml:space="preserve">ACOSS supports in principle a gradual transition from protecting existing jobs (through </w:t>
      </w:r>
      <w:r w:rsidR="00A618BF">
        <w:t>JobKeeper</w:t>
      </w:r>
      <w:r>
        <w:t xml:space="preserve"> payments) towards wage subsidies t</w:t>
      </w:r>
      <w:r w:rsidR="41BC0947">
        <w:t>o</w:t>
      </w:r>
      <w:r>
        <w:t xml:space="preserve"> generate new ones (through Jobmaker</w:t>
      </w:r>
      <w:r w:rsidR="70B6431C">
        <w:t xml:space="preserve"> payments</w:t>
      </w:r>
      <w:r>
        <w:t>)</w:t>
      </w:r>
      <w:r w:rsidR="4AE4A297">
        <w:t>, as COVID restrictions are eased</w:t>
      </w:r>
      <w:r>
        <w:t xml:space="preserve">. </w:t>
      </w:r>
      <w:r w:rsidR="64EB9CBC">
        <w:t xml:space="preserve"> </w:t>
      </w:r>
    </w:p>
    <w:p w14:paraId="67F3FDA4" w14:textId="45EC158A" w:rsidR="03172416" w:rsidRDefault="03172416">
      <w:r>
        <w:t>However</w:t>
      </w:r>
      <w:r w:rsidR="1E0EC905">
        <w:t>,</w:t>
      </w:r>
      <w:r>
        <w:t xml:space="preserve"> </w:t>
      </w:r>
      <w:r w:rsidR="00A618BF">
        <w:t>JobKeeper</w:t>
      </w:r>
      <w:r w:rsidR="1E2000B7">
        <w:t xml:space="preserve"> payments should not end abruptly on 31 March because there is still a need to protect employment in industries </w:t>
      </w:r>
      <w:r w:rsidR="25273E67">
        <w:t xml:space="preserve">and regions </w:t>
      </w:r>
      <w:r w:rsidR="5B632272">
        <w:t>directly and substantially affected by COVID restrictions</w:t>
      </w:r>
      <w:r w:rsidR="3D56A5FE">
        <w:t>.</w:t>
      </w:r>
      <w:r w:rsidR="5B632272">
        <w:t xml:space="preserve"> That n</w:t>
      </w:r>
      <w:r w:rsidR="614586B4">
        <w:t>eed is likely to remain until it is clear that vaccines have effectively prevented the spread of the virus.</w:t>
      </w:r>
    </w:p>
    <w:p w14:paraId="4652B7DA" w14:textId="00273B1E" w:rsidR="04A85267" w:rsidRDefault="00985429" w:rsidP="7B33A330">
      <w:pPr>
        <w:pStyle w:val="Recommendation"/>
        <w:rPr>
          <w:color w:val="000000" w:themeColor="text1"/>
        </w:rPr>
      </w:pPr>
      <w:r>
        <w:t>Recommendation 9</w:t>
      </w:r>
      <w:r w:rsidR="04A85267">
        <w:t xml:space="preserve">: </w:t>
      </w:r>
      <w:r w:rsidR="04A85267" w:rsidRPr="002B237C">
        <w:rPr>
          <w:color w:val="000000" w:themeColor="text1"/>
        </w:rPr>
        <w:t xml:space="preserve">Set a goal to reduce unemployment below 5% </w:t>
      </w:r>
      <w:r w:rsidR="12A3B739" w:rsidRPr="002B237C">
        <w:rPr>
          <w:color w:val="000000" w:themeColor="text1"/>
        </w:rPr>
        <w:t>by the end of the next financial year</w:t>
      </w:r>
      <w:r w:rsidR="04A85267">
        <w:br/>
      </w:r>
    </w:p>
    <w:p w14:paraId="7514D762" w14:textId="34342CFF" w:rsidR="04A85267" w:rsidRDefault="04A85267" w:rsidP="7B33A330">
      <w:pPr>
        <w:rPr>
          <w:b/>
          <w:bCs/>
          <w:color w:val="auto"/>
        </w:rPr>
      </w:pPr>
      <w:r w:rsidRPr="7B33A330">
        <w:rPr>
          <w:b/>
          <w:bCs/>
          <w:color w:val="auto"/>
        </w:rPr>
        <w:t xml:space="preserve">The government should set a policy goal, supported by </w:t>
      </w:r>
      <w:r w:rsidR="2B393B62" w:rsidRPr="7B33A330">
        <w:rPr>
          <w:b/>
          <w:bCs/>
          <w:color w:val="auto"/>
        </w:rPr>
        <w:t xml:space="preserve">public </w:t>
      </w:r>
      <w:r w:rsidRPr="7B33A330">
        <w:rPr>
          <w:b/>
          <w:bCs/>
          <w:color w:val="auto"/>
        </w:rPr>
        <w:t>investment</w:t>
      </w:r>
      <w:r w:rsidR="7F406E3B" w:rsidRPr="7B33A330">
        <w:rPr>
          <w:b/>
          <w:bCs/>
          <w:color w:val="auto"/>
        </w:rPr>
        <w:t>s</w:t>
      </w:r>
      <w:r w:rsidRPr="7B33A330">
        <w:rPr>
          <w:b/>
          <w:bCs/>
          <w:color w:val="auto"/>
        </w:rPr>
        <w:t xml:space="preserve"> in infrastructure, income sup</w:t>
      </w:r>
      <w:r w:rsidR="10CD8716" w:rsidRPr="7B33A330">
        <w:rPr>
          <w:b/>
          <w:bCs/>
          <w:color w:val="auto"/>
        </w:rPr>
        <w:t>p</w:t>
      </w:r>
      <w:r w:rsidRPr="7B33A330">
        <w:rPr>
          <w:b/>
          <w:bCs/>
          <w:color w:val="auto"/>
        </w:rPr>
        <w:t>ort a</w:t>
      </w:r>
      <w:r w:rsidR="17ECA685" w:rsidRPr="7B33A330">
        <w:rPr>
          <w:b/>
          <w:bCs/>
          <w:color w:val="auto"/>
        </w:rPr>
        <w:t xml:space="preserve">nd </w:t>
      </w:r>
      <w:r w:rsidR="7197BC3C" w:rsidRPr="7B33A330">
        <w:rPr>
          <w:b/>
          <w:bCs/>
          <w:color w:val="auto"/>
        </w:rPr>
        <w:t>care services,</w:t>
      </w:r>
      <w:r w:rsidRPr="7B33A330">
        <w:rPr>
          <w:b/>
          <w:bCs/>
          <w:color w:val="auto"/>
        </w:rPr>
        <w:t xml:space="preserve"> to reduce unemployment below 5% by </w:t>
      </w:r>
      <w:r w:rsidR="71E4F5B3" w:rsidRPr="7B33A330">
        <w:rPr>
          <w:b/>
          <w:bCs/>
          <w:color w:val="auto"/>
        </w:rPr>
        <w:t>June</w:t>
      </w:r>
      <w:r w:rsidRPr="7B33A330">
        <w:rPr>
          <w:b/>
          <w:bCs/>
          <w:color w:val="auto"/>
        </w:rPr>
        <w:t xml:space="preserve"> 2022. </w:t>
      </w:r>
    </w:p>
    <w:p w14:paraId="58391947" w14:textId="163447CC" w:rsidR="4A8A4BE3" w:rsidRDefault="00985429" w:rsidP="7B33A330">
      <w:pPr>
        <w:pStyle w:val="Recommendation"/>
        <w:rPr>
          <w:bCs/>
          <w:color w:val="auto"/>
        </w:rPr>
      </w:pPr>
      <w:r w:rsidRPr="00985429">
        <w:rPr>
          <w:color w:val="C00000"/>
        </w:rPr>
        <w:t>Recommendation 10</w:t>
      </w:r>
      <w:r w:rsidR="4A8A4BE3" w:rsidRPr="00985429">
        <w:rPr>
          <w:color w:val="C00000"/>
        </w:rPr>
        <w:t>:</w:t>
      </w:r>
      <w:r w:rsidR="4A8A4BE3">
        <w:t xml:space="preserve"> </w:t>
      </w:r>
      <w:r w:rsidR="4A8A4BE3" w:rsidRPr="00985429">
        <w:rPr>
          <w:color w:val="auto"/>
        </w:rPr>
        <w:t xml:space="preserve">Maintain </w:t>
      </w:r>
      <w:r w:rsidR="00A618BF" w:rsidRPr="00985429">
        <w:rPr>
          <w:color w:val="auto"/>
        </w:rPr>
        <w:t>JobKeeper</w:t>
      </w:r>
      <w:r w:rsidR="4A8A4BE3" w:rsidRPr="00985429">
        <w:rPr>
          <w:color w:val="auto"/>
        </w:rPr>
        <w:t xml:space="preserve"> payments in a more targeted form</w:t>
      </w:r>
      <w:r w:rsidR="4A8A4BE3">
        <w:br/>
      </w:r>
    </w:p>
    <w:p w14:paraId="7FC3CA8F" w14:textId="72A917BE" w:rsidR="38BBD71C" w:rsidRDefault="38BBD71C" w:rsidP="7B33A330">
      <w:pPr>
        <w:pStyle w:val="Recommendation"/>
        <w:rPr>
          <w:bCs/>
          <w:color w:val="auto"/>
        </w:rPr>
      </w:pPr>
      <w:r w:rsidRPr="7B33A330">
        <w:rPr>
          <w:bCs/>
          <w:color w:val="auto"/>
        </w:rPr>
        <w:t xml:space="preserve">(1) </w:t>
      </w:r>
      <w:r w:rsidR="4A8A4BE3" w:rsidRPr="7B33A330">
        <w:rPr>
          <w:bCs/>
          <w:color w:val="auto"/>
        </w:rPr>
        <w:t xml:space="preserve">Maximum </w:t>
      </w:r>
      <w:r w:rsidR="00A618BF">
        <w:rPr>
          <w:bCs/>
          <w:color w:val="auto"/>
        </w:rPr>
        <w:t>JobKeeper</w:t>
      </w:r>
      <w:r w:rsidR="4A8A4BE3" w:rsidRPr="7B33A330">
        <w:rPr>
          <w:bCs/>
          <w:color w:val="auto"/>
        </w:rPr>
        <w:t xml:space="preserve"> payments of $750 per week for those employed for over 20 hours a week and $</w:t>
      </w:r>
      <w:r w:rsidR="4DFDFB31" w:rsidRPr="7B33A330">
        <w:rPr>
          <w:bCs/>
          <w:color w:val="auto"/>
        </w:rPr>
        <w:t>375</w:t>
      </w:r>
      <w:r w:rsidR="4A8A4BE3" w:rsidRPr="7B33A330">
        <w:rPr>
          <w:bCs/>
          <w:color w:val="auto"/>
        </w:rPr>
        <w:t xml:space="preserve"> for other employees should be available </w:t>
      </w:r>
      <w:r w:rsidR="2FA0E3D9" w:rsidRPr="7B33A330">
        <w:rPr>
          <w:bCs/>
          <w:color w:val="auto"/>
        </w:rPr>
        <w:t xml:space="preserve">beyond 30 March </w:t>
      </w:r>
      <w:r w:rsidR="4A8A4BE3" w:rsidRPr="7B33A330">
        <w:rPr>
          <w:bCs/>
          <w:color w:val="auto"/>
        </w:rPr>
        <w:t xml:space="preserve">to employers for workplaces </w:t>
      </w:r>
      <w:r w:rsidR="515A6461" w:rsidRPr="7B33A330">
        <w:rPr>
          <w:bCs/>
          <w:color w:val="auto"/>
        </w:rPr>
        <w:t xml:space="preserve">in industries and regions </w:t>
      </w:r>
      <w:r w:rsidR="4A8A4BE3" w:rsidRPr="7B33A330">
        <w:rPr>
          <w:bCs/>
          <w:color w:val="auto"/>
        </w:rPr>
        <w:t>directly and s</w:t>
      </w:r>
      <w:r w:rsidR="78DD50D6" w:rsidRPr="7B33A330">
        <w:rPr>
          <w:bCs/>
          <w:color w:val="auto"/>
        </w:rPr>
        <w:t xml:space="preserve">ubstantially affected </w:t>
      </w:r>
      <w:r w:rsidR="1ACC6089" w:rsidRPr="7B33A330">
        <w:rPr>
          <w:bCs/>
          <w:color w:val="auto"/>
        </w:rPr>
        <w:t xml:space="preserve">by </w:t>
      </w:r>
      <w:r w:rsidR="00504DD5">
        <w:rPr>
          <w:bCs/>
          <w:color w:val="auto"/>
        </w:rPr>
        <w:t>COVID-19</w:t>
      </w:r>
      <w:r w:rsidR="1ACC6089" w:rsidRPr="7B33A330">
        <w:rPr>
          <w:bCs/>
          <w:color w:val="auto"/>
        </w:rPr>
        <w:t xml:space="preserve"> restrictions</w:t>
      </w:r>
      <w:r w:rsidR="1D6C7BD5" w:rsidRPr="7B33A330">
        <w:rPr>
          <w:bCs/>
          <w:color w:val="auto"/>
        </w:rPr>
        <w:t xml:space="preserve"> (</w:t>
      </w:r>
      <w:r w:rsidR="1ACC6089" w:rsidRPr="7B33A330">
        <w:rPr>
          <w:bCs/>
          <w:color w:val="auto"/>
        </w:rPr>
        <w:t>including lockdowns, social distancing requirements, and international border restrictions</w:t>
      </w:r>
      <w:r w:rsidR="28CBB7B2" w:rsidRPr="7B33A330">
        <w:rPr>
          <w:bCs/>
          <w:color w:val="auto"/>
        </w:rPr>
        <w:t>)</w:t>
      </w:r>
      <w:r w:rsidR="06DB4D34" w:rsidRPr="7B33A330">
        <w:rPr>
          <w:bCs/>
          <w:color w:val="auto"/>
        </w:rPr>
        <w:t xml:space="preserve">, </w:t>
      </w:r>
      <w:r w:rsidR="282147A3" w:rsidRPr="7B33A330">
        <w:rPr>
          <w:bCs/>
          <w:color w:val="auto"/>
        </w:rPr>
        <w:t xml:space="preserve">where the employer </w:t>
      </w:r>
      <w:r w:rsidR="163CAE28" w:rsidRPr="7B33A330">
        <w:rPr>
          <w:bCs/>
          <w:color w:val="auto"/>
        </w:rPr>
        <w:t>demonstrates it has experienced m</w:t>
      </w:r>
      <w:r w:rsidR="282147A3" w:rsidRPr="7B33A330">
        <w:rPr>
          <w:bCs/>
          <w:color w:val="auto"/>
        </w:rPr>
        <w:t>ajor income losses as a result.</w:t>
      </w:r>
      <w:r>
        <w:br/>
      </w:r>
    </w:p>
    <w:p w14:paraId="67B20827" w14:textId="5F4B7336" w:rsidR="00877C5B" w:rsidRDefault="282147A3" w:rsidP="005855C0">
      <w:pPr>
        <w:pStyle w:val="Recommendation"/>
      </w:pPr>
      <w:r w:rsidRPr="7B33A330">
        <w:rPr>
          <w:bCs/>
          <w:color w:val="auto"/>
        </w:rPr>
        <w:t xml:space="preserve">(2) </w:t>
      </w:r>
      <w:r w:rsidR="00473298">
        <w:rPr>
          <w:bCs/>
          <w:color w:val="auto"/>
        </w:rPr>
        <w:t>Extend these more targeted JobKeeper payments</w:t>
      </w:r>
      <w:r w:rsidR="730CC654" w:rsidRPr="7B33A330">
        <w:rPr>
          <w:bCs/>
          <w:color w:val="auto"/>
        </w:rPr>
        <w:t xml:space="preserve"> to </w:t>
      </w:r>
      <w:r w:rsidR="06DB4D34" w:rsidRPr="7B33A330">
        <w:rPr>
          <w:bCs/>
          <w:color w:val="auto"/>
        </w:rPr>
        <w:t>31 December 2021, subject to a public review</w:t>
      </w:r>
      <w:r w:rsidR="4A8A4BE3" w:rsidRPr="7B33A330">
        <w:rPr>
          <w:bCs/>
          <w:color w:val="auto"/>
        </w:rPr>
        <w:t xml:space="preserve"> </w:t>
      </w:r>
      <w:r w:rsidR="777B8D60" w:rsidRPr="7B33A330">
        <w:rPr>
          <w:bCs/>
          <w:color w:val="auto"/>
        </w:rPr>
        <w:t>in the second half of this year.</w:t>
      </w:r>
    </w:p>
    <w:p w14:paraId="1C5E9F4C" w14:textId="77777777" w:rsidR="002B237C" w:rsidRDefault="002B237C" w:rsidP="005855C0">
      <w:pPr>
        <w:pStyle w:val="Recommendation"/>
      </w:pPr>
    </w:p>
    <w:p w14:paraId="2603DC49" w14:textId="75AB57F8" w:rsidR="0068094C" w:rsidRDefault="6B043573" w:rsidP="003520E9">
      <w:pPr>
        <w:pStyle w:val="Heading2"/>
      </w:pPr>
      <w:bookmarkStart w:id="30" w:name="_Toc63685926"/>
      <w:r>
        <w:t>A jobs and training guarantee to reduce long-term unemployment</w:t>
      </w:r>
      <w:bookmarkEnd w:id="30"/>
    </w:p>
    <w:p w14:paraId="4F784B72" w14:textId="7415730D" w:rsidR="0068094C" w:rsidRDefault="52FEB8E7" w:rsidP="0068094C">
      <w:r>
        <w:t xml:space="preserve">To secure employment, most people who are already long-term unemployed need </w:t>
      </w:r>
      <w:r w:rsidR="2026CED5">
        <w:t>much more than</w:t>
      </w:r>
      <w:r w:rsidR="2050CEE9">
        <w:t xml:space="preserve"> help with </w:t>
      </w:r>
      <w:r>
        <w:t xml:space="preserve">job search. Depending on circumstances they may also need: </w:t>
      </w:r>
    </w:p>
    <w:p w14:paraId="3E1797CE" w14:textId="0CBDB7B7" w:rsidR="0068094C" w:rsidRPr="0073744E" w:rsidRDefault="52FEB8E7" w:rsidP="00F13F51">
      <w:pPr>
        <w:pStyle w:val="ListParagraph"/>
        <w:numPr>
          <w:ilvl w:val="0"/>
          <w:numId w:val="13"/>
        </w:numPr>
        <w:rPr>
          <w:rFonts w:asciiTheme="minorHAnsi" w:eastAsiaTheme="minorEastAsia" w:hAnsiTheme="minorHAnsi"/>
        </w:rPr>
      </w:pPr>
      <w:r w:rsidRPr="0073744E">
        <w:t xml:space="preserve">Paid work experience in regular jobs (building on the JobKeeper wage subsidies </w:t>
      </w:r>
      <w:r w:rsidR="48EFF457" w:rsidRPr="0073744E">
        <w:t xml:space="preserve">for young people </w:t>
      </w:r>
      <w:r w:rsidRPr="0073744E">
        <w:t xml:space="preserve">and </w:t>
      </w:r>
      <w:r w:rsidR="0954D1F1" w:rsidRPr="0073744E">
        <w:t xml:space="preserve">existing </w:t>
      </w:r>
      <w:r w:rsidRPr="0073744E">
        <w:t xml:space="preserve">wage subsidy schemes for </w:t>
      </w:r>
      <w:r w:rsidR="70FBFEA7" w:rsidRPr="0073744E">
        <w:t xml:space="preserve">people who are </w:t>
      </w:r>
      <w:r w:rsidRPr="0073744E">
        <w:t xml:space="preserve">unemployed); </w:t>
      </w:r>
    </w:p>
    <w:p w14:paraId="0007385A" w14:textId="3C3D4BF2" w:rsidR="0068094C" w:rsidRPr="0073744E" w:rsidRDefault="52FEB8E7" w:rsidP="00F13F51">
      <w:pPr>
        <w:pStyle w:val="ListParagraph"/>
        <w:numPr>
          <w:ilvl w:val="0"/>
          <w:numId w:val="13"/>
        </w:numPr>
        <w:rPr>
          <w:rFonts w:asciiTheme="minorHAnsi" w:eastAsiaTheme="minorEastAsia" w:hAnsiTheme="minorHAnsi"/>
          <w:b/>
        </w:rPr>
      </w:pPr>
      <w:r w:rsidRPr="0073744E">
        <w:t>Vocational or foundational skills training</w:t>
      </w:r>
      <w:r w:rsidRPr="0073744E">
        <w:rPr>
          <w:b/>
        </w:rPr>
        <w:t xml:space="preserve">; </w:t>
      </w:r>
    </w:p>
    <w:p w14:paraId="05A5030C" w14:textId="066CD4AA" w:rsidR="0068094C" w:rsidRPr="0073744E" w:rsidRDefault="52FEB8E7" w:rsidP="00F13F51">
      <w:pPr>
        <w:pStyle w:val="ListParagraph"/>
        <w:numPr>
          <w:ilvl w:val="0"/>
          <w:numId w:val="13"/>
        </w:numPr>
        <w:rPr>
          <w:rFonts w:asciiTheme="minorHAnsi" w:eastAsiaTheme="minorEastAsia" w:hAnsiTheme="minorHAnsi"/>
        </w:rPr>
      </w:pPr>
      <w:r w:rsidRPr="0073744E">
        <w:lastRenderedPageBreak/>
        <w:t xml:space="preserve">Connection with a local employer willing to give them a chance to fill a vacancy (demand-led approaches); and/or </w:t>
      </w:r>
    </w:p>
    <w:p w14:paraId="4FBB69CC" w14:textId="582B550D" w:rsidR="0068094C" w:rsidRPr="0073744E" w:rsidRDefault="52FEB8E7" w:rsidP="00F13F51">
      <w:pPr>
        <w:pStyle w:val="ListParagraph"/>
        <w:numPr>
          <w:ilvl w:val="0"/>
          <w:numId w:val="13"/>
        </w:numPr>
        <w:rPr>
          <w:rFonts w:asciiTheme="minorHAnsi" w:eastAsiaTheme="minorEastAsia" w:hAnsiTheme="minorHAnsi"/>
        </w:rPr>
      </w:pPr>
      <w:r w:rsidRPr="0073744E">
        <w:t>Support with other barriers to employment including connecting them with local health and community services.</w:t>
      </w:r>
    </w:p>
    <w:p w14:paraId="1DE20CC0" w14:textId="63517D92" w:rsidR="0068094C" w:rsidRPr="00F03627" w:rsidRDefault="0068094C" w:rsidP="676F2219">
      <w:r>
        <w:br/>
      </w:r>
      <w:r w:rsidR="0AE41FDF">
        <w:t xml:space="preserve">We propose a jobs and training guarantee for people receiving unemployment payments for 12 months or more (six months if under 25 years old). </w:t>
      </w:r>
      <w:r w:rsidR="64D12FF9">
        <w:t>Th</w:t>
      </w:r>
      <w:r w:rsidR="13E2BFE8">
        <w:t xml:space="preserve">is would comprise </w:t>
      </w:r>
      <w:r w:rsidR="64D12FF9">
        <w:t>wage subsidies, training places and other more intensive support</w:t>
      </w:r>
      <w:r w:rsidR="7077CC85">
        <w:t>s</w:t>
      </w:r>
      <w:r w:rsidR="64D12FF9">
        <w:t xml:space="preserve"> </w:t>
      </w:r>
      <w:r w:rsidR="74F2CFB0">
        <w:t xml:space="preserve">typically lasting 6-12 months, </w:t>
      </w:r>
      <w:r w:rsidR="64D12FF9">
        <w:t xml:space="preserve">to </w:t>
      </w:r>
      <w:r w:rsidR="1A8A45DC">
        <w:t>im</w:t>
      </w:r>
      <w:r w:rsidR="64D12FF9">
        <w:t xml:space="preserve">prove </w:t>
      </w:r>
      <w:r w:rsidR="736718B2">
        <w:t xml:space="preserve">people's </w:t>
      </w:r>
      <w:r w:rsidR="64D12FF9">
        <w:t>prospects of ongoing employment.</w:t>
      </w:r>
      <w:r w:rsidR="0AE41FDF">
        <w:t xml:space="preserve"> </w:t>
      </w:r>
      <w:r w:rsidR="0BD9F3FA">
        <w:t xml:space="preserve">The form </w:t>
      </w:r>
      <w:r w:rsidR="2BF08312">
        <w:t xml:space="preserve">of assistance provided </w:t>
      </w:r>
      <w:r w:rsidR="0BD9F3FA">
        <w:t xml:space="preserve">would be decided between employment </w:t>
      </w:r>
      <w:r w:rsidR="45535307">
        <w:t xml:space="preserve">service </w:t>
      </w:r>
      <w:r w:rsidR="0BD9F3FA">
        <w:t xml:space="preserve">participants and their providers. </w:t>
      </w:r>
    </w:p>
    <w:p w14:paraId="6FAC8FC2" w14:textId="0CCB4FAF" w:rsidR="0068094C" w:rsidRPr="00F03627" w:rsidRDefault="03F9E23A" w:rsidP="676F2219">
      <w:r>
        <w:t>Temporary w</w:t>
      </w:r>
      <w:r w:rsidR="6D8AF0AE">
        <w:t xml:space="preserve">age subsidies for regular paid work are more effective in improving people’s job prospects </w:t>
      </w:r>
      <w:r w:rsidR="611320F9">
        <w:t xml:space="preserve">than </w:t>
      </w:r>
      <w:r w:rsidR="12B3AA17">
        <w:t xml:space="preserve">unpaid </w:t>
      </w:r>
      <w:r w:rsidR="0D2A6DD2">
        <w:t>work experience programs such as Work for the Dole</w:t>
      </w:r>
      <w:r w:rsidR="08E11648">
        <w:t>.</w:t>
      </w:r>
      <w:r w:rsidR="005E55E3">
        <w:rPr>
          <w:rStyle w:val="FootnoteReference"/>
        </w:rPr>
        <w:footnoteReference w:id="17"/>
      </w:r>
      <w:r w:rsidR="6D8AF0AE">
        <w:t xml:space="preserve"> Yet </w:t>
      </w:r>
      <w:r w:rsidR="608EEED7">
        <w:t xml:space="preserve">apart from </w:t>
      </w:r>
      <w:r w:rsidR="4401D9DD">
        <w:t xml:space="preserve">the new </w:t>
      </w:r>
      <w:r w:rsidR="608EEED7">
        <w:t xml:space="preserve">Jobmaker wage subsidies for young people and </w:t>
      </w:r>
      <w:r w:rsidR="597B57C1">
        <w:t xml:space="preserve">the Youth Jobs Path wage subsidies, </w:t>
      </w:r>
      <w:r w:rsidR="6D8AF0AE">
        <w:t xml:space="preserve">there </w:t>
      </w:r>
      <w:r w:rsidR="0EFC4094">
        <w:t xml:space="preserve">are </w:t>
      </w:r>
      <w:r w:rsidR="6D8AF0AE">
        <w:t xml:space="preserve">no </w:t>
      </w:r>
      <w:r w:rsidR="6D610758">
        <w:t>specific</w:t>
      </w:r>
      <w:r w:rsidR="6D8AF0AE">
        <w:t xml:space="preserve"> budget allocation</w:t>
      </w:r>
      <w:r w:rsidR="044E30A9">
        <w:t>s</w:t>
      </w:r>
      <w:r w:rsidR="6D8AF0AE">
        <w:t xml:space="preserve"> for wage subsidies</w:t>
      </w:r>
      <w:r w:rsidR="02153504">
        <w:t xml:space="preserve"> for people unemployed long-term. </w:t>
      </w:r>
      <w:r w:rsidR="5FDABDC7">
        <w:t>Over the</w:t>
      </w:r>
      <w:r w:rsidR="756FBAAC">
        <w:t xml:space="preserve"> first eight months of 20</w:t>
      </w:r>
      <w:r w:rsidR="02153504">
        <w:t>19</w:t>
      </w:r>
      <w:r w:rsidR="4B34A4D4">
        <w:t>,</w:t>
      </w:r>
      <w:r w:rsidR="02153504">
        <w:t xml:space="preserve"> </w:t>
      </w:r>
      <w:r w:rsidR="289A2A36">
        <w:t>o</w:t>
      </w:r>
      <w:r w:rsidR="4120A5B7">
        <w:t xml:space="preserve">nly 13,000 </w:t>
      </w:r>
      <w:r w:rsidR="79E51C2F">
        <w:t>people were placed in the various</w:t>
      </w:r>
      <w:r w:rsidR="02153504">
        <w:t xml:space="preserve"> wage subsidy schemes for people who are</w:t>
      </w:r>
      <w:r w:rsidR="1AD67290">
        <w:t xml:space="preserve"> unemployed.</w:t>
      </w:r>
      <w:r w:rsidR="0068094C" w:rsidRPr="7B33A330">
        <w:rPr>
          <w:rStyle w:val="FootnoteReference"/>
        </w:rPr>
        <w:footnoteReference w:id="18"/>
      </w:r>
      <w:r w:rsidR="6D8AF0AE">
        <w:t xml:space="preserve"> </w:t>
      </w:r>
    </w:p>
    <w:p w14:paraId="6B62F1B3" w14:textId="33EFACF7" w:rsidR="0068094C" w:rsidRPr="00F03627" w:rsidRDefault="1836DE2D" w:rsidP="676F2219">
      <w:r>
        <w:t xml:space="preserve">Many people unemployed long-term need further education and training to </w:t>
      </w:r>
      <w:r w:rsidR="415649B9">
        <w:t xml:space="preserve">improve their skills and employment prospects. </w:t>
      </w:r>
      <w:r w:rsidR="6FBDDC6A">
        <w:t xml:space="preserve">This should be based on their career aspirations and a realistic assessment of </w:t>
      </w:r>
      <w:r w:rsidR="776AABDB">
        <w:t>the employment opportunities available</w:t>
      </w:r>
      <w:r w:rsidR="014167F8">
        <w:t>.</w:t>
      </w:r>
    </w:p>
    <w:p w14:paraId="42FDB6BC" w14:textId="09D20DE8" w:rsidR="0068094C" w:rsidRDefault="0068094C" w:rsidP="676F2219">
      <w:pPr>
        <w:pStyle w:val="Recommendation"/>
        <w:rPr>
          <w:color w:val="000000" w:themeColor="text1"/>
        </w:rPr>
      </w:pPr>
      <w:r w:rsidRPr="00985429">
        <w:rPr>
          <w:color w:val="C00000"/>
        </w:rPr>
        <w:t xml:space="preserve">Recommendation </w:t>
      </w:r>
      <w:r w:rsidR="00985429" w:rsidRPr="00985429">
        <w:rPr>
          <w:color w:val="C00000"/>
        </w:rPr>
        <w:t>11</w:t>
      </w:r>
      <w:r w:rsidR="6B7C829D" w:rsidRPr="00985429">
        <w:rPr>
          <w:color w:val="C00000"/>
        </w:rPr>
        <w:t>:</w:t>
      </w:r>
      <w:r w:rsidR="6B7C829D">
        <w:t xml:space="preserve"> </w:t>
      </w:r>
      <w:r w:rsidR="6B7C829D" w:rsidRPr="002B237C">
        <w:rPr>
          <w:color w:val="000000" w:themeColor="text1"/>
        </w:rPr>
        <w:t>A jobs and training guarantee</w:t>
      </w:r>
      <w:r>
        <w:br/>
      </w:r>
    </w:p>
    <w:p w14:paraId="2EA399E5" w14:textId="0DDD8E84" w:rsidR="0068094C" w:rsidRDefault="380F128D" w:rsidP="676F2219">
      <w:pPr>
        <w:pStyle w:val="Recommendation"/>
        <w:rPr>
          <w:color w:val="auto"/>
        </w:rPr>
      </w:pPr>
      <w:r w:rsidRPr="7B33A330">
        <w:rPr>
          <w:color w:val="auto"/>
        </w:rPr>
        <w:t xml:space="preserve">(1) A jobs and training guarantee </w:t>
      </w:r>
      <w:r w:rsidR="2BFEBC2C" w:rsidRPr="7B33A330">
        <w:rPr>
          <w:color w:val="auto"/>
        </w:rPr>
        <w:t xml:space="preserve">should be offered to </w:t>
      </w:r>
      <w:r w:rsidRPr="7B33A330">
        <w:rPr>
          <w:color w:val="auto"/>
        </w:rPr>
        <w:t>people who are unemployed long-term, including young people unemployed for 6 months or more and people aged 25 years and older unemployed for 1-2 years or more.</w:t>
      </w:r>
      <w:r w:rsidR="0068094C">
        <w:br/>
      </w:r>
      <w:r w:rsidRPr="7B33A330">
        <w:rPr>
          <w:color w:val="auto"/>
        </w:rPr>
        <w:t xml:space="preserve"> </w:t>
      </w:r>
      <w:r w:rsidR="0068094C">
        <w:br/>
      </w:r>
      <w:r w:rsidRPr="7B33A330">
        <w:rPr>
          <w:color w:val="auto"/>
        </w:rPr>
        <w:t>(2) The guarantee would comprise subsidised paid work experience, and/or vocational and foundational education and training, and/or ‘demand led’ employment assistance that connects people to employers likely to take them on, and/or other support based on their needs and those of employers that:</w:t>
      </w:r>
    </w:p>
    <w:p w14:paraId="6F065200" w14:textId="0C160370" w:rsidR="0068094C" w:rsidRDefault="380F128D" w:rsidP="00F13F51">
      <w:pPr>
        <w:pStyle w:val="Recommendation"/>
        <w:numPr>
          <w:ilvl w:val="0"/>
          <w:numId w:val="19"/>
        </w:numPr>
        <w:tabs>
          <w:tab w:val="clear" w:pos="567"/>
          <w:tab w:val="left" w:pos="709"/>
        </w:tabs>
        <w:rPr>
          <w:rFonts w:asciiTheme="minorHAnsi" w:eastAsiaTheme="minorEastAsia" w:hAnsiTheme="minorHAnsi"/>
          <w:bCs/>
          <w:color w:val="auto"/>
          <w:szCs w:val="20"/>
        </w:rPr>
      </w:pPr>
      <w:r w:rsidRPr="7B33A330">
        <w:rPr>
          <w:color w:val="auto"/>
        </w:rPr>
        <w:t>is offered in each year of (long-term) unemployment;</w:t>
      </w:r>
    </w:p>
    <w:p w14:paraId="07586818" w14:textId="1DE0BF24" w:rsidR="0068094C" w:rsidRDefault="380F128D" w:rsidP="00F13F51">
      <w:pPr>
        <w:pStyle w:val="Recommendation"/>
        <w:numPr>
          <w:ilvl w:val="0"/>
          <w:numId w:val="19"/>
        </w:numPr>
        <w:tabs>
          <w:tab w:val="clear" w:pos="567"/>
          <w:tab w:val="left" w:pos="709"/>
        </w:tabs>
        <w:rPr>
          <w:rFonts w:asciiTheme="minorHAnsi" w:eastAsiaTheme="minorEastAsia" w:hAnsiTheme="minorHAnsi"/>
          <w:bCs/>
          <w:color w:val="auto"/>
          <w:szCs w:val="20"/>
        </w:rPr>
      </w:pPr>
      <w:r w:rsidRPr="676F2219">
        <w:rPr>
          <w:color w:val="auto"/>
        </w:rPr>
        <w:t>is negotiated between program participants and skilled employment consultants who have the time and resources to properly assess their needs and assemble a suitable package of support;</w:t>
      </w:r>
    </w:p>
    <w:p w14:paraId="3885486D" w14:textId="19B38383" w:rsidR="0068094C" w:rsidRDefault="380F128D" w:rsidP="00F13F51">
      <w:pPr>
        <w:pStyle w:val="Recommendation"/>
        <w:numPr>
          <w:ilvl w:val="0"/>
          <w:numId w:val="19"/>
        </w:numPr>
        <w:tabs>
          <w:tab w:val="clear" w:pos="567"/>
          <w:tab w:val="left" w:pos="709"/>
        </w:tabs>
        <w:rPr>
          <w:rFonts w:asciiTheme="minorHAnsi" w:eastAsiaTheme="minorEastAsia" w:hAnsiTheme="minorHAnsi"/>
          <w:bCs/>
          <w:color w:val="auto"/>
          <w:szCs w:val="20"/>
        </w:rPr>
      </w:pPr>
      <w:r w:rsidRPr="676F2219">
        <w:rPr>
          <w:color w:val="auto"/>
        </w:rPr>
        <w:t>builds on and improves national programs already in place, with guidance from local employment and skills partnerships;</w:t>
      </w:r>
    </w:p>
    <w:p w14:paraId="763B83E5" w14:textId="4A5CB233" w:rsidR="0068094C" w:rsidRDefault="380F128D" w:rsidP="00F13F51">
      <w:pPr>
        <w:pStyle w:val="Recommendation"/>
        <w:numPr>
          <w:ilvl w:val="0"/>
          <w:numId w:val="19"/>
        </w:numPr>
        <w:tabs>
          <w:tab w:val="clear" w:pos="567"/>
          <w:tab w:val="left" w:pos="709"/>
        </w:tabs>
        <w:rPr>
          <w:rFonts w:asciiTheme="minorHAnsi" w:eastAsiaTheme="minorEastAsia" w:hAnsiTheme="minorHAnsi"/>
          <w:bCs/>
          <w:color w:val="auto"/>
          <w:szCs w:val="20"/>
        </w:rPr>
      </w:pPr>
      <w:proofErr w:type="gramStart"/>
      <w:r w:rsidRPr="7B33A330">
        <w:rPr>
          <w:color w:val="auto"/>
        </w:rPr>
        <w:t>includes</w:t>
      </w:r>
      <w:proofErr w:type="gramEnd"/>
      <w:r w:rsidRPr="7B33A330">
        <w:rPr>
          <w:color w:val="auto"/>
        </w:rPr>
        <w:t xml:space="preserve"> access to jobs generated through public procurement (by setting targets for employment of people unemployed long term in tenders for public investments in social housing and other infrastructure).</w:t>
      </w:r>
      <w:r w:rsidR="0068094C">
        <w:br/>
      </w:r>
    </w:p>
    <w:p w14:paraId="7D9C8400" w14:textId="4612F17A" w:rsidR="0068094C" w:rsidRDefault="47EBD424" w:rsidP="676F2219">
      <w:pPr>
        <w:pStyle w:val="Recommendation"/>
        <w:rPr>
          <w:color w:val="000000" w:themeColor="text1"/>
        </w:rPr>
      </w:pPr>
      <w:r w:rsidRPr="676F2219">
        <w:rPr>
          <w:color w:val="000000" w:themeColor="text1"/>
        </w:rPr>
        <w:t>(3) To implement the guarantee, the following programs would be expanded, improved and consolidated:</w:t>
      </w:r>
    </w:p>
    <w:p w14:paraId="6DF6B2BF" w14:textId="62A16700" w:rsidR="0068094C" w:rsidRDefault="00F83A1C" w:rsidP="00F13F51">
      <w:pPr>
        <w:pStyle w:val="Recommendation"/>
        <w:numPr>
          <w:ilvl w:val="0"/>
          <w:numId w:val="18"/>
        </w:numPr>
        <w:tabs>
          <w:tab w:val="clear" w:pos="567"/>
          <w:tab w:val="left" w:pos="709"/>
        </w:tabs>
        <w:rPr>
          <w:rFonts w:asciiTheme="minorHAnsi" w:eastAsiaTheme="minorEastAsia" w:hAnsiTheme="minorHAnsi"/>
          <w:bCs/>
          <w:color w:val="000000" w:themeColor="text1"/>
          <w:szCs w:val="20"/>
        </w:rPr>
      </w:pPr>
      <w:r>
        <w:rPr>
          <w:color w:val="000000" w:themeColor="text1"/>
        </w:rPr>
        <w:t>w</w:t>
      </w:r>
      <w:r w:rsidR="47EBD424" w:rsidRPr="7B33A330">
        <w:rPr>
          <w:color w:val="000000" w:themeColor="text1"/>
        </w:rPr>
        <w:t xml:space="preserve">age subsidies with private employers and community services for 6-12 month placements in regular employment, replacing </w:t>
      </w:r>
      <w:r w:rsidR="77C40C66" w:rsidRPr="7B33A330">
        <w:rPr>
          <w:color w:val="000000" w:themeColor="text1"/>
        </w:rPr>
        <w:t xml:space="preserve">the </w:t>
      </w:r>
      <w:r w:rsidR="47EBD424" w:rsidRPr="7B33A330">
        <w:rPr>
          <w:color w:val="000000" w:themeColor="text1"/>
        </w:rPr>
        <w:t>Work for the Dole and Youth Jobs Path programs;</w:t>
      </w:r>
    </w:p>
    <w:p w14:paraId="1113EE28" w14:textId="4AB8B36E" w:rsidR="0068094C" w:rsidRDefault="00F83A1C" w:rsidP="00F13F51">
      <w:pPr>
        <w:pStyle w:val="Recommendation"/>
        <w:numPr>
          <w:ilvl w:val="0"/>
          <w:numId w:val="18"/>
        </w:numPr>
        <w:tabs>
          <w:tab w:val="clear" w:pos="567"/>
          <w:tab w:val="left" w:pos="709"/>
        </w:tabs>
        <w:rPr>
          <w:rFonts w:asciiTheme="minorHAnsi" w:eastAsiaTheme="minorEastAsia" w:hAnsiTheme="minorHAnsi"/>
          <w:bCs/>
          <w:color w:val="000000" w:themeColor="text1"/>
          <w:szCs w:val="20"/>
        </w:rPr>
      </w:pPr>
      <w:r>
        <w:rPr>
          <w:color w:val="000000" w:themeColor="text1"/>
        </w:rPr>
        <w:lastRenderedPageBreak/>
        <w:t>v</w:t>
      </w:r>
      <w:r w:rsidR="47EBD424" w:rsidRPr="7B33A330">
        <w:rPr>
          <w:color w:val="000000" w:themeColor="text1"/>
        </w:rPr>
        <w:t>ocational training and further education</w:t>
      </w:r>
      <w:r w:rsidR="2FE05026" w:rsidRPr="7B33A330">
        <w:rPr>
          <w:color w:val="000000" w:themeColor="text1"/>
        </w:rPr>
        <w:t xml:space="preserve"> including the Jobtrainer scheme</w:t>
      </w:r>
      <w:r w:rsidR="47EBD424" w:rsidRPr="7B33A330">
        <w:rPr>
          <w:color w:val="000000" w:themeColor="text1"/>
        </w:rPr>
        <w:t>; and</w:t>
      </w:r>
    </w:p>
    <w:p w14:paraId="680A4E5D" w14:textId="28CE7381" w:rsidR="0068094C" w:rsidRPr="000C6B7B" w:rsidRDefault="00F83A1C" w:rsidP="0068094C">
      <w:pPr>
        <w:pStyle w:val="Recommendation"/>
        <w:numPr>
          <w:ilvl w:val="0"/>
          <w:numId w:val="18"/>
        </w:numPr>
        <w:tabs>
          <w:tab w:val="clear" w:pos="567"/>
          <w:tab w:val="left" w:pos="709"/>
        </w:tabs>
        <w:rPr>
          <w:rFonts w:asciiTheme="minorHAnsi" w:eastAsiaTheme="minorEastAsia" w:hAnsiTheme="minorHAnsi"/>
          <w:bCs/>
          <w:color w:val="000000" w:themeColor="text1"/>
          <w:szCs w:val="20"/>
        </w:rPr>
      </w:pPr>
      <w:proofErr w:type="gramStart"/>
      <w:r>
        <w:rPr>
          <w:color w:val="000000" w:themeColor="text1"/>
        </w:rPr>
        <w:t>a</w:t>
      </w:r>
      <w:r w:rsidR="47EBD424" w:rsidRPr="000B50DA">
        <w:rPr>
          <w:color w:val="000000" w:themeColor="text1"/>
        </w:rPr>
        <w:t>nnual</w:t>
      </w:r>
      <w:proofErr w:type="gramEnd"/>
      <w:r w:rsidR="47EBD424" w:rsidRPr="000B50DA">
        <w:rPr>
          <w:color w:val="000000" w:themeColor="text1"/>
        </w:rPr>
        <w:t xml:space="preserve"> credits to the Employment Fund in respect of people who fall within the jobs and training guarantee target groups.</w:t>
      </w:r>
    </w:p>
    <w:p w14:paraId="19219836" w14:textId="77777777" w:rsidR="0068094C" w:rsidRDefault="0068094C" w:rsidP="0068094C">
      <w:pPr>
        <w:pStyle w:val="Recommendation"/>
        <w:rPr>
          <w:b w:val="0"/>
        </w:rPr>
      </w:pPr>
    </w:p>
    <w:p w14:paraId="098FBBA6" w14:textId="495ABAE1" w:rsidR="0068094C" w:rsidRDefault="3D301C12" w:rsidP="003520E9">
      <w:pPr>
        <w:pStyle w:val="Heading2"/>
      </w:pPr>
      <w:bookmarkStart w:id="31" w:name="_Toc63685927"/>
      <w:r>
        <w:t>Build, support and sustain local partnerships for jobs</w:t>
      </w:r>
      <w:bookmarkEnd w:id="31"/>
    </w:p>
    <w:p w14:paraId="0734A60C" w14:textId="3694828C" w:rsidR="0068094C" w:rsidRDefault="10508B19" w:rsidP="0068094C">
      <w:r>
        <w:t xml:space="preserve">To reduce high and entrenched levels of unemployment, employment service providers should work with local employers, </w:t>
      </w:r>
      <w:r w:rsidR="580B0BED">
        <w:t xml:space="preserve">education and training organisations, </w:t>
      </w:r>
      <w:r>
        <w:t>community organisations, and councils</w:t>
      </w:r>
      <w:r w:rsidR="04849237">
        <w:t xml:space="preserve"> to </w:t>
      </w:r>
      <w:r w:rsidR="0DBDBE48">
        <w:t xml:space="preserve">draft </w:t>
      </w:r>
      <w:r w:rsidR="04849237">
        <w:t xml:space="preserve">and implement local employment </w:t>
      </w:r>
      <w:r w:rsidR="6026A408">
        <w:t xml:space="preserve">and skills </w:t>
      </w:r>
      <w:r w:rsidR="04849237">
        <w:t>plans</w:t>
      </w:r>
      <w:r>
        <w:t xml:space="preserve">. </w:t>
      </w:r>
      <w:r w:rsidR="2A218914">
        <w:t>The</w:t>
      </w:r>
      <w:r w:rsidR="5086E36A">
        <w:t>ir</w:t>
      </w:r>
      <w:r w:rsidR="2A218914">
        <w:t xml:space="preserve"> purpose </w:t>
      </w:r>
      <w:r w:rsidR="52676564">
        <w:t xml:space="preserve">should be to generate more local jobs and </w:t>
      </w:r>
      <w:r w:rsidR="2A218914">
        <w:t xml:space="preserve">improve the matching of jobs, skills, and unemployed people across a region or locality. </w:t>
      </w:r>
      <w:r w:rsidR="3CC2E104">
        <w:t xml:space="preserve">The views of participants in employment programs should be represented. </w:t>
      </w:r>
    </w:p>
    <w:p w14:paraId="5AD95079" w14:textId="499D30F1" w:rsidR="0068094C" w:rsidRDefault="4E7F7742" w:rsidP="0068094C">
      <w:r>
        <w:t xml:space="preserve">While some regions </w:t>
      </w:r>
      <w:r w:rsidR="46FD40FB">
        <w:t xml:space="preserve">already </w:t>
      </w:r>
      <w:r>
        <w:t>have well</w:t>
      </w:r>
      <w:r w:rsidR="06C0AC64">
        <w:t>-</w:t>
      </w:r>
      <w:r>
        <w:t>established social and economic partnerships</w:t>
      </w:r>
      <w:r w:rsidR="3B0FB3E0">
        <w:t xml:space="preserve">, </w:t>
      </w:r>
      <w:r w:rsidR="435A29EB">
        <w:t>they</w:t>
      </w:r>
      <w:r>
        <w:t xml:space="preserve"> will only be </w:t>
      </w:r>
      <w:r w:rsidR="284288C4">
        <w:t xml:space="preserve">widely </w:t>
      </w:r>
      <w:r>
        <w:t>established and su</w:t>
      </w:r>
      <w:r w:rsidR="09F82DCF">
        <w:t xml:space="preserve">stained </w:t>
      </w:r>
      <w:r w:rsidR="11E1FE39">
        <w:t xml:space="preserve">across the country </w:t>
      </w:r>
      <w:r w:rsidR="09F82DCF">
        <w:t xml:space="preserve">if </w:t>
      </w:r>
      <w:r w:rsidR="2E6FDAB8">
        <w:t xml:space="preserve">governments </w:t>
      </w:r>
      <w:r w:rsidR="550D0264">
        <w:t>provide</w:t>
      </w:r>
      <w:r w:rsidR="2E6FDAB8">
        <w:t xml:space="preserve"> the infrastructure to make them work, including financial support and access to local data an</w:t>
      </w:r>
      <w:r w:rsidR="276E39CB">
        <w:t>d</w:t>
      </w:r>
      <w:r w:rsidR="2E6FDAB8">
        <w:t xml:space="preserve"> expertise. </w:t>
      </w:r>
      <w:r w:rsidR="23924D99">
        <w:t>However,</w:t>
      </w:r>
      <w:r w:rsidR="2E6FDAB8">
        <w:t xml:space="preserve"> </w:t>
      </w:r>
      <w:r w:rsidR="08D36B52">
        <w:t>partnerships led by government rather than local communities and services are unlikely to work effectively.</w:t>
      </w:r>
      <w:r w:rsidR="0068094C" w:rsidRPr="7B33A330">
        <w:rPr>
          <w:rStyle w:val="FootnoteReference"/>
        </w:rPr>
        <w:footnoteReference w:id="19"/>
      </w:r>
    </w:p>
    <w:p w14:paraId="0973AC99" w14:textId="6EAF2F16" w:rsidR="0068094C" w:rsidRDefault="08D36B52" w:rsidP="0068094C">
      <w:r>
        <w:t>We welcome the establishment of local employment skills partnerships and plans</w:t>
      </w:r>
      <w:r w:rsidR="11F03753">
        <w:t xml:space="preserve"> </w:t>
      </w:r>
      <w:r w:rsidR="70213A83">
        <w:t xml:space="preserve">in 25 regions, </w:t>
      </w:r>
      <w:r w:rsidR="11F03753">
        <w:t>un</w:t>
      </w:r>
      <w:r w:rsidR="69D55BBD">
        <w:t>d</w:t>
      </w:r>
      <w:r w:rsidR="11F03753">
        <w:t xml:space="preserve">er the new </w:t>
      </w:r>
      <w:r w:rsidRPr="7B33A330">
        <w:rPr>
          <w:i/>
          <w:iCs/>
        </w:rPr>
        <w:t>Local Jobs Program</w:t>
      </w:r>
      <w:r w:rsidR="3DB7386E">
        <w:t xml:space="preserve"> </w:t>
      </w:r>
      <w:r>
        <w:t>announced last year</w:t>
      </w:r>
      <w:r w:rsidR="46E529F8">
        <w:t>.</w:t>
      </w:r>
      <w:r>
        <w:t xml:space="preserve"> </w:t>
      </w:r>
      <w:r w:rsidR="411FF339">
        <w:t xml:space="preserve">Local collaboration should now be deepened, backed by a parallel partnership body at national level, and </w:t>
      </w:r>
      <w:r w:rsidR="0A918FA3">
        <w:t xml:space="preserve">gradually </w:t>
      </w:r>
      <w:r w:rsidR="1763D2EB">
        <w:t>extended across the country.</w:t>
      </w:r>
      <w:r w:rsidR="5FF5C422">
        <w:t xml:space="preserve"> The national body could be a new organisation or an adaptation of the </w:t>
      </w:r>
      <w:r w:rsidR="0A2EE635">
        <w:t>recently-established Employment Services Advisory Group.</w:t>
      </w:r>
      <w:r w:rsidR="5542D617">
        <w:t xml:space="preserve"> </w:t>
      </w:r>
      <w:r w:rsidR="5FF5C422">
        <w:t xml:space="preserve"> </w:t>
      </w:r>
      <w:r w:rsidR="411FF339">
        <w:t xml:space="preserve"> </w:t>
      </w:r>
    </w:p>
    <w:p w14:paraId="22DFB7CD" w14:textId="7D52106B" w:rsidR="0068094C" w:rsidRDefault="0068094C" w:rsidP="0068094C">
      <w:pPr>
        <w:pStyle w:val="Recommendation"/>
      </w:pPr>
      <w:r w:rsidRPr="00985429">
        <w:rPr>
          <w:color w:val="C00000"/>
        </w:rPr>
        <w:t xml:space="preserve">Recommendation </w:t>
      </w:r>
      <w:r w:rsidR="00985429" w:rsidRPr="00985429">
        <w:rPr>
          <w:color w:val="C00000"/>
        </w:rPr>
        <w:t>12</w:t>
      </w:r>
      <w:r w:rsidR="05E2A4F1" w:rsidRPr="00985429">
        <w:rPr>
          <w:color w:val="C00000"/>
        </w:rPr>
        <w:t>:</w:t>
      </w:r>
      <w:r w:rsidR="05E2A4F1">
        <w:t xml:space="preserve"> </w:t>
      </w:r>
      <w:r w:rsidR="05E2A4F1" w:rsidRPr="002B237C">
        <w:rPr>
          <w:color w:val="000000" w:themeColor="text1"/>
        </w:rPr>
        <w:t>Local partnerships for jobs</w:t>
      </w:r>
      <w:r w:rsidRPr="002B237C">
        <w:rPr>
          <w:color w:val="000000" w:themeColor="text1"/>
        </w:rPr>
        <w:br/>
      </w:r>
    </w:p>
    <w:p w14:paraId="580F028C" w14:textId="12785A07" w:rsidR="0068094C" w:rsidRDefault="4CE4BBBD" w:rsidP="676F2219">
      <w:pPr>
        <w:pStyle w:val="Recommendation"/>
        <w:rPr>
          <w:color w:val="auto"/>
        </w:rPr>
      </w:pPr>
      <w:r w:rsidRPr="7B33A330">
        <w:rPr>
          <w:color w:val="auto"/>
        </w:rPr>
        <w:t xml:space="preserve">The Local Jobs Program should be </w:t>
      </w:r>
      <w:r w:rsidR="1DC226CC" w:rsidRPr="7B33A330">
        <w:rPr>
          <w:color w:val="auto"/>
        </w:rPr>
        <w:t xml:space="preserve">strengthened </w:t>
      </w:r>
      <w:r w:rsidRPr="7B33A330">
        <w:rPr>
          <w:color w:val="auto"/>
        </w:rPr>
        <w:t>and extended by</w:t>
      </w:r>
      <w:proofErr w:type="gramStart"/>
      <w:r w:rsidRPr="7B33A330">
        <w:rPr>
          <w:color w:val="auto"/>
        </w:rPr>
        <w:t>:</w:t>
      </w:r>
      <w:proofErr w:type="gramEnd"/>
      <w:r w:rsidR="0068094C">
        <w:br/>
      </w:r>
      <w:r w:rsidR="0068094C">
        <w:br/>
      </w:r>
      <w:r w:rsidR="401F9B98" w:rsidRPr="7B33A330">
        <w:rPr>
          <w:color w:val="auto"/>
        </w:rPr>
        <w:t>(1) establi</w:t>
      </w:r>
      <w:r w:rsidR="22A4694D" w:rsidRPr="7B33A330">
        <w:rPr>
          <w:color w:val="auto"/>
        </w:rPr>
        <w:t>shi</w:t>
      </w:r>
      <w:r w:rsidR="401F9B98" w:rsidRPr="7B33A330">
        <w:rPr>
          <w:color w:val="auto"/>
        </w:rPr>
        <w:t xml:space="preserve">ng </w:t>
      </w:r>
      <w:r w:rsidR="230160FB" w:rsidRPr="7B33A330">
        <w:rPr>
          <w:color w:val="auto"/>
        </w:rPr>
        <w:t xml:space="preserve">a </w:t>
      </w:r>
      <w:r w:rsidR="7CB69F77" w:rsidRPr="7B33A330">
        <w:rPr>
          <w:color w:val="auto"/>
        </w:rPr>
        <w:t xml:space="preserve">standing national advisory body </w:t>
      </w:r>
      <w:r w:rsidR="34CFC835" w:rsidRPr="7B33A330">
        <w:rPr>
          <w:color w:val="auto"/>
        </w:rPr>
        <w:t>to the Minister for Employment and Skills c</w:t>
      </w:r>
      <w:r w:rsidR="7CB69F77" w:rsidRPr="7B33A330">
        <w:rPr>
          <w:color w:val="auto"/>
        </w:rPr>
        <w:t>omprising industry, unions, community organisations,</w:t>
      </w:r>
      <w:r w:rsidR="7281B29A" w:rsidRPr="7B33A330">
        <w:rPr>
          <w:color w:val="auto"/>
        </w:rPr>
        <w:t xml:space="preserve"> </w:t>
      </w:r>
      <w:r w:rsidR="5B496B9D" w:rsidRPr="7B33A330">
        <w:rPr>
          <w:color w:val="auto"/>
        </w:rPr>
        <w:t xml:space="preserve">local </w:t>
      </w:r>
      <w:r w:rsidR="7281B29A" w:rsidRPr="7B33A330">
        <w:rPr>
          <w:color w:val="auto"/>
        </w:rPr>
        <w:t>g</w:t>
      </w:r>
      <w:r w:rsidR="7CB69F77" w:rsidRPr="7B33A330">
        <w:rPr>
          <w:color w:val="auto"/>
        </w:rPr>
        <w:t xml:space="preserve">overnments, </w:t>
      </w:r>
      <w:r w:rsidR="50409188" w:rsidRPr="7B33A330">
        <w:rPr>
          <w:color w:val="auto"/>
        </w:rPr>
        <w:t>the National Skills Institute</w:t>
      </w:r>
      <w:r w:rsidR="352F5D4B" w:rsidRPr="7B33A330">
        <w:rPr>
          <w:color w:val="auto"/>
        </w:rPr>
        <w:t>,</w:t>
      </w:r>
      <w:r w:rsidR="50409188" w:rsidRPr="7B33A330">
        <w:rPr>
          <w:color w:val="auto"/>
        </w:rPr>
        <w:t xml:space="preserve"> </w:t>
      </w:r>
      <w:r w:rsidR="7CB69F77" w:rsidRPr="7B33A330">
        <w:rPr>
          <w:color w:val="auto"/>
        </w:rPr>
        <w:t>and employment</w:t>
      </w:r>
      <w:r w:rsidR="0180E2DE" w:rsidRPr="7B33A330">
        <w:rPr>
          <w:color w:val="auto"/>
        </w:rPr>
        <w:t xml:space="preserve"> education</w:t>
      </w:r>
      <w:r w:rsidR="7CB69F77" w:rsidRPr="7B33A330">
        <w:rPr>
          <w:color w:val="auto"/>
        </w:rPr>
        <w:t xml:space="preserve"> and training </w:t>
      </w:r>
      <w:r w:rsidR="26D37F7C" w:rsidRPr="7B33A330">
        <w:rPr>
          <w:color w:val="auto"/>
        </w:rPr>
        <w:t>services</w:t>
      </w:r>
      <w:r w:rsidR="7CB69F77" w:rsidRPr="7B33A330">
        <w:rPr>
          <w:color w:val="auto"/>
        </w:rPr>
        <w:t xml:space="preserve"> </w:t>
      </w:r>
      <w:r w:rsidR="132F4002" w:rsidRPr="7B33A330">
        <w:rPr>
          <w:color w:val="auto"/>
        </w:rPr>
        <w:t xml:space="preserve">to </w:t>
      </w:r>
      <w:r w:rsidR="7CB69F77" w:rsidRPr="7B33A330">
        <w:rPr>
          <w:color w:val="auto"/>
        </w:rPr>
        <w:t xml:space="preserve">support the </w:t>
      </w:r>
      <w:r w:rsidR="18C68AA6" w:rsidRPr="7B33A330">
        <w:rPr>
          <w:color w:val="auto"/>
        </w:rPr>
        <w:t xml:space="preserve">work of local employment and skills partnerships and </w:t>
      </w:r>
      <w:r w:rsidR="07E77942" w:rsidRPr="7B33A330">
        <w:rPr>
          <w:color w:val="auto"/>
        </w:rPr>
        <w:t xml:space="preserve">feed back to government </w:t>
      </w:r>
      <w:r w:rsidR="51CF5C72" w:rsidRPr="7B33A330">
        <w:rPr>
          <w:color w:val="auto"/>
        </w:rPr>
        <w:t xml:space="preserve">policy </w:t>
      </w:r>
      <w:r w:rsidR="24F7F8C8" w:rsidRPr="7B33A330">
        <w:rPr>
          <w:color w:val="auto"/>
        </w:rPr>
        <w:t xml:space="preserve">proposals and </w:t>
      </w:r>
      <w:r w:rsidR="51CF5C72" w:rsidRPr="7B33A330">
        <w:rPr>
          <w:color w:val="auto"/>
        </w:rPr>
        <w:t>implications</w:t>
      </w:r>
      <w:r w:rsidR="4537EEE3" w:rsidRPr="7B33A330">
        <w:rPr>
          <w:color w:val="auto"/>
        </w:rPr>
        <w:t xml:space="preserve"> arising from their work</w:t>
      </w:r>
      <w:r w:rsidR="19EFF5C1" w:rsidRPr="7B33A330">
        <w:rPr>
          <w:color w:val="auto"/>
        </w:rPr>
        <w:t>;</w:t>
      </w:r>
      <w:r w:rsidR="0068094C">
        <w:br/>
      </w:r>
    </w:p>
    <w:p w14:paraId="3AC3FC5B" w14:textId="338CF48F" w:rsidR="0068094C" w:rsidRDefault="7CB69F77" w:rsidP="7B33A330">
      <w:pPr>
        <w:pStyle w:val="Recommendation"/>
        <w:rPr>
          <w:color w:val="auto"/>
        </w:rPr>
      </w:pPr>
      <w:r w:rsidRPr="7B33A330">
        <w:rPr>
          <w:color w:val="auto"/>
        </w:rPr>
        <w:t>(</w:t>
      </w:r>
      <w:r w:rsidR="743EC4A3" w:rsidRPr="7B33A330">
        <w:rPr>
          <w:color w:val="auto"/>
        </w:rPr>
        <w:t>2</w:t>
      </w:r>
      <w:r w:rsidRPr="7B33A330">
        <w:rPr>
          <w:color w:val="auto"/>
        </w:rPr>
        <w:t xml:space="preserve">) </w:t>
      </w:r>
      <w:proofErr w:type="gramStart"/>
      <w:r w:rsidR="475C9E78" w:rsidRPr="7B33A330">
        <w:rPr>
          <w:color w:val="auto"/>
        </w:rPr>
        <w:t>broadening</w:t>
      </w:r>
      <w:proofErr w:type="gramEnd"/>
      <w:r w:rsidR="475C9E78" w:rsidRPr="7B33A330">
        <w:rPr>
          <w:color w:val="auto"/>
        </w:rPr>
        <w:t xml:space="preserve"> the membership of Local Jobs and Skills Taskforce</w:t>
      </w:r>
      <w:r w:rsidR="65D0F806" w:rsidRPr="7B33A330">
        <w:rPr>
          <w:color w:val="auto"/>
        </w:rPr>
        <w:t>s and appointing independent chairs drawn from the community</w:t>
      </w:r>
      <w:r w:rsidR="3E91B7AE" w:rsidRPr="7B33A330">
        <w:rPr>
          <w:color w:val="auto"/>
        </w:rPr>
        <w:t>;</w:t>
      </w:r>
      <w:r w:rsidR="0068094C">
        <w:br/>
      </w:r>
    </w:p>
    <w:p w14:paraId="769D0D3C" w14:textId="435665D5" w:rsidR="0068094C" w:rsidRDefault="65D0F806" w:rsidP="0068094C">
      <w:pPr>
        <w:pStyle w:val="Recommendation"/>
        <w:rPr>
          <w:color w:val="000000" w:themeColor="text1"/>
        </w:rPr>
      </w:pPr>
      <w:r w:rsidRPr="7B33A330">
        <w:rPr>
          <w:color w:val="auto"/>
        </w:rPr>
        <w:t xml:space="preserve">(3) </w:t>
      </w:r>
      <w:proofErr w:type="gramStart"/>
      <w:r w:rsidRPr="7B33A330">
        <w:rPr>
          <w:color w:val="auto"/>
        </w:rPr>
        <w:t>providing</w:t>
      </w:r>
      <w:proofErr w:type="gramEnd"/>
      <w:r w:rsidRPr="7B33A330">
        <w:rPr>
          <w:color w:val="auto"/>
        </w:rPr>
        <w:t xml:space="preserve"> a </w:t>
      </w:r>
      <w:r w:rsidR="753A0215" w:rsidRPr="7B33A330">
        <w:rPr>
          <w:color w:val="auto"/>
        </w:rPr>
        <w:t xml:space="preserve">funding </w:t>
      </w:r>
      <w:r w:rsidRPr="7B33A330">
        <w:rPr>
          <w:color w:val="auto"/>
        </w:rPr>
        <w:t>stream to support the Taskforces administratively, alongsi</w:t>
      </w:r>
      <w:r w:rsidR="79153421" w:rsidRPr="7B33A330">
        <w:rPr>
          <w:color w:val="auto"/>
        </w:rPr>
        <w:t>de</w:t>
      </w:r>
      <w:r w:rsidR="7973D8FD" w:rsidRPr="7B33A330">
        <w:rPr>
          <w:color w:val="auto"/>
        </w:rPr>
        <w:t xml:space="preserve"> the</w:t>
      </w:r>
      <w:r w:rsidR="79153421" w:rsidRPr="7B33A330">
        <w:rPr>
          <w:color w:val="auto"/>
        </w:rPr>
        <w:t xml:space="preserve"> </w:t>
      </w:r>
      <w:r w:rsidR="2296C549" w:rsidRPr="7B33A330">
        <w:rPr>
          <w:rFonts w:eastAsiaTheme="minorEastAsia"/>
          <w:bCs/>
          <w:color w:val="auto"/>
          <w:szCs w:val="20"/>
        </w:rPr>
        <w:t xml:space="preserve">Local Recovery Fund </w:t>
      </w:r>
      <w:r w:rsidR="73C52754" w:rsidRPr="7B33A330">
        <w:rPr>
          <w:rFonts w:eastAsiaTheme="minorEastAsia"/>
          <w:bCs/>
          <w:color w:val="auto"/>
          <w:szCs w:val="20"/>
        </w:rPr>
        <w:t xml:space="preserve">to support </w:t>
      </w:r>
      <w:r w:rsidR="79153421" w:rsidRPr="7B33A330">
        <w:rPr>
          <w:color w:val="auto"/>
        </w:rPr>
        <w:t>employment projects</w:t>
      </w:r>
      <w:r w:rsidR="7CB69F77" w:rsidRPr="7B33A330">
        <w:rPr>
          <w:color w:val="auto"/>
        </w:rPr>
        <w:t>.</w:t>
      </w:r>
    </w:p>
    <w:p w14:paraId="210CFEDA" w14:textId="77777777" w:rsidR="005855C0" w:rsidRDefault="005855C0" w:rsidP="002B237C">
      <w:pPr>
        <w:pStyle w:val="Recommendation"/>
        <w:rPr>
          <w:color w:val="C00000"/>
        </w:rPr>
      </w:pPr>
    </w:p>
    <w:p w14:paraId="018C9BB9" w14:textId="4A6F4153" w:rsidR="676F2219" w:rsidRDefault="007110E6" w:rsidP="002B237C">
      <w:pPr>
        <w:pStyle w:val="Recommendation"/>
        <w:rPr>
          <w:rFonts w:eastAsiaTheme="minorEastAsia"/>
          <w:bCs/>
          <w:color w:val="000000" w:themeColor="text1"/>
          <w:szCs w:val="20"/>
        </w:rPr>
      </w:pPr>
      <w:r w:rsidRPr="00985429">
        <w:rPr>
          <w:color w:val="C00000"/>
        </w:rPr>
        <w:t>Budget impac</w:t>
      </w:r>
      <w:r w:rsidR="0068094C" w:rsidRPr="00985429">
        <w:rPr>
          <w:color w:val="C00000"/>
        </w:rPr>
        <w:t>t:</w:t>
      </w:r>
      <w:r w:rsidR="0068094C" w:rsidRPr="002B237C">
        <w:rPr>
          <w:b w:val="0"/>
          <w:i/>
        </w:rPr>
        <w:t xml:space="preserve"> </w:t>
      </w:r>
      <w:r w:rsidR="0EED1773" w:rsidRPr="002B237C">
        <w:rPr>
          <w:rFonts w:eastAsiaTheme="minorEastAsia"/>
          <w:bCs/>
          <w:i/>
          <w:color w:val="000000" w:themeColor="text1"/>
          <w:szCs w:val="20"/>
        </w:rPr>
        <w:t>-</w:t>
      </w:r>
      <w:r w:rsidR="0068094C" w:rsidRPr="002B237C">
        <w:rPr>
          <w:rFonts w:eastAsiaTheme="minorEastAsia"/>
          <w:bCs/>
          <w:i/>
          <w:color w:val="000000" w:themeColor="text1"/>
          <w:szCs w:val="20"/>
        </w:rPr>
        <w:t>$</w:t>
      </w:r>
      <w:r w:rsidR="60FF67F5" w:rsidRPr="002B237C">
        <w:rPr>
          <w:rFonts w:eastAsiaTheme="minorEastAsia"/>
          <w:bCs/>
          <w:i/>
          <w:color w:val="000000" w:themeColor="text1"/>
          <w:szCs w:val="20"/>
        </w:rPr>
        <w:t>5</w:t>
      </w:r>
      <w:r w:rsidR="646F0CEE" w:rsidRPr="002B237C">
        <w:rPr>
          <w:rFonts w:eastAsiaTheme="minorEastAsia"/>
          <w:bCs/>
          <w:i/>
          <w:color w:val="000000" w:themeColor="text1"/>
          <w:szCs w:val="20"/>
        </w:rPr>
        <w:t>0</w:t>
      </w:r>
      <w:r w:rsidR="0068094C" w:rsidRPr="002B237C">
        <w:rPr>
          <w:rFonts w:eastAsiaTheme="minorEastAsia"/>
          <w:bCs/>
          <w:i/>
          <w:color w:val="000000" w:themeColor="text1"/>
          <w:szCs w:val="20"/>
        </w:rPr>
        <w:t xml:space="preserve"> million (</w:t>
      </w:r>
      <w:r w:rsidR="57C74B64" w:rsidRPr="002B237C">
        <w:rPr>
          <w:rFonts w:eastAsiaTheme="minorEastAsia"/>
          <w:bCs/>
          <w:i/>
          <w:color w:val="000000" w:themeColor="text1"/>
          <w:szCs w:val="20"/>
        </w:rPr>
        <w:t>-</w:t>
      </w:r>
      <w:r w:rsidR="0068094C" w:rsidRPr="002B237C">
        <w:rPr>
          <w:rFonts w:eastAsiaTheme="minorEastAsia"/>
          <w:bCs/>
          <w:i/>
          <w:color w:val="000000" w:themeColor="text1"/>
          <w:szCs w:val="20"/>
        </w:rPr>
        <w:t>$</w:t>
      </w:r>
      <w:r w:rsidR="4CA229DE" w:rsidRPr="002B237C">
        <w:rPr>
          <w:rFonts w:eastAsiaTheme="minorEastAsia"/>
          <w:bCs/>
          <w:i/>
          <w:color w:val="000000" w:themeColor="text1"/>
          <w:szCs w:val="20"/>
        </w:rPr>
        <w:t>1</w:t>
      </w:r>
      <w:r w:rsidR="6555EE26" w:rsidRPr="002B237C">
        <w:rPr>
          <w:rFonts w:eastAsiaTheme="minorEastAsia"/>
          <w:bCs/>
          <w:i/>
          <w:color w:val="000000" w:themeColor="text1"/>
          <w:szCs w:val="20"/>
        </w:rPr>
        <w:t>0</w:t>
      </w:r>
      <w:r w:rsidR="4CA229DE" w:rsidRPr="002B237C">
        <w:rPr>
          <w:rFonts w:eastAsiaTheme="minorEastAsia"/>
          <w:bCs/>
          <w:i/>
          <w:color w:val="000000" w:themeColor="text1"/>
          <w:szCs w:val="20"/>
        </w:rPr>
        <w:t>0</w:t>
      </w:r>
      <w:r w:rsidR="0068094C" w:rsidRPr="002B237C">
        <w:rPr>
          <w:rFonts w:eastAsiaTheme="minorEastAsia"/>
          <w:bCs/>
          <w:i/>
          <w:color w:val="000000" w:themeColor="text1"/>
          <w:szCs w:val="20"/>
        </w:rPr>
        <w:t xml:space="preserve"> million in 2022-23)</w:t>
      </w:r>
    </w:p>
    <w:p w14:paraId="2929F3F5" w14:textId="77777777" w:rsidR="002B237C" w:rsidRPr="002B237C" w:rsidRDefault="002B237C" w:rsidP="002B237C">
      <w:pPr>
        <w:pStyle w:val="ListNumber"/>
        <w:numPr>
          <w:ilvl w:val="0"/>
          <w:numId w:val="0"/>
        </w:numPr>
        <w:ind w:left="360"/>
      </w:pPr>
    </w:p>
    <w:p w14:paraId="384533FE" w14:textId="6F379DA0" w:rsidR="564A740C" w:rsidRDefault="6186D9E2" w:rsidP="003520E9">
      <w:pPr>
        <w:pStyle w:val="Heading2"/>
      </w:pPr>
      <w:bookmarkStart w:id="32" w:name="_Toc63685928"/>
      <w:r w:rsidRPr="7B33A330">
        <w:lastRenderedPageBreak/>
        <w:t xml:space="preserve">Career guidance and training to </w:t>
      </w:r>
      <w:r w:rsidR="68ED95C2" w:rsidRPr="7B33A330">
        <w:t>clear</w:t>
      </w:r>
      <w:r w:rsidRPr="7B33A330">
        <w:t xml:space="preserve"> a path to </w:t>
      </w:r>
      <w:r w:rsidR="408196DF" w:rsidRPr="7B33A330">
        <w:t>decent jobs</w:t>
      </w:r>
      <w:bookmarkEnd w:id="32"/>
    </w:p>
    <w:p w14:paraId="532D69AD" w14:textId="0443D651" w:rsidR="308E7C84" w:rsidRDefault="308E7C84" w:rsidP="7B33A330">
      <w:r>
        <w:t>In addition to people unemployed long-term, many people who are unemployed or preparing to enter the paid workforce would benefit from career guidance and training</w:t>
      </w:r>
      <w:r w:rsidR="1127282A">
        <w:t>. This applies especially to new entrants to the workforce, parents and carers re-entering it after a number of years’ absence, and older workers who need to renew their skills.</w:t>
      </w:r>
    </w:p>
    <w:p w14:paraId="5098B9A8" w14:textId="68C0E6ED" w:rsidR="6DD40514" w:rsidRDefault="6DD40514" w:rsidP="676F2219">
      <w:r>
        <w:t xml:space="preserve">The National Skills Commission and Careers Institute are well placed to gather and share intelligence on workforce skills and demand for them. </w:t>
      </w:r>
      <w:r w:rsidR="2B2859DD">
        <w:t xml:space="preserve">The Jobtrainer program </w:t>
      </w:r>
      <w:r w:rsidR="18953B07" w:rsidRPr="7B33A330">
        <w:rPr>
          <w:rFonts w:eastAsia="Verdana" w:cs="Verdana"/>
          <w:sz w:val="19"/>
          <w:szCs w:val="19"/>
        </w:rPr>
        <w:t>offers vocational training to people who are leaving education or unemployed.</w:t>
      </w:r>
      <w:r w:rsidR="18953B07" w:rsidRPr="7B33A330">
        <w:rPr>
          <w:rFonts w:eastAsia="Verdana" w:cs="Verdana"/>
          <w:szCs w:val="20"/>
        </w:rPr>
        <w:t xml:space="preserve"> </w:t>
      </w:r>
      <w:r>
        <w:t>The missing link</w:t>
      </w:r>
      <w:r w:rsidR="47A23C26">
        <w:t>s</w:t>
      </w:r>
      <w:r>
        <w:t xml:space="preserve"> in this chain of career information and support </w:t>
      </w:r>
      <w:r w:rsidR="7E9D95E0">
        <w:t>are</w:t>
      </w:r>
      <w:r w:rsidR="117527CB">
        <w:t>:</w:t>
      </w:r>
    </w:p>
    <w:p w14:paraId="0DB02C14" w14:textId="36660BA3" w:rsidR="6DD40514" w:rsidRDefault="17578C0D" w:rsidP="00F13F51">
      <w:pPr>
        <w:pStyle w:val="ListParagraph"/>
        <w:numPr>
          <w:ilvl w:val="0"/>
          <w:numId w:val="2"/>
        </w:numPr>
        <w:rPr>
          <w:rFonts w:asciiTheme="minorHAnsi" w:eastAsiaTheme="minorEastAsia" w:hAnsiTheme="minorHAnsi"/>
        </w:rPr>
      </w:pPr>
      <w:r>
        <w:t>i</w:t>
      </w:r>
      <w:r w:rsidR="7E9D95E0">
        <w:t>nadequate and uncertain funding for public and community education providers</w:t>
      </w:r>
      <w:r w:rsidR="019405C4">
        <w:t>;</w:t>
      </w:r>
      <w:r w:rsidR="505FB57D">
        <w:t xml:space="preserve"> and </w:t>
      </w:r>
    </w:p>
    <w:p w14:paraId="673CB168" w14:textId="6C941CC1" w:rsidR="6DD40514" w:rsidRDefault="5464C1D8" w:rsidP="00F13F51">
      <w:pPr>
        <w:pStyle w:val="ListParagraph"/>
        <w:numPr>
          <w:ilvl w:val="0"/>
          <w:numId w:val="2"/>
        </w:numPr>
      </w:pPr>
      <w:proofErr w:type="gramStart"/>
      <w:r>
        <w:t>a</w:t>
      </w:r>
      <w:proofErr w:type="gramEnd"/>
      <w:r>
        <w:t xml:space="preserve"> lack of </w:t>
      </w:r>
      <w:r w:rsidR="74A54B45">
        <w:t>robust</w:t>
      </w:r>
      <w:r w:rsidR="6DD40514">
        <w:t xml:space="preserve"> local networks of professional career </w:t>
      </w:r>
      <w:r w:rsidR="41C6E0A0">
        <w:t>advisors</w:t>
      </w:r>
      <w:r w:rsidR="6DD40514">
        <w:t>.</w:t>
      </w:r>
    </w:p>
    <w:p w14:paraId="61C688CC" w14:textId="7040F92B" w:rsidR="6DD40514" w:rsidRPr="00FE2905" w:rsidRDefault="6DD40514" w:rsidP="676F2219">
      <w:pPr>
        <w:rPr>
          <w:sz w:val="8"/>
        </w:rPr>
      </w:pPr>
    </w:p>
    <w:p w14:paraId="74CD6D9E" w14:textId="2C6B40F7" w:rsidR="6DD40514" w:rsidRDefault="6DD40514" w:rsidP="676F2219">
      <w:r>
        <w:t xml:space="preserve">While there are good-quality VET and further education courses, especially in TAFEs and </w:t>
      </w:r>
      <w:r w:rsidR="68DB2C0D">
        <w:t>not</w:t>
      </w:r>
      <w:r w:rsidR="69DCD1DD">
        <w:t>-</w:t>
      </w:r>
      <w:r w:rsidR="68DB2C0D">
        <w:t>for</w:t>
      </w:r>
      <w:r w:rsidR="6E1F2CC2">
        <w:t>-</w:t>
      </w:r>
      <w:r w:rsidR="68DB2C0D">
        <w:t xml:space="preserve">profit </w:t>
      </w:r>
      <w:r>
        <w:t xml:space="preserve">community </w:t>
      </w:r>
      <w:r w:rsidR="4740C4CB">
        <w:t>education</w:t>
      </w:r>
      <w:r w:rsidR="2EA2B22C">
        <w:t xml:space="preserve"> providers</w:t>
      </w:r>
      <w:r w:rsidR="007C4DAC">
        <w:t xml:space="preserve">, </w:t>
      </w:r>
      <w:r>
        <w:t>the VET system is under-resourced, fragmented, and not attuned to the needs of people seeking jobs or employers. Further, many people who are unemployed lack foundational skills</w:t>
      </w:r>
      <w:r w:rsidR="0A8A5F45">
        <w:t>.</w:t>
      </w:r>
      <w:r w:rsidRPr="7B33A330">
        <w:rPr>
          <w:rStyle w:val="FootnoteReference"/>
        </w:rPr>
        <w:footnoteReference w:id="20"/>
      </w:r>
      <w:r>
        <w:t xml:space="preserve"> </w:t>
      </w:r>
    </w:p>
    <w:p w14:paraId="6406BCE6" w14:textId="76F8F273" w:rsidR="6DD40514" w:rsidRDefault="0157B7E2" w:rsidP="676F2219">
      <w:r>
        <w:t xml:space="preserve">In addition, </w:t>
      </w:r>
      <w:r w:rsidR="376B0A2D">
        <w:t xml:space="preserve">per capita public </w:t>
      </w:r>
      <w:r>
        <w:t>funding for universities</w:t>
      </w:r>
      <w:r w:rsidR="579B9793">
        <w:t xml:space="preserve"> </w:t>
      </w:r>
      <w:r w:rsidR="33C1D9C4">
        <w:t>has</w:t>
      </w:r>
      <w:r w:rsidR="093A8E72">
        <w:t xml:space="preserve"> </w:t>
      </w:r>
      <w:r>
        <w:t>been progressively</w:t>
      </w:r>
      <w:r w:rsidR="3C61A5C4">
        <w:t xml:space="preserve"> </w:t>
      </w:r>
      <w:r w:rsidR="789382FA">
        <w:t>cut</w:t>
      </w:r>
      <w:r w:rsidR="3C61A5C4">
        <w:t xml:space="preserve">, leaving them to rely </w:t>
      </w:r>
      <w:r w:rsidR="2778E0E1">
        <w:t xml:space="preserve">heavily </w:t>
      </w:r>
      <w:r w:rsidR="3C61A5C4">
        <w:t xml:space="preserve">on fees paid by overseas students. </w:t>
      </w:r>
      <w:r w:rsidR="3A3AB554">
        <w:t>The</w:t>
      </w:r>
      <w:r w:rsidR="41829920">
        <w:t xml:space="preserve"> closure of international borders has </w:t>
      </w:r>
      <w:r w:rsidR="342B70F1">
        <w:t>triggered</w:t>
      </w:r>
      <w:r w:rsidR="41829920">
        <w:t xml:space="preserve"> a financial crisis for many universities. This should be resolved by funding them </w:t>
      </w:r>
      <w:r w:rsidR="366D6A0E">
        <w:t xml:space="preserve">properly </w:t>
      </w:r>
      <w:r w:rsidR="41829920">
        <w:t xml:space="preserve">for </w:t>
      </w:r>
      <w:r w:rsidR="18728040">
        <w:t xml:space="preserve">their </w:t>
      </w:r>
      <w:r w:rsidR="11A429EE">
        <w:t xml:space="preserve">research and </w:t>
      </w:r>
      <w:r w:rsidR="18728040">
        <w:t>teaching.</w:t>
      </w:r>
    </w:p>
    <w:p w14:paraId="34474980" w14:textId="13082FDC" w:rsidR="6DD40514" w:rsidRDefault="5B98063D" w:rsidP="676F2219">
      <w:r>
        <w:t xml:space="preserve">Good quality courses relevant to the needs of local labour markets and people who are unemployed must be scaled up urgently. </w:t>
      </w:r>
      <w:r w:rsidR="6F0E14A3">
        <w:t xml:space="preserve">We welcome the </w:t>
      </w:r>
      <w:r w:rsidR="6F0E14A3" w:rsidRPr="7B33A330">
        <w:rPr>
          <w:i/>
          <w:iCs/>
        </w:rPr>
        <w:t xml:space="preserve">Jobtrainer </w:t>
      </w:r>
      <w:r w:rsidR="6F0E14A3">
        <w:t>program</w:t>
      </w:r>
      <w:r w:rsidR="14D788F1">
        <w:t xml:space="preserve">, and propose that people who are currently unemployed be given </w:t>
      </w:r>
      <w:r w:rsidR="6DD40514">
        <w:t xml:space="preserve">priority in the allocation of </w:t>
      </w:r>
      <w:r w:rsidR="02A28439">
        <w:t xml:space="preserve">training </w:t>
      </w:r>
      <w:r w:rsidR="6DD40514">
        <w:t>places</w:t>
      </w:r>
      <w:r w:rsidR="2A7B972A">
        <w:t>.</w:t>
      </w:r>
    </w:p>
    <w:p w14:paraId="4D96088E" w14:textId="77777777" w:rsidR="00877C5B" w:rsidRDefault="247BD611" w:rsidP="676F2219">
      <w:r>
        <w:t xml:space="preserve">Career </w:t>
      </w:r>
      <w:r w:rsidR="2702E7D9">
        <w:t xml:space="preserve">guidance services for people who are unemployed are fragmented according to the age and family status of participants, and are of uneven quality. </w:t>
      </w:r>
      <w:r w:rsidR="3018837C">
        <w:t xml:space="preserve">More substantial </w:t>
      </w:r>
      <w:r>
        <w:t xml:space="preserve">support </w:t>
      </w:r>
      <w:r w:rsidR="319C54C1">
        <w:t xml:space="preserve">is available </w:t>
      </w:r>
      <w:r>
        <w:t xml:space="preserve">for young people through the </w:t>
      </w:r>
      <w:r w:rsidRPr="7B33A330">
        <w:rPr>
          <w:i/>
          <w:iCs/>
        </w:rPr>
        <w:t>Transition to Work</w:t>
      </w:r>
      <w:r>
        <w:t xml:space="preserve"> program </w:t>
      </w:r>
      <w:r w:rsidR="2BEB20F1">
        <w:t xml:space="preserve">and for older people through </w:t>
      </w:r>
      <w:r>
        <w:t xml:space="preserve">the </w:t>
      </w:r>
      <w:r w:rsidRPr="7B33A330">
        <w:rPr>
          <w:i/>
          <w:iCs/>
        </w:rPr>
        <w:t xml:space="preserve">Career Transition Assistance </w:t>
      </w:r>
      <w:r>
        <w:t xml:space="preserve">scheme, but </w:t>
      </w:r>
      <w:r w:rsidR="6E58ACA5">
        <w:t xml:space="preserve">there is gap in career advice and support for people in middle-age. </w:t>
      </w:r>
    </w:p>
    <w:p w14:paraId="73389025" w14:textId="0FD31A5D" w:rsidR="247BD611" w:rsidRDefault="6E58ACA5" w:rsidP="676F2219">
      <w:r>
        <w:t xml:space="preserve">Professional career guidance and training are not </w:t>
      </w:r>
      <w:r w:rsidR="247BD611">
        <w:t>widely available through jobactive because providers are not resourced to offer it</w:t>
      </w:r>
      <w:r w:rsidR="1AAB8C77">
        <w:t xml:space="preserve">, and have limited </w:t>
      </w:r>
      <w:r w:rsidR="247BD611">
        <w:t>financial incentives to place people in training</w:t>
      </w:r>
      <w:r w:rsidR="48F088EB">
        <w:t>.</w:t>
      </w:r>
    </w:p>
    <w:p w14:paraId="3991A303" w14:textId="666161A3" w:rsidR="247BD611" w:rsidRDefault="432FD2B1" w:rsidP="676F2219">
      <w:r>
        <w:t>Some c</w:t>
      </w:r>
      <w:r w:rsidR="48F088EB">
        <w:t xml:space="preserve">areer guidance and training </w:t>
      </w:r>
      <w:r w:rsidR="21465B28">
        <w:t xml:space="preserve">services </w:t>
      </w:r>
      <w:r w:rsidR="48F088EB">
        <w:t>are</w:t>
      </w:r>
      <w:r w:rsidR="247BD611">
        <w:t xml:space="preserve"> offered to </w:t>
      </w:r>
      <w:r w:rsidR="520C49F0">
        <w:t xml:space="preserve">sole parents through </w:t>
      </w:r>
      <w:r w:rsidR="35440A7F">
        <w:t xml:space="preserve">the </w:t>
      </w:r>
      <w:r w:rsidR="520C49F0" w:rsidRPr="7B33A330">
        <w:rPr>
          <w:i/>
          <w:iCs/>
        </w:rPr>
        <w:t>P</w:t>
      </w:r>
      <w:r w:rsidR="247BD611" w:rsidRPr="7B33A330">
        <w:rPr>
          <w:i/>
          <w:iCs/>
        </w:rPr>
        <w:t>arents Next</w:t>
      </w:r>
      <w:r w:rsidR="1DCD94B2">
        <w:t xml:space="preserve"> program</w:t>
      </w:r>
      <w:r w:rsidR="247BD611">
        <w:t xml:space="preserve">, but </w:t>
      </w:r>
      <w:r w:rsidR="68DB4C44">
        <w:t>i</w:t>
      </w:r>
      <w:r w:rsidR="247BD611">
        <w:t xml:space="preserve">t has major flaws including paternalistic assumptions that sole parents and their children are at risk of ‘welfare dependency’ and need help with parenting skills, </w:t>
      </w:r>
      <w:r w:rsidR="661693F1">
        <w:t xml:space="preserve">and </w:t>
      </w:r>
      <w:r w:rsidR="247BD611">
        <w:t>requirements to participate in the program when the younges</w:t>
      </w:r>
      <w:r w:rsidR="007C4DAC">
        <w:t>t child is just six months old.</w:t>
      </w:r>
      <w:r w:rsidR="007C4DAC">
        <w:rPr>
          <w:rStyle w:val="FootnoteReference"/>
        </w:rPr>
        <w:footnoteReference w:id="21"/>
      </w:r>
      <w:r w:rsidR="002B237C">
        <w:t xml:space="preserve"> </w:t>
      </w:r>
    </w:p>
    <w:p w14:paraId="0DA4776E" w14:textId="2EBD84D3" w:rsidR="6186D9E2" w:rsidRDefault="6186D9E2" w:rsidP="676F2219">
      <w:pPr>
        <w:pStyle w:val="Recommendation"/>
      </w:pPr>
      <w:r w:rsidRPr="00985429">
        <w:rPr>
          <w:color w:val="C00000"/>
        </w:rPr>
        <w:lastRenderedPageBreak/>
        <w:t xml:space="preserve">Recommendation </w:t>
      </w:r>
      <w:r w:rsidR="00985429">
        <w:rPr>
          <w:color w:val="C00000"/>
        </w:rPr>
        <w:t>13</w:t>
      </w:r>
      <w:r w:rsidR="4632CA01" w:rsidRPr="00985429">
        <w:rPr>
          <w:color w:val="C00000"/>
        </w:rPr>
        <w:t>:</w:t>
      </w:r>
      <w:r w:rsidR="4632CA01">
        <w:t xml:space="preserve"> </w:t>
      </w:r>
      <w:r w:rsidR="4632CA01" w:rsidRPr="002B237C">
        <w:rPr>
          <w:color w:val="000000" w:themeColor="text1"/>
        </w:rPr>
        <w:t>Career guidance and training for those who need it</w:t>
      </w:r>
      <w:r>
        <w:br/>
      </w:r>
    </w:p>
    <w:p w14:paraId="1DE28A41" w14:textId="10CBE3D8" w:rsidR="3DD40929" w:rsidRDefault="3DD40929" w:rsidP="676F2219">
      <w:pPr>
        <w:pStyle w:val="Recommendation"/>
        <w:rPr>
          <w:color w:val="auto"/>
        </w:rPr>
      </w:pPr>
      <w:r w:rsidRPr="7B33A330">
        <w:rPr>
          <w:color w:val="auto"/>
        </w:rPr>
        <w:t>(1) Professional career guidance and support services</w:t>
      </w:r>
      <w:r w:rsidR="23598FCE" w:rsidRPr="7B33A330">
        <w:rPr>
          <w:color w:val="auto"/>
        </w:rPr>
        <w:t xml:space="preserve">, linked to education and training places through Jobtrainer and other programs, </w:t>
      </w:r>
      <w:r w:rsidRPr="7B33A330">
        <w:rPr>
          <w:color w:val="auto"/>
        </w:rPr>
        <w:t xml:space="preserve">should be expanded </w:t>
      </w:r>
      <w:r w:rsidR="1D55FA9A" w:rsidRPr="7B33A330">
        <w:rPr>
          <w:color w:val="auto"/>
        </w:rPr>
        <w:t xml:space="preserve">for </w:t>
      </w:r>
      <w:r w:rsidRPr="7B33A330">
        <w:rPr>
          <w:color w:val="auto"/>
        </w:rPr>
        <w:t xml:space="preserve">people who are unemployed or entering/re-entering </w:t>
      </w:r>
      <w:r w:rsidR="6F8DA8B2" w:rsidRPr="7B33A330">
        <w:rPr>
          <w:color w:val="auto"/>
        </w:rPr>
        <w:t xml:space="preserve">paid </w:t>
      </w:r>
      <w:r w:rsidRPr="7B33A330">
        <w:rPr>
          <w:color w:val="auto"/>
        </w:rPr>
        <w:t>employment.</w:t>
      </w:r>
      <w:r>
        <w:br/>
      </w:r>
    </w:p>
    <w:p w14:paraId="71F0D227" w14:textId="75DC1BFD" w:rsidR="3DD40929" w:rsidRDefault="3DD40929" w:rsidP="676F2219">
      <w:pPr>
        <w:pStyle w:val="Recommendation"/>
      </w:pPr>
      <w:r w:rsidRPr="7B33A330">
        <w:rPr>
          <w:color w:val="auto"/>
        </w:rPr>
        <w:t>(2) Priority should be given to the following groups receiving income support</w:t>
      </w:r>
      <w:r w:rsidR="76E00984" w:rsidRPr="7B33A330">
        <w:rPr>
          <w:color w:val="auto"/>
        </w:rPr>
        <w:t>, and inequities in the support available for different groups removed</w:t>
      </w:r>
      <w:r w:rsidRPr="7B33A330">
        <w:rPr>
          <w:color w:val="auto"/>
        </w:rPr>
        <w:t>:</w:t>
      </w:r>
    </w:p>
    <w:p w14:paraId="615D94B4" w14:textId="7FBA9CCC" w:rsidR="3DD40929" w:rsidRDefault="00515F9E" w:rsidP="00F13F51">
      <w:pPr>
        <w:pStyle w:val="Recommendation"/>
        <w:numPr>
          <w:ilvl w:val="0"/>
          <w:numId w:val="12"/>
        </w:numPr>
        <w:tabs>
          <w:tab w:val="clear" w:pos="567"/>
          <w:tab w:val="left" w:pos="709"/>
        </w:tabs>
        <w:rPr>
          <w:rFonts w:asciiTheme="minorHAnsi" w:eastAsiaTheme="minorEastAsia" w:hAnsiTheme="minorHAnsi"/>
          <w:bCs/>
          <w:color w:val="auto"/>
          <w:szCs w:val="20"/>
        </w:rPr>
      </w:pPr>
      <w:r w:rsidRPr="7B33A330">
        <w:rPr>
          <w:color w:val="auto"/>
        </w:rPr>
        <w:t>Education to Work Transition Service for young people with Year 12 qualifications or less, at risk in the transition from education to employment, building on the Transition to Work program;</w:t>
      </w:r>
    </w:p>
    <w:p w14:paraId="6FBBD583" w14:textId="2C242D29" w:rsidR="3DD40929" w:rsidRDefault="00F83A1C" w:rsidP="00F13F51">
      <w:pPr>
        <w:pStyle w:val="Recommendation"/>
        <w:numPr>
          <w:ilvl w:val="0"/>
          <w:numId w:val="12"/>
        </w:numPr>
        <w:tabs>
          <w:tab w:val="clear" w:pos="567"/>
          <w:tab w:val="left" w:pos="709"/>
        </w:tabs>
        <w:rPr>
          <w:rFonts w:asciiTheme="minorHAnsi" w:eastAsiaTheme="minorEastAsia" w:hAnsiTheme="minorHAnsi"/>
          <w:bCs/>
          <w:color w:val="auto"/>
          <w:szCs w:val="20"/>
        </w:rPr>
      </w:pPr>
      <w:r>
        <w:rPr>
          <w:color w:val="auto"/>
        </w:rPr>
        <w:t>c</w:t>
      </w:r>
      <w:r w:rsidR="3DD40929" w:rsidRPr="7B33A330">
        <w:rPr>
          <w:color w:val="auto"/>
        </w:rPr>
        <w:t>areer guidance and support services for parents and carers returning to paid work, replacing the ParentsNext program (voluntary for those whose youngest child is below school age);</w:t>
      </w:r>
    </w:p>
    <w:p w14:paraId="5EC5956A" w14:textId="31F0C9A7" w:rsidR="3DD40929" w:rsidRDefault="00F83A1C" w:rsidP="00F13F51">
      <w:pPr>
        <w:pStyle w:val="Recommendation"/>
        <w:numPr>
          <w:ilvl w:val="0"/>
          <w:numId w:val="12"/>
        </w:numPr>
        <w:tabs>
          <w:tab w:val="clear" w:pos="567"/>
          <w:tab w:val="left" w:pos="709"/>
        </w:tabs>
        <w:rPr>
          <w:rFonts w:asciiTheme="minorHAnsi" w:eastAsiaTheme="minorEastAsia" w:hAnsiTheme="minorHAnsi"/>
          <w:bCs/>
          <w:color w:val="auto"/>
          <w:szCs w:val="20"/>
        </w:rPr>
      </w:pPr>
      <w:r>
        <w:rPr>
          <w:color w:val="auto"/>
        </w:rPr>
        <w:t>c</w:t>
      </w:r>
      <w:r w:rsidR="3DD40929" w:rsidRPr="7B33A330">
        <w:rPr>
          <w:color w:val="auto"/>
        </w:rPr>
        <w:t>areer guidance and support services for older workers who need to adjust their careers, building on the Career Transition Assistance program; and</w:t>
      </w:r>
    </w:p>
    <w:p w14:paraId="18D9D3E0" w14:textId="18D3434C" w:rsidR="3DD40929" w:rsidRDefault="00F83A1C" w:rsidP="00F13F51">
      <w:pPr>
        <w:pStyle w:val="Recommendation"/>
        <w:numPr>
          <w:ilvl w:val="0"/>
          <w:numId w:val="12"/>
        </w:numPr>
        <w:tabs>
          <w:tab w:val="clear" w:pos="567"/>
          <w:tab w:val="left" w:pos="709"/>
        </w:tabs>
        <w:rPr>
          <w:rFonts w:asciiTheme="minorHAnsi" w:eastAsiaTheme="minorEastAsia" w:hAnsiTheme="minorHAnsi"/>
          <w:bCs/>
          <w:color w:val="auto"/>
          <w:szCs w:val="20"/>
        </w:rPr>
      </w:pPr>
      <w:proofErr w:type="gramStart"/>
      <w:r>
        <w:rPr>
          <w:color w:val="auto"/>
        </w:rPr>
        <w:t>a</w:t>
      </w:r>
      <w:proofErr w:type="gramEnd"/>
      <w:r w:rsidR="3DD40929" w:rsidRPr="7B33A330">
        <w:rPr>
          <w:color w:val="auto"/>
        </w:rPr>
        <w:t xml:space="preserve"> career guidance component of jobactive services for people recently retrenched from their employment.</w:t>
      </w:r>
      <w:r w:rsidR="3DD40929">
        <w:br/>
      </w:r>
    </w:p>
    <w:p w14:paraId="452D797B" w14:textId="0DC6C226" w:rsidR="3DD40929" w:rsidRDefault="3DD40929" w:rsidP="7B33A330">
      <w:pPr>
        <w:pStyle w:val="Recommendation"/>
        <w:rPr>
          <w:color w:val="auto"/>
        </w:rPr>
      </w:pPr>
      <w:r w:rsidRPr="7B33A330">
        <w:rPr>
          <w:color w:val="auto"/>
        </w:rPr>
        <w:t>(3) Funds should be attached to these programs to purchase further education and training, as agreed between career counsellors and participants.</w:t>
      </w:r>
      <w:r>
        <w:br/>
      </w:r>
      <w:r w:rsidRPr="7B33A330">
        <w:rPr>
          <w:color w:val="auto"/>
        </w:rPr>
        <w:t xml:space="preserve"> </w:t>
      </w:r>
    </w:p>
    <w:p w14:paraId="120580DE" w14:textId="29D584E0" w:rsidR="3DD40929" w:rsidRDefault="3DD40929" w:rsidP="7B33A330">
      <w:pPr>
        <w:pStyle w:val="Recommendation"/>
        <w:rPr>
          <w:color w:val="auto"/>
        </w:rPr>
      </w:pPr>
      <w:r w:rsidRPr="7B33A330">
        <w:rPr>
          <w:color w:val="auto"/>
        </w:rPr>
        <w:t>(</w:t>
      </w:r>
      <w:r w:rsidRPr="7B33A330">
        <w:rPr>
          <w:rFonts w:eastAsiaTheme="minorEastAsia"/>
          <w:bCs/>
          <w:color w:val="auto"/>
          <w:szCs w:val="20"/>
        </w:rPr>
        <w:t>4) The majority of places in the JobTrainer program should be allocated to people who are unemployed or who otherwise fall within the four target groups identified above.</w:t>
      </w:r>
      <w:r>
        <w:br/>
      </w:r>
    </w:p>
    <w:p w14:paraId="7DE60C0B" w14:textId="40EBA0E7" w:rsidR="676F2219" w:rsidRPr="002B237C" w:rsidRDefault="3DD40929" w:rsidP="002B237C">
      <w:pPr>
        <w:pStyle w:val="ListNumber"/>
        <w:numPr>
          <w:ilvl w:val="0"/>
          <w:numId w:val="0"/>
        </w:numPr>
        <w:rPr>
          <w:rFonts w:eastAsiaTheme="minorEastAsia"/>
          <w:b/>
          <w:bCs/>
          <w:color w:val="auto"/>
          <w:szCs w:val="20"/>
        </w:rPr>
      </w:pPr>
      <w:r w:rsidRPr="7B33A330">
        <w:rPr>
          <w:rFonts w:eastAsiaTheme="minorEastAsia"/>
          <w:b/>
          <w:bCs/>
          <w:color w:val="auto"/>
          <w:szCs w:val="20"/>
        </w:rPr>
        <w:t>(5) Local Employment and Skills Partnerships</w:t>
      </w:r>
      <w:r w:rsidR="43A32F26" w:rsidRPr="7B33A330">
        <w:rPr>
          <w:rFonts w:eastAsiaTheme="minorEastAsia"/>
          <w:b/>
          <w:bCs/>
          <w:color w:val="auto"/>
          <w:szCs w:val="20"/>
        </w:rPr>
        <w:t xml:space="preserve"> should assist employment and education and training providers to map local skills requirements and training resources, and connect people to the right courses</w:t>
      </w:r>
      <w:r w:rsidRPr="7B33A330">
        <w:rPr>
          <w:rFonts w:eastAsiaTheme="minorEastAsia"/>
          <w:b/>
          <w:bCs/>
          <w:color w:val="auto"/>
          <w:szCs w:val="20"/>
        </w:rPr>
        <w:t>.</w:t>
      </w:r>
    </w:p>
    <w:p w14:paraId="62618342" w14:textId="5C2F5B43" w:rsidR="65AA33DF" w:rsidRDefault="65AA33DF" w:rsidP="676F2219">
      <w:pPr>
        <w:pStyle w:val="Recommendation"/>
        <w:rPr>
          <w:rFonts w:eastAsiaTheme="minorEastAsia"/>
          <w:bCs/>
          <w:color w:val="000000" w:themeColor="text1"/>
          <w:szCs w:val="20"/>
        </w:rPr>
      </w:pPr>
      <w:r w:rsidRPr="00985429">
        <w:rPr>
          <w:color w:val="C00000"/>
        </w:rPr>
        <w:t>Budget impact:</w:t>
      </w:r>
      <w:r w:rsidRPr="00985429">
        <w:rPr>
          <w:b w:val="0"/>
          <w:color w:val="C00000"/>
        </w:rPr>
        <w:t xml:space="preserve"> </w:t>
      </w:r>
      <w:r w:rsidRPr="002B237C">
        <w:rPr>
          <w:rFonts w:eastAsiaTheme="minorEastAsia"/>
          <w:bCs/>
          <w:i/>
          <w:color w:val="000000" w:themeColor="text1"/>
          <w:szCs w:val="20"/>
        </w:rPr>
        <w:t>-$</w:t>
      </w:r>
      <w:r w:rsidR="5CCDB976" w:rsidRPr="002B237C">
        <w:rPr>
          <w:rFonts w:eastAsiaTheme="minorEastAsia"/>
          <w:bCs/>
          <w:i/>
          <w:color w:val="000000" w:themeColor="text1"/>
          <w:szCs w:val="20"/>
        </w:rPr>
        <w:t>200</w:t>
      </w:r>
      <w:r w:rsidRPr="002B237C">
        <w:rPr>
          <w:rFonts w:eastAsiaTheme="minorEastAsia"/>
          <w:bCs/>
          <w:i/>
          <w:color w:val="000000" w:themeColor="text1"/>
          <w:szCs w:val="20"/>
        </w:rPr>
        <w:t xml:space="preserve"> million (-$</w:t>
      </w:r>
      <w:r w:rsidR="5B8D7EF9" w:rsidRPr="002B237C">
        <w:rPr>
          <w:rFonts w:eastAsiaTheme="minorEastAsia"/>
          <w:bCs/>
          <w:i/>
          <w:color w:val="000000" w:themeColor="text1"/>
          <w:szCs w:val="20"/>
        </w:rPr>
        <w:t>400</w:t>
      </w:r>
      <w:r w:rsidRPr="002B237C">
        <w:rPr>
          <w:rFonts w:eastAsiaTheme="minorEastAsia"/>
          <w:bCs/>
          <w:i/>
          <w:color w:val="000000" w:themeColor="text1"/>
          <w:szCs w:val="20"/>
        </w:rPr>
        <w:t xml:space="preserve"> million in 2022-23)</w:t>
      </w:r>
    </w:p>
    <w:p w14:paraId="69B859CC" w14:textId="0C38C100" w:rsidR="676F2219" w:rsidRDefault="676F2219" w:rsidP="676F2219">
      <w:pPr>
        <w:pStyle w:val="Recommendation"/>
        <w:rPr>
          <w:color w:val="auto"/>
        </w:rPr>
      </w:pPr>
    </w:p>
    <w:p w14:paraId="7B2668A4" w14:textId="77777777" w:rsidR="676F2219" w:rsidRDefault="676F2219" w:rsidP="676F2219">
      <w:pPr>
        <w:pStyle w:val="Recommendation"/>
        <w:rPr>
          <w:color w:val="000000" w:themeColor="text1"/>
        </w:rPr>
      </w:pPr>
    </w:p>
    <w:p w14:paraId="173EFAC0" w14:textId="3061AE26" w:rsidR="6B3338EF" w:rsidRDefault="55A7F34C" w:rsidP="000C6B7B">
      <w:pPr>
        <w:pStyle w:val="Heading2"/>
      </w:pPr>
      <w:bookmarkStart w:id="33" w:name="_Toc63685929"/>
      <w:r w:rsidRPr="000B50DA">
        <w:t>Put the 'service’ back in employment services</w:t>
      </w:r>
      <w:bookmarkEnd w:id="33"/>
    </w:p>
    <w:p w14:paraId="1F8512ED" w14:textId="77777777" w:rsidR="00877C5B" w:rsidRDefault="596F7253">
      <w:r>
        <w:t xml:space="preserve">In 2018 the Employment Services Expert Panel recommended that a new employment services system be established in 2022, with a ‘digital services’ stream for people less disadvantaged in the labour market and an </w:t>
      </w:r>
      <w:r w:rsidR="797D8693">
        <w:t>'</w:t>
      </w:r>
      <w:r>
        <w:t>enhanced services</w:t>
      </w:r>
      <w:r w:rsidR="2EB1AD7C">
        <w:t>'</w:t>
      </w:r>
      <w:r>
        <w:t xml:space="preserve"> stream for people unemployed long-term and those assessed as more disadvantaged.</w:t>
      </w:r>
      <w:r w:rsidRPr="7B33A330">
        <w:rPr>
          <w:rStyle w:val="FootnoteReference"/>
        </w:rPr>
        <w:footnoteReference w:id="22"/>
      </w:r>
      <w:r>
        <w:t xml:space="preserve"> </w:t>
      </w:r>
    </w:p>
    <w:p w14:paraId="1D02A4E1" w14:textId="4F33E0F8" w:rsidR="596F7253" w:rsidRDefault="596F7253">
      <w:r>
        <w:t>Savings from the implementation of digital services were to be re-allocated to enhanced services to reduce caseloads and offer more scope for providers to invest in training, work experience and other personalised support.</w:t>
      </w:r>
    </w:p>
    <w:p w14:paraId="33676987" w14:textId="07514CCD" w:rsidR="596F7253" w:rsidRDefault="596F7253" w:rsidP="676F2219">
      <w:r>
        <w:t xml:space="preserve">It is clear that the present employment services system is not fit for purpose to deal with the new challenge of mass unemployment and elevated levels of long-term unemployment. </w:t>
      </w:r>
      <w:r w:rsidR="3C5FFD6A">
        <w:t>In 2019</w:t>
      </w:r>
      <w:r>
        <w:t>, the average expenditure per place in</w:t>
      </w:r>
      <w:r w:rsidR="2E363821">
        <w:t xml:space="preserve"> the </w:t>
      </w:r>
      <w:r w:rsidRPr="7B33A330">
        <w:rPr>
          <w:i/>
          <w:iCs/>
        </w:rPr>
        <w:t xml:space="preserve">jobactive </w:t>
      </w:r>
      <w:r w:rsidR="543B88F6">
        <w:t xml:space="preserve">program </w:t>
      </w:r>
      <w:r>
        <w:t>for people unemployed long-term was $2,200 to $3,000 and the average caseload was 140 people per consultant. Inadequate investment in employment services and an excessive focus on compliance meant that most people receive a standardised, low-level service.</w:t>
      </w:r>
    </w:p>
    <w:p w14:paraId="08B37545" w14:textId="713980D1" w:rsidR="596F7253" w:rsidRDefault="596F7253" w:rsidP="676F2219">
      <w:r>
        <w:lastRenderedPageBreak/>
        <w:t xml:space="preserve">In response to the rapid rise in unemployment, </w:t>
      </w:r>
      <w:r w:rsidR="18DEAA94">
        <w:t xml:space="preserve">some of </w:t>
      </w:r>
      <w:r>
        <w:t>the Panel’s proposals have been implemented</w:t>
      </w:r>
      <w:r w:rsidR="1F66F7ED">
        <w:t xml:space="preserve"> early</w:t>
      </w:r>
      <w:r>
        <w:t xml:space="preserve">. </w:t>
      </w:r>
      <w:r w:rsidR="007C4DAC">
        <w:t xml:space="preserve">Around half of </w:t>
      </w:r>
      <w:r w:rsidR="64B7B999">
        <w:t xml:space="preserve">the 1,400,000 people receiving employment assistance are now assisted online, and the remainder by jobactive providers. </w:t>
      </w:r>
      <w:r>
        <w:t xml:space="preserve">Payments to providers have been brought forward so that roughly half of their funding </w:t>
      </w:r>
      <w:r w:rsidR="1A4EA724">
        <w:t>is</w:t>
      </w:r>
      <w:r>
        <w:t xml:space="preserve"> ‘up-front’ and the other half for outcomes achieved.</w:t>
      </w:r>
    </w:p>
    <w:p w14:paraId="03FE4FD8" w14:textId="40627244" w:rsidR="596F7253" w:rsidRDefault="596F7253" w:rsidP="676F2219">
      <w:r>
        <w:t xml:space="preserve">These reforms should go further. For </w:t>
      </w:r>
      <w:r w:rsidR="4AFE66ED">
        <w:t xml:space="preserve">employment service </w:t>
      </w:r>
      <w:r>
        <w:t xml:space="preserve">providers to play their crucial case management and coordinating role, </w:t>
      </w:r>
      <w:r w:rsidR="3D8ED6FF">
        <w:t xml:space="preserve">savings from digital servicing must be reallocated to reduce provider </w:t>
      </w:r>
      <w:r>
        <w:t>caseloads</w:t>
      </w:r>
      <w:r w:rsidR="014DE92E">
        <w:t>, not returned to the Treasury</w:t>
      </w:r>
      <w:r w:rsidR="1FA067A9">
        <w:t>. I</w:t>
      </w:r>
      <w:r>
        <w:t>ncentives in the p</w:t>
      </w:r>
      <w:r w:rsidR="02DA3209">
        <w:t>ayment</w:t>
      </w:r>
      <w:r>
        <w:t xml:space="preserve"> model </w:t>
      </w:r>
      <w:r w:rsidR="77FA3432">
        <w:t xml:space="preserve">should be </w:t>
      </w:r>
      <w:r w:rsidR="78AE1EF0">
        <w:t>recalibrated to enc</w:t>
      </w:r>
      <w:r>
        <w:t xml:space="preserve">ourage patient investment in program participants and </w:t>
      </w:r>
      <w:r w:rsidR="7026202B">
        <w:t xml:space="preserve">closer </w:t>
      </w:r>
      <w:r>
        <w:t xml:space="preserve">relationships with employers, rather than </w:t>
      </w:r>
      <w:r w:rsidR="62B4BD53">
        <w:t xml:space="preserve">simply </w:t>
      </w:r>
      <w:r>
        <w:t>compliance with activity and contract requirements.</w:t>
      </w:r>
    </w:p>
    <w:p w14:paraId="45116CC1" w14:textId="198CBF82" w:rsidR="79078D8B" w:rsidRDefault="79078D8B" w:rsidP="7B33A330">
      <w:r>
        <w:t>When the new employment services model is introduced, it should be underpinned by a robust licensing system administered by an independent statutory body.</w:t>
      </w:r>
      <w:r w:rsidR="5F282ED4">
        <w:t xml:space="preserve"> </w:t>
      </w:r>
      <w:r w:rsidR="7247888C">
        <w:t>Biases in the system towards larger, for-profit providers should be removed to facilitate the entry of s</w:t>
      </w:r>
      <w:r w:rsidR="5F282ED4">
        <w:t>pecialist and local community agencies</w:t>
      </w:r>
      <w:r w:rsidR="0A554BB7">
        <w:t xml:space="preserve"> into the new program.</w:t>
      </w:r>
      <w:r w:rsidRPr="7B33A330">
        <w:rPr>
          <w:rStyle w:val="FootnoteReference"/>
        </w:rPr>
        <w:footnoteReference w:id="23"/>
      </w:r>
      <w:r w:rsidR="34FD45DC">
        <w:t xml:space="preserve"> </w:t>
      </w:r>
      <w:r>
        <w:t xml:space="preserve"> </w:t>
      </w:r>
    </w:p>
    <w:p w14:paraId="6BB1625C" w14:textId="2A4732C1" w:rsidR="6186D9E2" w:rsidRDefault="6186D9E2" w:rsidP="676F2219">
      <w:pPr>
        <w:pStyle w:val="Recommendation"/>
      </w:pPr>
      <w:r w:rsidRPr="00985429">
        <w:rPr>
          <w:color w:val="C00000"/>
        </w:rPr>
        <w:t xml:space="preserve">Recommendation </w:t>
      </w:r>
      <w:r w:rsidR="00985429" w:rsidRPr="00985429">
        <w:rPr>
          <w:color w:val="C00000"/>
        </w:rPr>
        <w:t>14</w:t>
      </w:r>
      <w:r w:rsidR="7271494F" w:rsidRPr="00985429">
        <w:rPr>
          <w:color w:val="C00000"/>
        </w:rPr>
        <w:t xml:space="preserve">: </w:t>
      </w:r>
      <w:r w:rsidR="7271494F" w:rsidRPr="002B237C">
        <w:rPr>
          <w:color w:val="000000" w:themeColor="text1"/>
        </w:rPr>
        <w:t>Restructure employment services</w:t>
      </w:r>
    </w:p>
    <w:p w14:paraId="4AC4BC8E" w14:textId="3F4281A4" w:rsidR="5C2CD84E" w:rsidRDefault="5C2CD84E" w:rsidP="676F2219">
      <w:pPr>
        <w:pStyle w:val="ListNumber"/>
        <w:numPr>
          <w:ilvl w:val="0"/>
          <w:numId w:val="0"/>
        </w:numPr>
      </w:pPr>
      <w:r>
        <w:br/>
      </w:r>
      <w:r w:rsidRPr="7B33A330">
        <w:rPr>
          <w:b/>
          <w:bCs/>
        </w:rPr>
        <w:t xml:space="preserve">In consultation with service providers and users, peak bodies and experts, </w:t>
      </w:r>
      <w:r w:rsidR="09E6830D" w:rsidRPr="7B33A330">
        <w:rPr>
          <w:b/>
          <w:bCs/>
        </w:rPr>
        <w:t xml:space="preserve">the next model of employment services should be designed on the foundations laid by </w:t>
      </w:r>
      <w:r w:rsidRPr="7B33A330">
        <w:rPr>
          <w:b/>
          <w:bCs/>
        </w:rPr>
        <w:t xml:space="preserve">the </w:t>
      </w:r>
      <w:r w:rsidR="2E3D40DD" w:rsidRPr="7B33A330">
        <w:rPr>
          <w:b/>
          <w:bCs/>
        </w:rPr>
        <w:t xml:space="preserve">Employment Service </w:t>
      </w:r>
      <w:r w:rsidRPr="7B33A330">
        <w:rPr>
          <w:b/>
          <w:bCs/>
        </w:rPr>
        <w:t>Expert Panel, including:</w:t>
      </w:r>
    </w:p>
    <w:p w14:paraId="2AE61D39" w14:textId="4847DF4B" w:rsidR="5C2CD84E" w:rsidRPr="002D4DFE" w:rsidRDefault="5C2CD84E" w:rsidP="7B33A330">
      <w:r w:rsidRPr="7B33A330">
        <w:rPr>
          <w:b/>
          <w:bCs/>
        </w:rPr>
        <w:t>(</w:t>
      </w:r>
      <w:r w:rsidR="2E27E6CE" w:rsidRPr="7B33A330">
        <w:rPr>
          <w:b/>
          <w:bCs/>
        </w:rPr>
        <w:t>1</w:t>
      </w:r>
      <w:r w:rsidRPr="7B33A330">
        <w:rPr>
          <w:b/>
          <w:bCs/>
        </w:rPr>
        <w:t xml:space="preserve">) Two streams of service, a digital service (with personal support as </w:t>
      </w:r>
      <w:r w:rsidR="405345B6" w:rsidRPr="7B33A330">
        <w:rPr>
          <w:b/>
          <w:bCs/>
        </w:rPr>
        <w:t>required from employment specialists in Services Australia</w:t>
      </w:r>
      <w:r w:rsidRPr="7B33A330">
        <w:rPr>
          <w:b/>
          <w:bCs/>
        </w:rPr>
        <w:t>) for people less disadvantaged in the labour market</w:t>
      </w:r>
      <w:r w:rsidR="10295EA6" w:rsidRPr="7B33A330">
        <w:rPr>
          <w:b/>
          <w:bCs/>
        </w:rPr>
        <w:t>,</w:t>
      </w:r>
      <w:r w:rsidRPr="7B33A330">
        <w:rPr>
          <w:b/>
          <w:bCs/>
        </w:rPr>
        <w:t xml:space="preserve"> and a more intensive face-to-face service for people unemployed for a year or more (six months in the case of people under 25 years) and those at risk;</w:t>
      </w:r>
      <w:r>
        <w:br/>
      </w:r>
      <w:r>
        <w:br/>
      </w:r>
      <w:r w:rsidR="7D457736" w:rsidRPr="7B33A330">
        <w:rPr>
          <w:b/>
          <w:bCs/>
        </w:rPr>
        <w:t>(</w:t>
      </w:r>
      <w:r w:rsidR="6A166EC0" w:rsidRPr="7B33A330">
        <w:rPr>
          <w:b/>
          <w:bCs/>
        </w:rPr>
        <w:t>2</w:t>
      </w:r>
      <w:r w:rsidR="7D457736" w:rsidRPr="7B33A330">
        <w:rPr>
          <w:b/>
          <w:bCs/>
        </w:rPr>
        <w:t xml:space="preserve">) </w:t>
      </w:r>
      <w:r w:rsidR="634F6105" w:rsidRPr="7B33A330">
        <w:rPr>
          <w:b/>
          <w:bCs/>
        </w:rPr>
        <w:t>M</w:t>
      </w:r>
      <w:r w:rsidR="438DE0BC" w:rsidRPr="7B33A330">
        <w:rPr>
          <w:b/>
          <w:bCs/>
        </w:rPr>
        <w:t xml:space="preserve">inimum and </w:t>
      </w:r>
      <w:r w:rsidR="492BB41B" w:rsidRPr="7B33A330">
        <w:rPr>
          <w:b/>
          <w:bCs/>
        </w:rPr>
        <w:t xml:space="preserve">higher-level </w:t>
      </w:r>
      <w:r w:rsidR="438DE0BC" w:rsidRPr="7B33A330">
        <w:rPr>
          <w:b/>
          <w:bCs/>
        </w:rPr>
        <w:t xml:space="preserve">service standards (including qualifications of front-line staff and responsiveness to the needs of service users) </w:t>
      </w:r>
      <w:r w:rsidR="18E54234" w:rsidRPr="7B33A330">
        <w:rPr>
          <w:b/>
          <w:bCs/>
        </w:rPr>
        <w:t xml:space="preserve">monitored </w:t>
      </w:r>
      <w:r w:rsidR="746B3AB4" w:rsidRPr="7B33A330">
        <w:rPr>
          <w:b/>
          <w:bCs/>
        </w:rPr>
        <w:t>by a</w:t>
      </w:r>
      <w:r w:rsidR="7D457736" w:rsidRPr="7B33A330">
        <w:rPr>
          <w:b/>
          <w:bCs/>
        </w:rPr>
        <w:t>n independent statutory licensing body that determines whether providers can enter the employm</w:t>
      </w:r>
      <w:r w:rsidR="012A2E63" w:rsidRPr="7B33A330">
        <w:rPr>
          <w:b/>
          <w:bCs/>
        </w:rPr>
        <w:t xml:space="preserve">ent services system, and </w:t>
      </w:r>
      <w:r w:rsidR="274B5762" w:rsidRPr="7B33A330">
        <w:rPr>
          <w:b/>
          <w:bCs/>
        </w:rPr>
        <w:t>(</w:t>
      </w:r>
      <w:r w:rsidR="6D6A51B2" w:rsidRPr="7B33A330">
        <w:rPr>
          <w:b/>
          <w:bCs/>
        </w:rPr>
        <w:t xml:space="preserve">where minimum </w:t>
      </w:r>
      <w:r w:rsidR="5AAF96C8" w:rsidRPr="7B33A330">
        <w:rPr>
          <w:b/>
          <w:bCs/>
        </w:rPr>
        <w:t>standards are breached)</w:t>
      </w:r>
      <w:r w:rsidR="6D6A51B2" w:rsidRPr="7B33A330">
        <w:rPr>
          <w:b/>
          <w:bCs/>
        </w:rPr>
        <w:t xml:space="preserve"> </w:t>
      </w:r>
      <w:r w:rsidR="012A2E63" w:rsidRPr="7B33A330">
        <w:rPr>
          <w:b/>
          <w:bCs/>
        </w:rPr>
        <w:t xml:space="preserve">whether they </w:t>
      </w:r>
      <w:r w:rsidR="56F8150C" w:rsidRPr="7B33A330">
        <w:rPr>
          <w:b/>
          <w:bCs/>
        </w:rPr>
        <w:t>must</w:t>
      </w:r>
      <w:r w:rsidR="012A2E63" w:rsidRPr="7B33A330">
        <w:rPr>
          <w:b/>
          <w:bCs/>
        </w:rPr>
        <w:t xml:space="preserve"> leave</w:t>
      </w:r>
      <w:r w:rsidR="76718499" w:rsidRPr="7B33A330">
        <w:rPr>
          <w:b/>
          <w:bCs/>
        </w:rPr>
        <w:t>;</w:t>
      </w:r>
      <w:r>
        <w:br/>
      </w:r>
      <w:r>
        <w:br/>
      </w:r>
      <w:r w:rsidR="3A69B116" w:rsidRPr="7B33A330">
        <w:rPr>
          <w:b/>
          <w:bCs/>
        </w:rPr>
        <w:t>(</w:t>
      </w:r>
      <w:r w:rsidR="41FBF48A" w:rsidRPr="7B33A330">
        <w:rPr>
          <w:b/>
          <w:bCs/>
        </w:rPr>
        <w:t>3</w:t>
      </w:r>
      <w:r w:rsidR="3A69B116" w:rsidRPr="7B33A330">
        <w:rPr>
          <w:b/>
          <w:bCs/>
        </w:rPr>
        <w:t xml:space="preserve">) A </w:t>
      </w:r>
      <w:r w:rsidR="72B638FD" w:rsidRPr="7B33A330">
        <w:rPr>
          <w:b/>
          <w:bCs/>
        </w:rPr>
        <w:t xml:space="preserve">commissioning system </w:t>
      </w:r>
      <w:r w:rsidR="3A69B116" w:rsidRPr="7B33A330">
        <w:rPr>
          <w:b/>
          <w:bCs/>
        </w:rPr>
        <w:t>that offers a fixed number of contracts and 'business shares’ in each Employment Service Area</w:t>
      </w:r>
      <w:r w:rsidR="27BA200C" w:rsidRPr="7B33A330">
        <w:rPr>
          <w:b/>
          <w:bCs/>
        </w:rPr>
        <w:t>, subject to provider performance</w:t>
      </w:r>
      <w:r w:rsidR="7B4ED2DC" w:rsidRPr="7B33A330">
        <w:rPr>
          <w:b/>
          <w:bCs/>
        </w:rPr>
        <w:t>, that facilitates the entry of specialist and locally-based providers</w:t>
      </w:r>
      <w:r w:rsidR="27BA200C" w:rsidRPr="7B33A330">
        <w:rPr>
          <w:rFonts w:eastAsiaTheme="minorEastAsia"/>
          <w:b/>
          <w:bCs/>
          <w:szCs w:val="20"/>
        </w:rPr>
        <w:t>;</w:t>
      </w:r>
      <w:r w:rsidR="3A69B116" w:rsidRPr="7B33A330">
        <w:rPr>
          <w:rFonts w:eastAsiaTheme="minorEastAsia"/>
          <w:b/>
          <w:bCs/>
          <w:szCs w:val="20"/>
        </w:rPr>
        <w:t xml:space="preserve">  </w:t>
      </w:r>
      <w:r w:rsidR="7D457736" w:rsidRPr="7B33A330">
        <w:rPr>
          <w:rFonts w:eastAsiaTheme="minorEastAsia"/>
          <w:b/>
          <w:bCs/>
          <w:szCs w:val="20"/>
        </w:rPr>
        <w:t xml:space="preserve"> </w:t>
      </w:r>
    </w:p>
    <w:p w14:paraId="3ED52E9E" w14:textId="455A549E" w:rsidR="676F2219" w:rsidRDefault="1D687344" w:rsidP="676F2219">
      <w:pPr>
        <w:rPr>
          <w:b/>
          <w:bCs/>
        </w:rPr>
      </w:pPr>
      <w:r w:rsidRPr="7B33A330">
        <w:rPr>
          <w:b/>
          <w:bCs/>
        </w:rPr>
        <w:t>(</w:t>
      </w:r>
      <w:r w:rsidR="0C78FDDF" w:rsidRPr="7B33A330">
        <w:rPr>
          <w:b/>
          <w:bCs/>
        </w:rPr>
        <w:t>4</w:t>
      </w:r>
      <w:r w:rsidRPr="7B33A330">
        <w:rPr>
          <w:b/>
          <w:bCs/>
        </w:rPr>
        <w:t xml:space="preserve">) </w:t>
      </w:r>
      <w:r w:rsidR="68611269" w:rsidRPr="7B33A330">
        <w:rPr>
          <w:b/>
          <w:bCs/>
        </w:rPr>
        <w:t xml:space="preserve">A fee structure </w:t>
      </w:r>
      <w:r w:rsidRPr="7B33A330">
        <w:rPr>
          <w:b/>
          <w:bCs/>
        </w:rPr>
        <w:t>that provide</w:t>
      </w:r>
      <w:r w:rsidR="7678648C" w:rsidRPr="7B33A330">
        <w:rPr>
          <w:b/>
          <w:bCs/>
        </w:rPr>
        <w:t>s</w:t>
      </w:r>
      <w:r w:rsidRPr="7B33A330">
        <w:rPr>
          <w:b/>
          <w:bCs/>
        </w:rPr>
        <w:t xml:space="preserve"> more funding in advance, greatly reduce</w:t>
      </w:r>
      <w:r w:rsidR="2A7E8EC3" w:rsidRPr="7B33A330">
        <w:rPr>
          <w:b/>
          <w:bCs/>
        </w:rPr>
        <w:t>s</w:t>
      </w:r>
      <w:r w:rsidRPr="7B33A330">
        <w:rPr>
          <w:b/>
          <w:bCs/>
        </w:rPr>
        <w:t xml:space="preserve"> </w:t>
      </w:r>
      <w:r w:rsidR="719B151B" w:rsidRPr="7B33A330">
        <w:rPr>
          <w:b/>
          <w:bCs/>
        </w:rPr>
        <w:t xml:space="preserve">consultant </w:t>
      </w:r>
      <w:r w:rsidRPr="7B33A330">
        <w:rPr>
          <w:b/>
          <w:bCs/>
        </w:rPr>
        <w:t>caseloads</w:t>
      </w:r>
      <w:r w:rsidR="0195AA18" w:rsidRPr="7B33A330">
        <w:rPr>
          <w:b/>
          <w:bCs/>
        </w:rPr>
        <w:t xml:space="preserve">, and assists people with </w:t>
      </w:r>
      <w:r w:rsidR="6E81A614" w:rsidRPr="7B33A330">
        <w:rPr>
          <w:b/>
          <w:bCs/>
        </w:rPr>
        <w:t xml:space="preserve">direct costs of job search and </w:t>
      </w:r>
      <w:r w:rsidR="0195AA18" w:rsidRPr="7B33A330">
        <w:rPr>
          <w:b/>
          <w:bCs/>
        </w:rPr>
        <w:t xml:space="preserve">barriers to employment through an </w:t>
      </w:r>
      <w:r w:rsidR="5641F299" w:rsidRPr="7B33A330">
        <w:rPr>
          <w:b/>
          <w:bCs/>
        </w:rPr>
        <w:t xml:space="preserve">enhanced Employment Fund (as proposed in </w:t>
      </w:r>
      <w:r w:rsidR="5641F299" w:rsidRPr="00F468D6">
        <w:rPr>
          <w:b/>
          <w:bCs/>
        </w:rPr>
        <w:t>R</w:t>
      </w:r>
      <w:r w:rsidR="00FE2905" w:rsidRPr="00F468D6">
        <w:rPr>
          <w:b/>
          <w:bCs/>
        </w:rPr>
        <w:t xml:space="preserve">ecommendation </w:t>
      </w:r>
      <w:r w:rsidR="005855C0">
        <w:rPr>
          <w:b/>
          <w:bCs/>
        </w:rPr>
        <w:t>11</w:t>
      </w:r>
      <w:r w:rsidR="5641F299" w:rsidRPr="7B33A330">
        <w:rPr>
          <w:b/>
          <w:bCs/>
        </w:rPr>
        <w:t>)</w:t>
      </w:r>
      <w:r w:rsidR="20D86F83" w:rsidRPr="7B33A330">
        <w:rPr>
          <w:b/>
          <w:bCs/>
        </w:rPr>
        <w:t>.</w:t>
      </w:r>
      <w:r w:rsidR="5641F299" w:rsidRPr="7B33A330">
        <w:rPr>
          <w:b/>
          <w:bCs/>
        </w:rPr>
        <w:t xml:space="preserve"> </w:t>
      </w:r>
      <w:r w:rsidR="676F2219">
        <w:br/>
      </w:r>
    </w:p>
    <w:p w14:paraId="18B1B4FE" w14:textId="10E65AFD" w:rsidR="21F7969A" w:rsidRDefault="21F7969A" w:rsidP="000C6B7B">
      <w:pPr>
        <w:pStyle w:val="Heading2"/>
      </w:pPr>
      <w:bookmarkStart w:id="34" w:name="_Toc63685930"/>
      <w:r w:rsidRPr="000B50DA">
        <w:lastRenderedPageBreak/>
        <w:t>Remove harsh elements and</w:t>
      </w:r>
      <w:r w:rsidR="5EB68633" w:rsidRPr="000B50DA">
        <w:t xml:space="preserve"> </w:t>
      </w:r>
      <w:r w:rsidRPr="000B50DA">
        <w:t xml:space="preserve">automation </w:t>
      </w:r>
      <w:r w:rsidR="2210C5F9" w:rsidRPr="000B50DA">
        <w:t>from</w:t>
      </w:r>
      <w:r w:rsidRPr="000B50DA">
        <w:t xml:space="preserve"> the unemployment payment compliance system</w:t>
      </w:r>
      <w:bookmarkEnd w:id="34"/>
    </w:p>
    <w:p w14:paraId="7DCBDA02" w14:textId="5AD3DE71" w:rsidR="21F7969A" w:rsidRDefault="7000EB05" w:rsidP="7B33A330">
      <w:r>
        <w:t xml:space="preserve">People using jobactive services should be supported to take control of their own job search, rather than simply follow instructions. At a time when many people are distressed by the combination of </w:t>
      </w:r>
      <w:r w:rsidR="00504DD5">
        <w:t>COVID-19</w:t>
      </w:r>
      <w:r>
        <w:t xml:space="preserve">, social isolation, and unemployment, activity requirements and penalties </w:t>
      </w:r>
      <w:r w:rsidR="7AEE5B85">
        <w:t>should</w:t>
      </w:r>
      <w:r>
        <w:t xml:space="preserve"> be redesigned to offer positive support instead of adding to the pressures people already face. </w:t>
      </w:r>
    </w:p>
    <w:p w14:paraId="02B8E371" w14:textId="6077828D" w:rsidR="21F7969A" w:rsidRDefault="21F7969A" w:rsidP="676F2219">
      <w:r>
        <w:t xml:space="preserve">Activity requirements that keep people engaged with the labour market can speed </w:t>
      </w:r>
      <w:r w:rsidR="007C4DAC">
        <w:t>transitions to paid employment.</w:t>
      </w:r>
      <w:r w:rsidR="007C4DAC">
        <w:rPr>
          <w:rStyle w:val="FootnoteReference"/>
        </w:rPr>
        <w:footnoteReference w:id="24"/>
      </w:r>
      <w:r>
        <w:t xml:space="preserve"> However, onerous requirements and penalties </w:t>
      </w:r>
      <w:r w:rsidR="00BB3E17">
        <w:t xml:space="preserve">cause distress, </w:t>
      </w:r>
      <w:r>
        <w:t>add little or no value to employment assistance</w:t>
      </w:r>
      <w:r w:rsidR="175904B1">
        <w:t>,</w:t>
      </w:r>
      <w:r>
        <w:t xml:space="preserve"> and detract from people’s efforts to find employment tha</w:t>
      </w:r>
      <w:r w:rsidR="00B97371">
        <w:t>t is more suitable and stable.</w:t>
      </w:r>
      <w:r w:rsidR="00B97371">
        <w:rPr>
          <w:rStyle w:val="FootnoteReference"/>
        </w:rPr>
        <w:footnoteReference w:id="25"/>
      </w:r>
      <w:r>
        <w:t xml:space="preserve"> </w:t>
      </w:r>
    </w:p>
    <w:p w14:paraId="7A72AD27" w14:textId="408FDC4A" w:rsidR="21F7969A" w:rsidRDefault="21F7969A" w:rsidP="676F2219">
      <w:r>
        <w:t>Activity requirements for unemployed people in Australia are a</w:t>
      </w:r>
      <w:r w:rsidR="00B97371">
        <w:t>mong the strictest in the OECD.</w:t>
      </w:r>
      <w:r w:rsidR="00B97371">
        <w:rPr>
          <w:rStyle w:val="FootnoteReference"/>
        </w:rPr>
        <w:footnoteReference w:id="26"/>
      </w:r>
      <w:r>
        <w:t xml:space="preserve"> </w:t>
      </w:r>
      <w:r w:rsidR="3258DDF2">
        <w:t xml:space="preserve">Prior to </w:t>
      </w:r>
      <w:r w:rsidR="00504DD5">
        <w:t>COVID-19</w:t>
      </w:r>
      <w:r w:rsidR="3258DDF2">
        <w:t>, t</w:t>
      </w:r>
      <w:r>
        <w:t xml:space="preserve">hey typically </w:t>
      </w:r>
      <w:r w:rsidR="0543C6A3">
        <w:t xml:space="preserve">had to </w:t>
      </w:r>
      <w:r>
        <w:t>agree to a job plan, attend regular appointments with jobactive, apply for 20 jobs each month, and for three to six months of each year of unemployment participate in Work for the Dole (working for their benefits for 15 to 25 hours a week) or other ‘annual activities’.</w:t>
      </w:r>
    </w:p>
    <w:p w14:paraId="2A888CF8" w14:textId="77777777" w:rsidR="002B237C" w:rsidRDefault="5A399DC0" w:rsidP="7B33A330">
      <w:r>
        <w:t>Under t</w:t>
      </w:r>
      <w:r w:rsidR="567AEBA6">
        <w:t xml:space="preserve">he </w:t>
      </w:r>
      <w:r w:rsidR="567AEBA6" w:rsidRPr="7B33A330">
        <w:rPr>
          <w:i/>
          <w:iCs/>
        </w:rPr>
        <w:t>T</w:t>
      </w:r>
      <w:r w:rsidR="2E820629" w:rsidRPr="7B33A330">
        <w:rPr>
          <w:i/>
          <w:iCs/>
        </w:rPr>
        <w:t>argeted Compliance Framework</w:t>
      </w:r>
      <w:r w:rsidR="2E820629">
        <w:t xml:space="preserve"> (T</w:t>
      </w:r>
      <w:r w:rsidR="567AEBA6">
        <w:t>CF</w:t>
      </w:r>
      <w:r w:rsidR="704BE9A1">
        <w:t>)</w:t>
      </w:r>
      <w:r w:rsidR="77C6DFC7">
        <w:t>, people</w:t>
      </w:r>
      <w:r w:rsidR="567AEBA6">
        <w:t xml:space="preserve"> who do not </w:t>
      </w:r>
      <w:r w:rsidR="15B2544D">
        <w:t xml:space="preserve">attend a jobactive provider appointment or </w:t>
      </w:r>
      <w:r w:rsidR="567AEBA6">
        <w:t xml:space="preserve">undertake an activity </w:t>
      </w:r>
      <w:r w:rsidR="7660696A">
        <w:t xml:space="preserve">have their next payment suspended </w:t>
      </w:r>
      <w:r w:rsidR="567AEBA6">
        <w:t>automat</w:t>
      </w:r>
      <w:r w:rsidR="594CAA11">
        <w:t>ically</w:t>
      </w:r>
      <w:r w:rsidR="567AEBA6">
        <w:t xml:space="preserve">. </w:t>
      </w:r>
    </w:p>
    <w:p w14:paraId="04210C5A" w14:textId="5394D1C5" w:rsidR="5A399DC0" w:rsidRDefault="567AEBA6" w:rsidP="7B33A330">
      <w:r>
        <w:t xml:space="preserve">Employment service providers lack discretion </w:t>
      </w:r>
      <w:r w:rsidR="01BBBACC">
        <w:t xml:space="preserve">not to </w:t>
      </w:r>
      <w:r>
        <w:t xml:space="preserve">impose </w:t>
      </w:r>
      <w:r w:rsidR="4AA45378">
        <w:t>'</w:t>
      </w:r>
      <w:r>
        <w:t>demerit</w:t>
      </w:r>
      <w:r w:rsidR="6C5D5C9A">
        <w:t xml:space="preserve"> point</w:t>
      </w:r>
      <w:r>
        <w:t>s</w:t>
      </w:r>
      <w:r w:rsidR="1F682F4E">
        <w:t>'</w:t>
      </w:r>
      <w:r w:rsidR="715EF278">
        <w:t xml:space="preserve"> that can lead to loss of payments for up to four weeks</w:t>
      </w:r>
      <w:r>
        <w:t xml:space="preserve">, and </w:t>
      </w:r>
      <w:r w:rsidR="3A46CEAD">
        <w:t xml:space="preserve">Services Australia </w:t>
      </w:r>
      <w:r>
        <w:t xml:space="preserve">lacks discretion </w:t>
      </w:r>
      <w:r w:rsidR="2FB3562D">
        <w:t xml:space="preserve">not </w:t>
      </w:r>
      <w:r>
        <w:t xml:space="preserve">to apply financial penalties. </w:t>
      </w:r>
      <w:r w:rsidR="2719B6A6">
        <w:t>N</w:t>
      </w:r>
      <w:r>
        <w:t xml:space="preserve">on-government providers and algorithms in effect </w:t>
      </w:r>
      <w:r w:rsidR="338972E7">
        <w:t xml:space="preserve">supplant </w:t>
      </w:r>
      <w:r>
        <w:t xml:space="preserve">the role of Services Australia </w:t>
      </w:r>
      <w:r w:rsidR="0293FA99">
        <w:t>in the compliance system</w:t>
      </w:r>
      <w:r>
        <w:t xml:space="preserve">.  </w:t>
      </w:r>
    </w:p>
    <w:p w14:paraId="38336E4A" w14:textId="77777777" w:rsidR="00877C5B" w:rsidRDefault="1433DEC8" w:rsidP="7B33A330">
      <w:r>
        <w:t xml:space="preserve">During the recession, a number of positive changes were made to activity requirements and the compliance system. </w:t>
      </w:r>
    </w:p>
    <w:p w14:paraId="10BA7BC0" w14:textId="281ACE5F" w:rsidR="1433DEC8" w:rsidRDefault="1433DEC8" w:rsidP="7B33A330">
      <w:r>
        <w:t xml:space="preserve">They included reduced job search requirements when job vacancies were </w:t>
      </w:r>
      <w:r w:rsidR="34CC02B7">
        <w:t>scarce, the removal of requirements to participate in face-to-face appointments and activities, and the introduction of a two</w:t>
      </w:r>
      <w:r w:rsidR="6DAB35B5">
        <w:t>-</w:t>
      </w:r>
      <w:r w:rsidR="34CC02B7">
        <w:t>day grace period before payment suspensions are applied</w:t>
      </w:r>
      <w:r w:rsidR="1107B023">
        <w:t>.</w:t>
      </w:r>
      <w:r w:rsidR="34CC02B7">
        <w:t xml:space="preserve">  </w:t>
      </w:r>
    </w:p>
    <w:p w14:paraId="3074B8DA" w14:textId="3360A531" w:rsidR="676F2219" w:rsidRDefault="567AEBA6" w:rsidP="676F2219">
      <w:r>
        <w:t xml:space="preserve">As COVID restrictions are eased, we should not </w:t>
      </w:r>
      <w:r w:rsidR="37FF61BA">
        <w:t>return</w:t>
      </w:r>
      <w:r>
        <w:t xml:space="preserve"> to </w:t>
      </w:r>
      <w:r w:rsidR="7DB021F9">
        <w:t>the previous</w:t>
      </w:r>
      <w:r>
        <w:t xml:space="preserve">, harsh compliance system. </w:t>
      </w:r>
      <w:r w:rsidR="1B02351A">
        <w:t>A</w:t>
      </w:r>
      <w:r w:rsidR="25964333">
        <w:t xml:space="preserve">ctivity requirements </w:t>
      </w:r>
      <w:r w:rsidR="623FB42A">
        <w:t>should be m</w:t>
      </w:r>
      <w:r w:rsidR="25964333">
        <w:t>od</w:t>
      </w:r>
      <w:r w:rsidR="459AE71C">
        <w:t>ified</w:t>
      </w:r>
      <w:r w:rsidR="25964333">
        <w:t xml:space="preserve"> to take account of </w:t>
      </w:r>
      <w:r w:rsidR="1ACE5C97">
        <w:t xml:space="preserve">people's fear of infection and </w:t>
      </w:r>
      <w:r w:rsidR="25964333">
        <w:t>diminished employment opportunities</w:t>
      </w:r>
      <w:r w:rsidR="6822186C">
        <w:t xml:space="preserve">, especially in regions with few </w:t>
      </w:r>
      <w:r w:rsidR="356CE6E8">
        <w:t>vacancies</w:t>
      </w:r>
      <w:r w:rsidR="25964333">
        <w:t xml:space="preserve">. </w:t>
      </w:r>
      <w:r w:rsidR="38B7786F">
        <w:t>A</w:t>
      </w:r>
      <w:r w:rsidR="25964333">
        <w:t>utomated suspension of payments for non-compliance and</w:t>
      </w:r>
      <w:r w:rsidR="45681751">
        <w:t xml:space="preserve"> </w:t>
      </w:r>
      <w:r w:rsidR="18595084">
        <w:t>other harsh elements of the Targeted Compliance Framework should be removed.</w:t>
      </w:r>
      <w:r w:rsidR="25964333">
        <w:t xml:space="preserve">  </w:t>
      </w:r>
    </w:p>
    <w:p w14:paraId="33FE301D" w14:textId="387B42B5" w:rsidR="6B6E4983" w:rsidRDefault="00985429" w:rsidP="005855C0">
      <w:pPr>
        <w:pStyle w:val="Recommendation"/>
        <w:keepNext/>
      </w:pPr>
      <w:r w:rsidRPr="00985429">
        <w:rPr>
          <w:color w:val="C00000"/>
        </w:rPr>
        <w:lastRenderedPageBreak/>
        <w:t>Recommendation 15</w:t>
      </w:r>
      <w:r w:rsidR="6B6E4983" w:rsidRPr="00985429">
        <w:rPr>
          <w:color w:val="C00000"/>
        </w:rPr>
        <w:t xml:space="preserve">: </w:t>
      </w:r>
      <w:r w:rsidR="6B6E4983" w:rsidRPr="002B237C">
        <w:rPr>
          <w:color w:val="000000" w:themeColor="text1"/>
        </w:rPr>
        <w:t>Replace harsh compliance arrangements with a strengths-based approach.</w:t>
      </w:r>
    </w:p>
    <w:p w14:paraId="4ECB462A" w14:textId="1D2F2CD3" w:rsidR="6B6E4983" w:rsidRDefault="6B6E4983" w:rsidP="676F2219">
      <w:r>
        <w:br/>
      </w:r>
      <w:r w:rsidRPr="7B33A330">
        <w:rPr>
          <w:b/>
          <w:bCs/>
        </w:rPr>
        <w:t xml:space="preserve">The employment services system should be re-oriented away from compliance with activity requirements towards positive help and agency for unemployed people, </w:t>
      </w:r>
      <w:r w:rsidR="560B4204" w:rsidRPr="7B33A330">
        <w:rPr>
          <w:b/>
          <w:bCs/>
        </w:rPr>
        <w:t>through</w:t>
      </w:r>
      <w:r w:rsidRPr="7B33A330">
        <w:rPr>
          <w:b/>
          <w:bCs/>
        </w:rPr>
        <w:t>:</w:t>
      </w:r>
    </w:p>
    <w:p w14:paraId="0A523574" w14:textId="17325F34" w:rsidR="6B6E4983" w:rsidRDefault="39089B9C" w:rsidP="7B33A330">
      <w:pPr>
        <w:spacing w:after="0" w:line="240" w:lineRule="auto"/>
        <w:jc w:val="both"/>
        <w:rPr>
          <w:b/>
          <w:bCs/>
        </w:rPr>
      </w:pPr>
      <w:r w:rsidRPr="7B33A330">
        <w:rPr>
          <w:b/>
          <w:bCs/>
        </w:rPr>
        <w:t xml:space="preserve">(1) </w:t>
      </w:r>
      <w:r w:rsidR="0C948F1B" w:rsidRPr="7B33A330">
        <w:rPr>
          <w:b/>
          <w:bCs/>
        </w:rPr>
        <w:t xml:space="preserve">A simple 'points-based' system of activity requirements with lower default job search requirements (especially in regions with few vacancies and for </w:t>
      </w:r>
      <w:r w:rsidR="6B6E4983" w:rsidRPr="7B33A330">
        <w:rPr>
          <w:b/>
          <w:bCs/>
        </w:rPr>
        <w:t xml:space="preserve">principal carers, people with partial work capacity, </w:t>
      </w:r>
      <w:r w:rsidR="444EABC6" w:rsidRPr="7B33A330">
        <w:rPr>
          <w:b/>
          <w:bCs/>
        </w:rPr>
        <w:t xml:space="preserve">and </w:t>
      </w:r>
      <w:r w:rsidR="6B6E4983" w:rsidRPr="7B33A330">
        <w:rPr>
          <w:b/>
          <w:bCs/>
        </w:rPr>
        <w:t>older people</w:t>
      </w:r>
      <w:r w:rsidR="2D55C1BB" w:rsidRPr="7B33A330">
        <w:rPr>
          <w:b/>
          <w:bCs/>
        </w:rPr>
        <w:t xml:space="preserve">) </w:t>
      </w:r>
      <w:r w:rsidR="6B6E4983" w:rsidRPr="7B33A330">
        <w:rPr>
          <w:b/>
          <w:bCs/>
        </w:rPr>
        <w:t xml:space="preserve">and </w:t>
      </w:r>
      <w:r w:rsidR="7224EFEB" w:rsidRPr="7B33A330">
        <w:rPr>
          <w:b/>
          <w:bCs/>
        </w:rPr>
        <w:t>more flexibility to combine job search with other activities such as training</w:t>
      </w:r>
      <w:r w:rsidR="6B6E4983" w:rsidRPr="7B33A330">
        <w:rPr>
          <w:b/>
          <w:bCs/>
        </w:rPr>
        <w:t>;</w:t>
      </w:r>
      <w:r w:rsidR="6B6E4983">
        <w:br/>
      </w:r>
    </w:p>
    <w:p w14:paraId="7368CF11" w14:textId="138FFF2A" w:rsidR="6B6E4983" w:rsidRDefault="354D6AC4" w:rsidP="7B33A330">
      <w:pPr>
        <w:spacing w:after="0" w:line="240" w:lineRule="auto"/>
        <w:jc w:val="both"/>
        <w:rPr>
          <w:rFonts w:asciiTheme="minorHAnsi" w:eastAsiaTheme="minorEastAsia" w:hAnsiTheme="minorHAnsi"/>
          <w:b/>
          <w:bCs/>
          <w:szCs w:val="20"/>
        </w:rPr>
      </w:pPr>
      <w:r w:rsidRPr="7B33A330">
        <w:rPr>
          <w:b/>
          <w:bCs/>
        </w:rPr>
        <w:t xml:space="preserve">(2) </w:t>
      </w:r>
      <w:r w:rsidR="6B6E4983" w:rsidRPr="7B33A330">
        <w:rPr>
          <w:b/>
          <w:bCs/>
        </w:rPr>
        <w:t>Removing requirements to work for benefits (Work for the Dole), and social requirements attached to benefits (including children’s attendance at playgroups or school, and drug treatment);</w:t>
      </w:r>
    </w:p>
    <w:p w14:paraId="6885CCE2" w14:textId="00C390B4" w:rsidR="7B33A330" w:rsidRDefault="7B33A330" w:rsidP="7B33A330">
      <w:pPr>
        <w:spacing w:after="0" w:line="240" w:lineRule="auto"/>
        <w:jc w:val="both"/>
        <w:rPr>
          <w:b/>
          <w:bCs/>
        </w:rPr>
      </w:pPr>
    </w:p>
    <w:p w14:paraId="2112F225" w14:textId="40FDB073" w:rsidR="676F2219" w:rsidRDefault="2043BAD2" w:rsidP="7B33A330">
      <w:pPr>
        <w:spacing w:after="0" w:line="240" w:lineRule="auto"/>
        <w:jc w:val="both"/>
        <w:rPr>
          <w:b/>
          <w:bCs/>
        </w:rPr>
      </w:pPr>
      <w:r w:rsidRPr="7B33A330">
        <w:rPr>
          <w:b/>
          <w:bCs/>
        </w:rPr>
        <w:t xml:space="preserve">(3) </w:t>
      </w:r>
      <w:r w:rsidR="6B6E4983" w:rsidRPr="7B33A330">
        <w:rPr>
          <w:b/>
          <w:bCs/>
        </w:rPr>
        <w:t>Restoring default hours for compulsory annual activity requirements (mutual obligation) to 15 hours a week instead of the current 25 hours</w:t>
      </w:r>
      <w:r w:rsidR="062B8D77" w:rsidRPr="7B33A330">
        <w:rPr>
          <w:b/>
          <w:bCs/>
        </w:rPr>
        <w:t>;</w:t>
      </w:r>
    </w:p>
    <w:p w14:paraId="34757EEE" w14:textId="64940020" w:rsidR="676F2219" w:rsidRDefault="676F2219" w:rsidP="7B33A330">
      <w:pPr>
        <w:spacing w:after="0" w:line="240" w:lineRule="auto"/>
        <w:jc w:val="both"/>
        <w:rPr>
          <w:b/>
          <w:bCs/>
        </w:rPr>
      </w:pPr>
    </w:p>
    <w:p w14:paraId="196EB688" w14:textId="2B2C9504" w:rsidR="676F2219" w:rsidRDefault="062B8D77" w:rsidP="7B33A330">
      <w:pPr>
        <w:spacing w:after="0" w:line="240" w:lineRule="auto"/>
        <w:jc w:val="both"/>
        <w:rPr>
          <w:rFonts w:asciiTheme="minorHAnsi" w:eastAsiaTheme="minorEastAsia" w:hAnsiTheme="minorHAnsi"/>
          <w:b/>
          <w:bCs/>
          <w:szCs w:val="20"/>
        </w:rPr>
      </w:pPr>
      <w:r w:rsidRPr="7B33A330">
        <w:rPr>
          <w:b/>
          <w:bCs/>
        </w:rPr>
        <w:t xml:space="preserve">(4) </w:t>
      </w:r>
      <w:r w:rsidR="5F1A8E41" w:rsidRPr="7B33A330">
        <w:rPr>
          <w:b/>
          <w:bCs/>
        </w:rPr>
        <w:t xml:space="preserve">Restoring the role of </w:t>
      </w:r>
      <w:r w:rsidR="559C795A" w:rsidRPr="7B33A330">
        <w:rPr>
          <w:b/>
          <w:bCs/>
        </w:rPr>
        <w:t xml:space="preserve">Services Australia </w:t>
      </w:r>
      <w:r w:rsidR="5F1A8E41" w:rsidRPr="7B33A330">
        <w:rPr>
          <w:b/>
          <w:bCs/>
        </w:rPr>
        <w:t xml:space="preserve">in assessing compliance with activity requirements, including the first 5 ‘demerits’;  </w:t>
      </w:r>
    </w:p>
    <w:p w14:paraId="46AA9286" w14:textId="6C381D35" w:rsidR="676F2219" w:rsidRDefault="676F2219" w:rsidP="7B33A330">
      <w:pPr>
        <w:spacing w:after="0" w:line="240" w:lineRule="auto"/>
        <w:jc w:val="both"/>
        <w:rPr>
          <w:b/>
          <w:bCs/>
        </w:rPr>
      </w:pPr>
    </w:p>
    <w:p w14:paraId="62553318" w14:textId="3F18A3CC" w:rsidR="676F2219" w:rsidRDefault="0D134775" w:rsidP="7B33A330">
      <w:pPr>
        <w:spacing w:after="0" w:line="240" w:lineRule="auto"/>
        <w:jc w:val="both"/>
        <w:rPr>
          <w:rFonts w:asciiTheme="minorHAnsi" w:eastAsiaTheme="minorEastAsia" w:hAnsiTheme="minorHAnsi"/>
          <w:b/>
          <w:bCs/>
          <w:szCs w:val="20"/>
        </w:rPr>
      </w:pPr>
      <w:r w:rsidRPr="7B33A330">
        <w:rPr>
          <w:b/>
          <w:bCs/>
        </w:rPr>
        <w:t xml:space="preserve">(5) </w:t>
      </w:r>
      <w:r w:rsidR="5F1A8E41" w:rsidRPr="7B33A330">
        <w:rPr>
          <w:b/>
          <w:bCs/>
        </w:rPr>
        <w:t xml:space="preserve">Restoring discretion for employment services to excuse (not report) </w:t>
      </w:r>
      <w:r w:rsidR="146F4541" w:rsidRPr="7B33A330">
        <w:rPr>
          <w:b/>
          <w:bCs/>
        </w:rPr>
        <w:t xml:space="preserve">participation </w:t>
      </w:r>
      <w:r w:rsidR="50B511D1" w:rsidRPr="7B33A330">
        <w:rPr>
          <w:b/>
          <w:bCs/>
        </w:rPr>
        <w:t>'failures'</w:t>
      </w:r>
      <w:r w:rsidR="5F1A8E41" w:rsidRPr="7B33A330">
        <w:rPr>
          <w:b/>
          <w:bCs/>
        </w:rPr>
        <w:t xml:space="preserve">, and </w:t>
      </w:r>
      <w:r w:rsidR="7347BE99" w:rsidRPr="7B33A330">
        <w:rPr>
          <w:b/>
          <w:bCs/>
        </w:rPr>
        <w:t>Services Australia</w:t>
      </w:r>
      <w:r w:rsidR="5F1A8E41" w:rsidRPr="7B33A330">
        <w:rPr>
          <w:b/>
          <w:bCs/>
        </w:rPr>
        <w:t xml:space="preserve"> to waive penalties; </w:t>
      </w:r>
    </w:p>
    <w:p w14:paraId="4061808E" w14:textId="5BC0432D" w:rsidR="676F2219" w:rsidRDefault="5F1A8E41" w:rsidP="7B33A330">
      <w:pPr>
        <w:spacing w:after="0" w:line="240" w:lineRule="auto"/>
        <w:jc w:val="both"/>
        <w:rPr>
          <w:rFonts w:asciiTheme="minorHAnsi" w:eastAsiaTheme="minorEastAsia" w:hAnsiTheme="minorHAnsi"/>
          <w:b/>
          <w:bCs/>
          <w:szCs w:val="20"/>
        </w:rPr>
      </w:pPr>
      <w:r w:rsidRPr="7B33A330">
        <w:rPr>
          <w:b/>
          <w:bCs/>
        </w:rPr>
        <w:t xml:space="preserve"> </w:t>
      </w:r>
    </w:p>
    <w:p w14:paraId="25EF9341" w14:textId="3C1D72EF" w:rsidR="676F2219" w:rsidRDefault="30D91D88" w:rsidP="7B33A330">
      <w:pPr>
        <w:spacing w:after="0" w:line="240" w:lineRule="auto"/>
        <w:jc w:val="both"/>
        <w:rPr>
          <w:rFonts w:asciiTheme="minorHAnsi" w:eastAsiaTheme="minorEastAsia" w:hAnsiTheme="minorHAnsi"/>
          <w:b/>
          <w:bCs/>
          <w:szCs w:val="20"/>
        </w:rPr>
      </w:pPr>
      <w:r w:rsidRPr="7B33A330">
        <w:rPr>
          <w:b/>
          <w:bCs/>
        </w:rPr>
        <w:t xml:space="preserve">(6) </w:t>
      </w:r>
      <w:r w:rsidR="1A8C3C12" w:rsidRPr="7B33A330">
        <w:rPr>
          <w:b/>
          <w:bCs/>
        </w:rPr>
        <w:t>Removing automated payment suspensions</w:t>
      </w:r>
      <w:r w:rsidR="51E64131" w:rsidRPr="7B33A330">
        <w:rPr>
          <w:b/>
          <w:bCs/>
        </w:rPr>
        <w:t>.</w:t>
      </w:r>
      <w:r w:rsidR="1A8C3C12" w:rsidRPr="7B33A330">
        <w:rPr>
          <w:b/>
          <w:bCs/>
        </w:rPr>
        <w:t xml:space="preserve">  </w:t>
      </w:r>
    </w:p>
    <w:p w14:paraId="3D03C74B" w14:textId="78906828" w:rsidR="676F2219" w:rsidRDefault="676F2219" w:rsidP="7B33A330">
      <w:pPr>
        <w:pStyle w:val="List3"/>
      </w:pPr>
    </w:p>
    <w:p w14:paraId="56B2B09C" w14:textId="53976556" w:rsidR="676F2219" w:rsidRDefault="75F7E953" w:rsidP="003520E9">
      <w:pPr>
        <w:pStyle w:val="Heading2"/>
      </w:pPr>
      <w:bookmarkStart w:id="35" w:name="_Toc63685931"/>
      <w:r>
        <w:t>Replace the Community Development Program with a fairer, more effective scheme.</w:t>
      </w:r>
      <w:bookmarkEnd w:id="35"/>
    </w:p>
    <w:p w14:paraId="1DAE1CF3" w14:textId="77777777" w:rsidR="002B237C" w:rsidRDefault="75F7E953" w:rsidP="7B33A330">
      <w:r>
        <w:t xml:space="preserve">The Community Development Program (CDP) is failing to improve the employment prospects in remote communities and it is harming participants. In just two years, 350,000 financial penalties were imposed in a program assisting 33,000 people. </w:t>
      </w:r>
    </w:p>
    <w:p w14:paraId="31A2E751" w14:textId="3B994914" w:rsidR="676F2219" w:rsidRDefault="75F7E953" w:rsidP="7B33A330">
      <w:r>
        <w:t xml:space="preserve">Unlike the former Community Development Employment Program (CDEP), it does not provide waged work and therefore does not address the key reason for unemployment in these areas: a lack of local employment opportunities. </w:t>
      </w:r>
    </w:p>
    <w:p w14:paraId="4927556A" w14:textId="66805BD8" w:rsidR="676F2219" w:rsidRDefault="75F7E953" w:rsidP="7B33A330">
      <w:r>
        <w:t xml:space="preserve">Over $200 million a year is being spent on a scheme that is unlikely to improve people’s employment prospects and diverts the resources of local employment services to administration of social security compliance, and providing unpaid ‘work for the sake of it’ instead of properly paid jobs and assistance to prepare or search for employment. </w:t>
      </w:r>
    </w:p>
    <w:p w14:paraId="32325E3E" w14:textId="7A2EA28B" w:rsidR="676F2219" w:rsidRDefault="75F7E953" w:rsidP="7B33A330">
      <w:r>
        <w:t>We endorse the proposal from the Aboriginal Peak Organisations Northern Territory and others to replace CDP with a ‘Fair Work Strong Communities’ program, as a workable alternative that would empower local com</w:t>
      </w:r>
      <w:r w:rsidR="00B97371">
        <w:t>munities and generate jobs.</w:t>
      </w:r>
      <w:r w:rsidR="00B97371">
        <w:rPr>
          <w:rStyle w:val="FootnoteReference"/>
        </w:rPr>
        <w:footnoteReference w:id="27"/>
      </w:r>
    </w:p>
    <w:p w14:paraId="5CF2F73A" w14:textId="7C5C9431" w:rsidR="676F2219" w:rsidRDefault="00985429" w:rsidP="7B33A330">
      <w:pPr>
        <w:pStyle w:val="Recommendation"/>
        <w:rPr>
          <w:color w:val="000000" w:themeColor="text1"/>
        </w:rPr>
      </w:pPr>
      <w:r>
        <w:rPr>
          <w:color w:val="C00000"/>
        </w:rPr>
        <w:lastRenderedPageBreak/>
        <w:t>Recommendation 16</w:t>
      </w:r>
      <w:r w:rsidR="75F7E953" w:rsidRPr="00985429">
        <w:rPr>
          <w:color w:val="C00000"/>
        </w:rPr>
        <w:t>:</w:t>
      </w:r>
      <w:r w:rsidR="75F7E953">
        <w:t xml:space="preserve"> </w:t>
      </w:r>
      <w:r w:rsidR="75F7E953" w:rsidRPr="00985429">
        <w:rPr>
          <w:color w:val="000000" w:themeColor="text1"/>
        </w:rPr>
        <w:t>Replace the Community Development Program with a Fair Work and Strong Communities scheme</w:t>
      </w:r>
    </w:p>
    <w:p w14:paraId="15B1BC00" w14:textId="0E23534B" w:rsidR="676F2219" w:rsidRDefault="676F2219" w:rsidP="7B33A330">
      <w:pPr>
        <w:pStyle w:val="Recommendation"/>
        <w:rPr>
          <w:bCs/>
          <w:color w:val="auto"/>
        </w:rPr>
      </w:pPr>
    </w:p>
    <w:p w14:paraId="71918D6E" w14:textId="3F979B53" w:rsidR="676F2219" w:rsidRDefault="75F7E953" w:rsidP="7B33A330">
      <w:pPr>
        <w:pStyle w:val="Recommendation"/>
        <w:rPr>
          <w:color w:val="000000" w:themeColor="text1"/>
        </w:rPr>
      </w:pPr>
      <w:r w:rsidRPr="7B33A330">
        <w:rPr>
          <w:bCs/>
          <w:color w:val="auto"/>
        </w:rPr>
        <w:t>The Community Development Program should be replaced by a new, community-led employment services scheme for people in remote Aboriginal and Torres Strait Islander communities along the lines of the Remote Development and Employment Scheme proposed by the Fair Work Strong Communities Alliance, with the following features:</w:t>
      </w:r>
    </w:p>
    <w:p w14:paraId="1C2755DE" w14:textId="5743CE3F" w:rsidR="676F2219" w:rsidRDefault="676F2219" w:rsidP="676F2219">
      <w:r>
        <w:br/>
      </w:r>
      <w:r w:rsidR="75F7E953" w:rsidRPr="7B33A330">
        <w:rPr>
          <w:b/>
          <w:bCs/>
          <w:color w:val="auto"/>
        </w:rPr>
        <w:t>(1) Entitlements to social security payments are maintained;</w:t>
      </w:r>
    </w:p>
    <w:p w14:paraId="6091245E" w14:textId="5D2326AE" w:rsidR="676F2219" w:rsidRDefault="75F7E953" w:rsidP="676F2219">
      <w:r w:rsidRPr="7B33A330">
        <w:rPr>
          <w:b/>
          <w:bCs/>
          <w:color w:val="auto"/>
        </w:rPr>
        <w:t>(2) Activity requirements are no stricter than those applying to unemployed people generally;</w:t>
      </w:r>
    </w:p>
    <w:p w14:paraId="0EFCF72C" w14:textId="2792CC8B" w:rsidR="676F2219" w:rsidRDefault="75F7E953" w:rsidP="676F2219">
      <w:r w:rsidRPr="7B33A330">
        <w:rPr>
          <w:b/>
          <w:bCs/>
          <w:color w:val="auto"/>
        </w:rPr>
        <w:t>(3) At least 12,000 new paid jobs in remote communities are wholly, or predominantly, created in Aboriginal and Torres Strait Islander organisations;</w:t>
      </w:r>
    </w:p>
    <w:p w14:paraId="037693B8" w14:textId="29F1C06E" w:rsidR="676F2219" w:rsidRDefault="75F7E953" w:rsidP="676F2219">
      <w:r w:rsidRPr="7B33A330">
        <w:rPr>
          <w:b/>
          <w:bCs/>
          <w:color w:val="auto"/>
        </w:rPr>
        <w:t>(4) Governance arrangements are independent, legislatively-based and Aboriginal-led;</w:t>
      </w:r>
    </w:p>
    <w:p w14:paraId="714C8D2C" w14:textId="0F037D53" w:rsidR="676F2219" w:rsidRDefault="75F7E953" w:rsidP="676F2219">
      <w:r w:rsidRPr="7B33A330">
        <w:rPr>
          <w:b/>
          <w:bCs/>
          <w:color w:val="auto"/>
        </w:rPr>
        <w:t>(5) Flexibility for local people to set objectives within the long-term goals of the scheme and to adapt program settings to local conditions;</w:t>
      </w:r>
    </w:p>
    <w:p w14:paraId="03013BF0" w14:textId="6A1EB0F2" w:rsidR="676F2219" w:rsidRDefault="75F7E953" w:rsidP="002B237C">
      <w:r w:rsidRPr="7B33A330">
        <w:rPr>
          <w:b/>
          <w:bCs/>
          <w:color w:val="auto"/>
        </w:rPr>
        <w:t>(6) No direct or indirect discrimination against Aboriginal and Torres Strait Islander people.</w:t>
      </w:r>
    </w:p>
    <w:p w14:paraId="0581AADE" w14:textId="1829EA82" w:rsidR="676F2219" w:rsidRDefault="75F7E953" w:rsidP="7B33A330">
      <w:pPr>
        <w:pStyle w:val="ListNumber"/>
        <w:numPr>
          <w:ilvl w:val="0"/>
          <w:numId w:val="0"/>
        </w:numPr>
        <w:spacing w:after="0"/>
        <w:rPr>
          <w:rFonts w:eastAsiaTheme="minorEastAsia"/>
          <w:b/>
          <w:bCs/>
          <w:szCs w:val="20"/>
        </w:rPr>
      </w:pPr>
      <w:r w:rsidRPr="00985429">
        <w:rPr>
          <w:rFonts w:eastAsiaTheme="minorEastAsia"/>
          <w:b/>
          <w:bCs/>
          <w:color w:val="C00000"/>
          <w:szCs w:val="20"/>
        </w:rPr>
        <w:t xml:space="preserve">Budget impact: </w:t>
      </w:r>
      <w:r w:rsidRPr="00FA797F">
        <w:rPr>
          <w:rFonts w:eastAsiaTheme="minorEastAsia"/>
          <w:b/>
          <w:bCs/>
          <w:i/>
          <w:szCs w:val="20"/>
        </w:rPr>
        <w:t>$0 (-$250 million in 2022-23)</w:t>
      </w:r>
    </w:p>
    <w:p w14:paraId="32C7C194" w14:textId="1BE00B7E" w:rsidR="676F2219" w:rsidRDefault="676F2219" w:rsidP="676F2219">
      <w:pPr>
        <w:rPr>
          <w:b/>
          <w:bCs/>
        </w:rPr>
      </w:pPr>
    </w:p>
    <w:p w14:paraId="276E50BB" w14:textId="1D7A56C1" w:rsidR="005855C0" w:rsidRDefault="005855C0" w:rsidP="005855C0">
      <w:pPr>
        <w:pStyle w:val="Heading1"/>
        <w:numPr>
          <w:ilvl w:val="0"/>
          <w:numId w:val="0"/>
        </w:numPr>
      </w:pPr>
    </w:p>
    <w:p w14:paraId="7E72F8A4" w14:textId="5F401F50" w:rsidR="0068094C" w:rsidRDefault="005855C0" w:rsidP="00354B84">
      <w:pPr>
        <w:pStyle w:val="Heading1"/>
        <w:ind w:left="426"/>
      </w:pPr>
      <w:r>
        <w:br w:type="column"/>
      </w:r>
      <w:r w:rsidR="00E5230A">
        <w:lastRenderedPageBreak/>
        <w:t xml:space="preserve"> </w:t>
      </w:r>
      <w:bookmarkStart w:id="36" w:name="_Toc63685932"/>
      <w:r w:rsidR="424E1059">
        <w:t>Accelerate a just c</w:t>
      </w:r>
      <w:r w:rsidR="0068094C">
        <w:t>limate</w:t>
      </w:r>
      <w:r w:rsidR="112D4AE9">
        <w:t xml:space="preserve"> transition and </w:t>
      </w:r>
      <w:r w:rsidR="186B5ACF">
        <w:t>strengthen community climate resilience</w:t>
      </w:r>
      <w:bookmarkEnd w:id="36"/>
      <w:r w:rsidR="186B5ACF">
        <w:t xml:space="preserve"> </w:t>
      </w:r>
    </w:p>
    <w:p w14:paraId="2A926BC0" w14:textId="38CD9163" w:rsidR="0068094C" w:rsidRDefault="00977074" w:rsidP="000C6B7B">
      <w:pPr>
        <w:pStyle w:val="Heading2"/>
        <w:numPr>
          <w:ilvl w:val="0"/>
          <w:numId w:val="0"/>
        </w:numPr>
        <w:ind w:left="1276" w:hanging="916"/>
      </w:pPr>
      <w:bookmarkStart w:id="37" w:name="_Toc63685933"/>
      <w:r>
        <w:t>Summary</w:t>
      </w:r>
      <w:bookmarkEnd w:id="37"/>
    </w:p>
    <w:p w14:paraId="185A91AA" w14:textId="66F9E42C" w:rsidR="2F66CEAE" w:rsidRPr="001864B4" w:rsidRDefault="2F66CEAE" w:rsidP="00F13F51">
      <w:pPr>
        <w:pStyle w:val="ListParagraph"/>
        <w:numPr>
          <w:ilvl w:val="0"/>
          <w:numId w:val="11"/>
        </w:numPr>
        <w:rPr>
          <w:lang w:val="en"/>
        </w:rPr>
      </w:pPr>
      <w:r w:rsidRPr="001864B4">
        <w:rPr>
          <w:lang w:val="en"/>
        </w:rPr>
        <w:t xml:space="preserve">Climate change </w:t>
      </w:r>
      <w:r w:rsidR="16355874" w:rsidRPr="001864B4">
        <w:rPr>
          <w:lang w:val="en"/>
        </w:rPr>
        <w:t xml:space="preserve">and an </w:t>
      </w:r>
      <w:r w:rsidR="56A82D32" w:rsidRPr="001864B4">
        <w:rPr>
          <w:lang w:val="en"/>
        </w:rPr>
        <w:t>inequitable</w:t>
      </w:r>
      <w:r w:rsidR="16355874" w:rsidRPr="001864B4">
        <w:rPr>
          <w:lang w:val="en"/>
        </w:rPr>
        <w:t xml:space="preserve"> transition</w:t>
      </w:r>
      <w:r w:rsidR="088D1F47" w:rsidRPr="001864B4">
        <w:rPr>
          <w:lang w:val="en"/>
        </w:rPr>
        <w:t xml:space="preserve"> to a clean economy, </w:t>
      </w:r>
      <w:r w:rsidRPr="001864B4">
        <w:rPr>
          <w:lang w:val="en"/>
        </w:rPr>
        <w:t>threatens people’s h</w:t>
      </w:r>
      <w:r w:rsidR="310405F7" w:rsidRPr="001864B4">
        <w:rPr>
          <w:lang w:val="en"/>
        </w:rPr>
        <w:t>ealth and wellbeing</w:t>
      </w:r>
      <w:r w:rsidRPr="001864B4">
        <w:rPr>
          <w:lang w:val="en"/>
        </w:rPr>
        <w:t xml:space="preserve">, </w:t>
      </w:r>
      <w:r w:rsidR="2A9D6F93" w:rsidRPr="001864B4">
        <w:rPr>
          <w:lang w:val="en"/>
        </w:rPr>
        <w:t xml:space="preserve">quality of life, employment, </w:t>
      </w:r>
      <w:r w:rsidRPr="001864B4">
        <w:rPr>
          <w:lang w:val="en"/>
        </w:rPr>
        <w:t>livelihoods, h</w:t>
      </w:r>
      <w:r w:rsidR="5041973E" w:rsidRPr="001864B4">
        <w:rPr>
          <w:lang w:val="en"/>
        </w:rPr>
        <w:t>omes</w:t>
      </w:r>
      <w:r w:rsidRPr="001864B4">
        <w:rPr>
          <w:lang w:val="en"/>
        </w:rPr>
        <w:t xml:space="preserve"> and</w:t>
      </w:r>
      <w:r w:rsidR="4B4AFCFA" w:rsidRPr="001864B4">
        <w:rPr>
          <w:lang w:val="en"/>
        </w:rPr>
        <w:t xml:space="preserve"> life</w:t>
      </w:r>
      <w:r w:rsidR="00220149">
        <w:rPr>
          <w:lang w:val="en"/>
        </w:rPr>
        <w:t xml:space="preserve"> itself</w:t>
      </w:r>
      <w:r w:rsidR="6F32F220" w:rsidRPr="001864B4">
        <w:rPr>
          <w:lang w:val="en"/>
        </w:rPr>
        <w:t xml:space="preserve">. People living on low-incomes or experiencing disadvantage </w:t>
      </w:r>
      <w:r w:rsidR="00220149">
        <w:rPr>
          <w:lang w:val="en"/>
        </w:rPr>
        <w:t xml:space="preserve">are the first and most </w:t>
      </w:r>
      <w:r w:rsidR="774E8A3B" w:rsidRPr="001864B4">
        <w:rPr>
          <w:lang w:val="en"/>
        </w:rPr>
        <w:t>impacted</w:t>
      </w:r>
      <w:r w:rsidR="6F32F220" w:rsidRPr="001864B4">
        <w:rPr>
          <w:lang w:val="en"/>
        </w:rPr>
        <w:t xml:space="preserve">. </w:t>
      </w:r>
      <w:r w:rsidR="513B9A56" w:rsidRPr="001864B4">
        <w:rPr>
          <w:lang w:val="en"/>
        </w:rPr>
        <w:t>Climate change has a significant social and economic burden</w:t>
      </w:r>
      <w:r w:rsidR="29A34469" w:rsidRPr="001864B4">
        <w:rPr>
          <w:lang w:val="en"/>
        </w:rPr>
        <w:t>, especially for future generations.</w:t>
      </w:r>
    </w:p>
    <w:p w14:paraId="1782F75B" w14:textId="499DBCCB" w:rsidR="0A05C95D" w:rsidRPr="001864B4" w:rsidRDefault="0A05C95D" w:rsidP="00F13F51">
      <w:pPr>
        <w:pStyle w:val="ListParagraph"/>
        <w:numPr>
          <w:ilvl w:val="0"/>
          <w:numId w:val="11"/>
        </w:numPr>
        <w:rPr>
          <w:lang w:val="en"/>
        </w:rPr>
      </w:pPr>
      <w:r w:rsidRPr="001864B4">
        <w:rPr>
          <w:lang w:val="en"/>
        </w:rPr>
        <w:t xml:space="preserve">The impacts are occurring now and accelerating. In the summer of 2019/20 unprecedented bushfires </w:t>
      </w:r>
      <w:r w:rsidR="0DBEB647" w:rsidRPr="001864B4">
        <w:rPr>
          <w:lang w:val="en"/>
        </w:rPr>
        <w:t>fueled</w:t>
      </w:r>
      <w:r w:rsidRPr="001864B4">
        <w:rPr>
          <w:lang w:val="en"/>
        </w:rPr>
        <w:t xml:space="preserve"> by climate change, contributed to the deaths of more than 500 people, </w:t>
      </w:r>
      <w:r w:rsidR="00220149">
        <w:rPr>
          <w:lang w:val="en"/>
        </w:rPr>
        <w:t xml:space="preserve">destroyed </w:t>
      </w:r>
      <w:r w:rsidRPr="001864B4">
        <w:rPr>
          <w:lang w:val="en"/>
        </w:rPr>
        <w:t>3,000 homes, and</w:t>
      </w:r>
      <w:r w:rsidR="00220149">
        <w:rPr>
          <w:lang w:val="en"/>
        </w:rPr>
        <w:t xml:space="preserve"> affected</w:t>
      </w:r>
      <w:r w:rsidRPr="001864B4">
        <w:rPr>
          <w:lang w:val="en"/>
        </w:rPr>
        <w:t xml:space="preserve"> livelihoods of thousands. Recovery will take years for most,</w:t>
      </w:r>
      <w:r w:rsidR="00220149">
        <w:rPr>
          <w:lang w:val="en"/>
        </w:rPr>
        <w:t xml:space="preserve"> and</w:t>
      </w:r>
      <w:r w:rsidRPr="001864B4">
        <w:rPr>
          <w:lang w:val="en"/>
        </w:rPr>
        <w:t xml:space="preserve"> some people may never fully recover.</w:t>
      </w:r>
      <w:r w:rsidR="218EDCAC" w:rsidRPr="001864B4">
        <w:rPr>
          <w:lang w:val="en"/>
        </w:rPr>
        <w:t xml:space="preserve"> </w:t>
      </w:r>
    </w:p>
    <w:p w14:paraId="1C41929A" w14:textId="6BAC8E6D" w:rsidR="74EF4534" w:rsidRPr="001864B4" w:rsidRDefault="74EF4534" w:rsidP="00F13F51">
      <w:pPr>
        <w:pStyle w:val="ListParagraph"/>
        <w:numPr>
          <w:ilvl w:val="0"/>
          <w:numId w:val="11"/>
        </w:numPr>
        <w:rPr>
          <w:rFonts w:asciiTheme="minorHAnsi" w:eastAsiaTheme="minorEastAsia" w:hAnsiTheme="minorHAnsi"/>
        </w:rPr>
      </w:pPr>
      <w:r w:rsidRPr="001864B4">
        <w:t>To limit the impacts of dangerous climate change, Australia</w:t>
      </w:r>
      <w:r w:rsidR="00220149">
        <w:t xml:space="preserve"> and the rest of the world</w:t>
      </w:r>
      <w:r w:rsidRPr="001864B4">
        <w:t xml:space="preserve"> needs to rapidly reduce its emissions. Australia should set emissions reduction targets of zero net emissions before 2050 and at least 45% by 2030</w:t>
      </w:r>
      <w:r w:rsidR="00675C6B">
        <w:t>.</w:t>
      </w:r>
    </w:p>
    <w:p w14:paraId="6E48327F" w14:textId="312D445C" w:rsidR="53D2A97C" w:rsidRPr="001864B4" w:rsidRDefault="53D2A97C" w:rsidP="00F13F51">
      <w:pPr>
        <w:pStyle w:val="ListParagraph"/>
        <w:numPr>
          <w:ilvl w:val="0"/>
          <w:numId w:val="11"/>
        </w:numPr>
      </w:pPr>
      <w:r w:rsidRPr="001864B4">
        <w:t xml:space="preserve">The energy sector </w:t>
      </w:r>
      <w:r w:rsidR="15A8E2E5" w:rsidRPr="001864B4">
        <w:t>should</w:t>
      </w:r>
      <w:r w:rsidRPr="001864B4">
        <w:t xml:space="preserve"> transition first and fastest while </w:t>
      </w:r>
      <w:r w:rsidR="08E4C9A5" w:rsidRPr="001864B4">
        <w:t>improving</w:t>
      </w:r>
      <w:r w:rsidRPr="001864B4">
        <w:t xml:space="preserve"> </w:t>
      </w:r>
      <w:r w:rsidR="00220149">
        <w:t>access</w:t>
      </w:r>
      <w:r w:rsidR="3E627C3D" w:rsidRPr="001864B4">
        <w:t xml:space="preserve"> to affordable, clean</w:t>
      </w:r>
      <w:r w:rsidR="61087DFD" w:rsidRPr="001864B4">
        <w:t xml:space="preserve"> and dependable</w:t>
      </w:r>
      <w:r w:rsidR="3E627C3D" w:rsidRPr="001864B4">
        <w:t xml:space="preserve"> energy for all</w:t>
      </w:r>
      <w:r w:rsidR="74EF4534" w:rsidRPr="001864B4">
        <w:t xml:space="preserve">. </w:t>
      </w:r>
    </w:p>
    <w:p w14:paraId="659A174D" w14:textId="7C9EC3E2" w:rsidR="74EF4534" w:rsidRPr="001864B4" w:rsidRDefault="74EF4534" w:rsidP="00F13F51">
      <w:pPr>
        <w:pStyle w:val="ListParagraph"/>
        <w:numPr>
          <w:ilvl w:val="0"/>
          <w:numId w:val="11"/>
        </w:numPr>
        <w:rPr>
          <w:rFonts w:asciiTheme="minorHAnsi" w:eastAsiaTheme="minorEastAsia" w:hAnsiTheme="minorHAnsi"/>
        </w:rPr>
      </w:pPr>
      <w:r w:rsidRPr="001864B4">
        <w:t xml:space="preserve">We can simultaneously reduce emissions and improve energy affordability and climate resilience for people on low incomes by targeting investment in energy efficiency, solar and batteries for low-income households; remove solar subsides from electricity bills and improve access to energy literacy. </w:t>
      </w:r>
    </w:p>
    <w:p w14:paraId="1C2D8430" w14:textId="0917B874" w:rsidR="74EF4534" w:rsidRPr="001864B4" w:rsidRDefault="74EF4534" w:rsidP="00F13F51">
      <w:pPr>
        <w:pStyle w:val="ListParagraph"/>
        <w:numPr>
          <w:ilvl w:val="0"/>
          <w:numId w:val="11"/>
        </w:numPr>
        <w:rPr>
          <w:rFonts w:asciiTheme="minorHAnsi" w:eastAsiaTheme="minorEastAsia" w:hAnsiTheme="minorHAnsi"/>
        </w:rPr>
      </w:pPr>
      <w:r w:rsidRPr="001864B4">
        <w:t xml:space="preserve">We should also be planning now for a just transition for workers and communities being </w:t>
      </w:r>
      <w:r w:rsidR="2F16E001" w:rsidRPr="001864B4">
        <w:t>impacted</w:t>
      </w:r>
      <w:r w:rsidRPr="001864B4">
        <w:t xml:space="preserve"> as a result of the shift from fossil fuels to clean energy. </w:t>
      </w:r>
    </w:p>
    <w:p w14:paraId="28DD868C" w14:textId="5F3724E6" w:rsidR="74EF4534" w:rsidRPr="001864B4" w:rsidRDefault="74EF4534" w:rsidP="00F13F51">
      <w:pPr>
        <w:pStyle w:val="ListParagraph"/>
        <w:numPr>
          <w:ilvl w:val="0"/>
          <w:numId w:val="11"/>
        </w:numPr>
        <w:rPr>
          <w:rFonts w:asciiTheme="minorHAnsi" w:eastAsiaTheme="minorEastAsia" w:hAnsiTheme="minorHAnsi"/>
        </w:rPr>
      </w:pPr>
      <w:r w:rsidRPr="001864B4">
        <w:t>Even if we rapidly reduce emissions, the world has already locked in significant levels of pollution.</w:t>
      </w:r>
      <w:r w:rsidR="1D5E2096" w:rsidRPr="001864B4">
        <w:t xml:space="preserve"> </w:t>
      </w:r>
      <w:r w:rsidRPr="001864B4">
        <w:t>Policies are needed to build resilience of community sector organisations and people experiencing poverty and disadvantage</w:t>
      </w:r>
      <w:r w:rsidR="32C0106A" w:rsidRPr="001864B4">
        <w:t>.</w:t>
      </w:r>
      <w:r w:rsidRPr="001864B4">
        <w:t xml:space="preserve"> </w:t>
      </w:r>
    </w:p>
    <w:p w14:paraId="087DAC2D" w14:textId="1733503D" w:rsidR="37AF79E0" w:rsidRPr="001864B4" w:rsidRDefault="37AF79E0" w:rsidP="00F13F51">
      <w:pPr>
        <w:pStyle w:val="ListParagraph"/>
        <w:numPr>
          <w:ilvl w:val="0"/>
          <w:numId w:val="11"/>
        </w:numPr>
      </w:pPr>
      <w:r w:rsidRPr="001864B4">
        <w:t xml:space="preserve">Measures are needed to </w:t>
      </w:r>
      <w:r w:rsidR="4B4DEC02" w:rsidRPr="001864B4">
        <w:t xml:space="preserve">support and </w:t>
      </w:r>
      <w:r w:rsidRPr="001864B4">
        <w:t xml:space="preserve">empower </w:t>
      </w:r>
      <w:r w:rsidR="28BD2415" w:rsidRPr="001864B4">
        <w:t xml:space="preserve">people and </w:t>
      </w:r>
      <w:r w:rsidRPr="001864B4">
        <w:t>communities to build their resilience and lead recovery efforts on their terms. Genuine community partnership, including with Aboriginal and Torres Strait Islander people, communities and organisations, is essential to improve the nation’s future preparedness, responsiveness and recovery efforts.</w:t>
      </w:r>
    </w:p>
    <w:p w14:paraId="1231BE67" w14:textId="77777777" w:rsidR="0068094C" w:rsidRDefault="0068094C" w:rsidP="0068094C">
      <w:pPr>
        <w:pStyle w:val="List3"/>
        <w:ind w:left="0" w:firstLine="0"/>
      </w:pPr>
    </w:p>
    <w:p w14:paraId="7516D238" w14:textId="38C03842" w:rsidR="0068094C" w:rsidRPr="00BE6CB1" w:rsidRDefault="0068094C" w:rsidP="003520E9">
      <w:pPr>
        <w:pStyle w:val="Heading2"/>
      </w:pPr>
      <w:bookmarkStart w:id="38" w:name="_Toc63685934"/>
      <w:r>
        <w:t>Introduction</w:t>
      </w:r>
      <w:bookmarkEnd w:id="38"/>
    </w:p>
    <w:p w14:paraId="6CBB9D99" w14:textId="49336CB7" w:rsidR="4F45CDB4" w:rsidRDefault="4F45CDB4" w:rsidP="7B33A330">
      <w:pPr>
        <w:spacing w:line="257" w:lineRule="auto"/>
      </w:pPr>
      <w:r w:rsidRPr="7B33A330">
        <w:rPr>
          <w:rFonts w:eastAsia="Verdana" w:cs="Verdana"/>
          <w:szCs w:val="20"/>
        </w:rPr>
        <w:t xml:space="preserve">Climate change and a slow, poorly managed transition to net zero emissions are major threats to ending </w:t>
      </w:r>
      <w:r w:rsidR="00220149">
        <w:rPr>
          <w:rFonts w:eastAsia="Verdana" w:cs="Verdana"/>
          <w:szCs w:val="20"/>
        </w:rPr>
        <w:t>poverty in all its forms; creating</w:t>
      </w:r>
      <w:r w:rsidRPr="7B33A330">
        <w:rPr>
          <w:rFonts w:eastAsia="Verdana" w:cs="Verdana"/>
          <w:szCs w:val="20"/>
        </w:rPr>
        <w:t xml:space="preserve"> economies that are fair, sustainable and resilient; and build</w:t>
      </w:r>
      <w:r w:rsidR="00220149">
        <w:rPr>
          <w:rFonts w:eastAsia="Verdana" w:cs="Verdana"/>
          <w:szCs w:val="20"/>
        </w:rPr>
        <w:t>ing</w:t>
      </w:r>
      <w:r w:rsidRPr="7B33A330">
        <w:rPr>
          <w:rFonts w:eastAsia="Verdana" w:cs="Verdana"/>
          <w:szCs w:val="20"/>
        </w:rPr>
        <w:t xml:space="preserve"> communities that are just, peaceful and inclusive.</w:t>
      </w:r>
    </w:p>
    <w:p w14:paraId="7468D25F" w14:textId="62EBC660" w:rsidR="4F45CDB4" w:rsidRDefault="4F45CDB4" w:rsidP="7B33A330">
      <w:pPr>
        <w:spacing w:line="257" w:lineRule="auto"/>
      </w:pPr>
      <w:r w:rsidRPr="7B33A330">
        <w:rPr>
          <w:rFonts w:eastAsia="Verdana" w:cs="Verdana"/>
          <w:szCs w:val="20"/>
        </w:rPr>
        <w:t xml:space="preserve">Climate change is causing immediate and accelerated damage, including through more severe and frequent heat waves, bushfires, droughts, floods and sea level rise. It is not only damaging our environment, it is damaging people’s homes, livelihoods, health, quality of life, employment, and </w:t>
      </w:r>
      <w:r w:rsidR="00220149">
        <w:rPr>
          <w:rFonts w:eastAsia="Verdana" w:cs="Verdana"/>
          <w:szCs w:val="20"/>
        </w:rPr>
        <w:t xml:space="preserve">is increasing the </w:t>
      </w:r>
      <w:r w:rsidRPr="7B33A330">
        <w:rPr>
          <w:rFonts w:eastAsia="Verdana" w:cs="Verdana"/>
          <w:szCs w:val="20"/>
        </w:rPr>
        <w:t xml:space="preserve">cost of living, </w:t>
      </w:r>
      <w:r w:rsidR="00220149">
        <w:rPr>
          <w:rFonts w:eastAsia="Verdana" w:cs="Verdana"/>
          <w:szCs w:val="20"/>
        </w:rPr>
        <w:t>as well as</w:t>
      </w:r>
      <w:r w:rsidRPr="7B33A330">
        <w:rPr>
          <w:rFonts w:eastAsia="Verdana" w:cs="Verdana"/>
          <w:szCs w:val="20"/>
        </w:rPr>
        <w:t xml:space="preserve"> risks and burdens for future generations.</w:t>
      </w:r>
    </w:p>
    <w:p w14:paraId="367716E5" w14:textId="77777777" w:rsidR="002B237C" w:rsidRDefault="4F45CDB4" w:rsidP="7B33A330">
      <w:pPr>
        <w:spacing w:line="257" w:lineRule="auto"/>
        <w:rPr>
          <w:rFonts w:eastAsia="Verdana" w:cs="Verdana"/>
          <w:szCs w:val="20"/>
        </w:rPr>
      </w:pPr>
      <w:r w:rsidRPr="7B33A330">
        <w:rPr>
          <w:rFonts w:eastAsia="Verdana" w:cs="Verdana"/>
          <w:szCs w:val="20"/>
        </w:rPr>
        <w:t xml:space="preserve">People on low incomes are usually hit first, hardest and longest by climate change impacts and often lack choice and control to prepare, respond and recover. </w:t>
      </w:r>
    </w:p>
    <w:p w14:paraId="7E3EF5BE" w14:textId="11B62703" w:rsidR="4F45CDB4" w:rsidRDefault="4F45CDB4" w:rsidP="7B33A330">
      <w:pPr>
        <w:spacing w:line="257" w:lineRule="auto"/>
      </w:pPr>
      <w:r w:rsidRPr="7B33A330">
        <w:rPr>
          <w:rFonts w:eastAsia="Verdana" w:cs="Verdana"/>
          <w:szCs w:val="20"/>
        </w:rPr>
        <w:lastRenderedPageBreak/>
        <w:t>Climate change impacts not only entrench poverty but can drive people into poverty. Recovery can take years.</w:t>
      </w:r>
    </w:p>
    <w:p w14:paraId="377BBF79" w14:textId="1392DF0E" w:rsidR="4F45CDB4" w:rsidRDefault="4F45CDB4" w:rsidP="7B33A330">
      <w:pPr>
        <w:spacing w:line="257" w:lineRule="auto"/>
        <w:ind w:firstLine="10"/>
      </w:pPr>
      <w:r w:rsidRPr="7B33A330">
        <w:rPr>
          <w:rFonts w:eastAsia="Verdana" w:cs="Verdana"/>
          <w:szCs w:val="20"/>
        </w:rPr>
        <w:t xml:space="preserve">Analysis by Deloitte Access Economics finds a lack of climate action over the </w:t>
      </w:r>
      <w:r w:rsidRPr="7B33A330">
        <w:rPr>
          <w:rFonts w:eastAsia="Verdana" w:cs="Verdana"/>
          <w:i/>
          <w:iCs/>
          <w:szCs w:val="20"/>
        </w:rPr>
        <w:t>next 50 y</w:t>
      </w:r>
      <w:r w:rsidRPr="7B33A330">
        <w:rPr>
          <w:rFonts w:eastAsia="Verdana" w:cs="Verdana"/>
          <w:szCs w:val="20"/>
        </w:rPr>
        <w:t>ears will cost our economy $3.4 trillion and 880,000 jobs.</w:t>
      </w:r>
      <w:r w:rsidRPr="7B33A330">
        <w:rPr>
          <w:rStyle w:val="FootnoteReference"/>
          <w:rFonts w:eastAsia="Verdana" w:cs="Verdana"/>
          <w:szCs w:val="20"/>
        </w:rPr>
        <w:footnoteReference w:id="28"/>
      </w:r>
      <w:r w:rsidRPr="7B33A330">
        <w:rPr>
          <w:rFonts w:eastAsia="Verdana" w:cs="Verdana"/>
          <w:szCs w:val="20"/>
        </w:rPr>
        <w:t xml:space="preserve"> Their earlier research found the social costs of more severe weather events </w:t>
      </w:r>
      <w:r w:rsidR="00220149">
        <w:rPr>
          <w:rFonts w:eastAsia="Verdana" w:cs="Verdana"/>
          <w:szCs w:val="20"/>
        </w:rPr>
        <w:t>made worse by climate change</w:t>
      </w:r>
      <w:r w:rsidR="495D20DF" w:rsidRPr="7B33A330">
        <w:rPr>
          <w:rFonts w:eastAsia="Verdana" w:cs="Verdana"/>
          <w:szCs w:val="20"/>
        </w:rPr>
        <w:t xml:space="preserve"> </w:t>
      </w:r>
      <w:r w:rsidRPr="7B33A330">
        <w:rPr>
          <w:rFonts w:eastAsia="Verdana" w:cs="Verdana"/>
          <w:szCs w:val="20"/>
        </w:rPr>
        <w:t>is equal to</w:t>
      </w:r>
      <w:r w:rsidR="00220149">
        <w:rPr>
          <w:rFonts w:eastAsia="Verdana" w:cs="Verdana"/>
          <w:szCs w:val="20"/>
        </w:rPr>
        <w:t>,</w:t>
      </w:r>
      <w:r w:rsidRPr="7B33A330">
        <w:rPr>
          <w:rFonts w:eastAsia="Verdana" w:cs="Verdana"/>
          <w:szCs w:val="20"/>
        </w:rPr>
        <w:t xml:space="preserve"> and probably greater than</w:t>
      </w:r>
      <w:r w:rsidR="00220149">
        <w:rPr>
          <w:rFonts w:eastAsia="Verdana" w:cs="Verdana"/>
          <w:szCs w:val="20"/>
        </w:rPr>
        <w:t>,</w:t>
      </w:r>
      <w:r w:rsidRPr="7B33A330">
        <w:rPr>
          <w:rFonts w:eastAsia="Verdana" w:cs="Verdana"/>
          <w:szCs w:val="20"/>
        </w:rPr>
        <w:t xml:space="preserve"> the economic costs. The longer we delay and avoid emissions </w:t>
      </w:r>
      <w:r w:rsidR="00220149">
        <w:rPr>
          <w:rFonts w:eastAsia="Verdana" w:cs="Verdana"/>
          <w:szCs w:val="20"/>
        </w:rPr>
        <w:t>reductions the greater the cost</w:t>
      </w:r>
      <w:r w:rsidRPr="7B33A330">
        <w:rPr>
          <w:rFonts w:eastAsia="Verdana" w:cs="Verdana"/>
          <w:szCs w:val="20"/>
        </w:rPr>
        <w:t xml:space="preserve">. </w:t>
      </w:r>
    </w:p>
    <w:p w14:paraId="62DD469A" w14:textId="0483DE07" w:rsidR="203E0C8E" w:rsidRDefault="203E0C8E" w:rsidP="7B33A330">
      <w:pPr>
        <w:spacing w:line="257" w:lineRule="auto"/>
        <w:ind w:firstLine="10"/>
      </w:pPr>
      <w:r w:rsidRPr="7B33A330">
        <w:rPr>
          <w:rFonts w:eastAsia="Verdana" w:cs="Verdana"/>
          <w:szCs w:val="20"/>
        </w:rPr>
        <w:t>Yet t</w:t>
      </w:r>
      <w:r w:rsidR="4F45CDB4" w:rsidRPr="7B33A330">
        <w:rPr>
          <w:rFonts w:eastAsia="Verdana" w:cs="Verdana"/>
          <w:szCs w:val="20"/>
        </w:rPr>
        <w:t xml:space="preserve">aking action would deliver profound economic, social and environmental benefits, including saving lives and creating jobs. Deloitte has found that if action is taken in line with a target of net zero emissions by 2050, 250,000 jobs will be created and $680 billion added to the economy. Our economic opportunities lie not just within the bounds of </w:t>
      </w:r>
      <w:r w:rsidR="00515F9E" w:rsidRPr="7B33A330">
        <w:rPr>
          <w:rFonts w:eastAsia="Verdana" w:cs="Verdana"/>
          <w:szCs w:val="20"/>
        </w:rPr>
        <w:t>Australia;</w:t>
      </w:r>
      <w:r w:rsidR="4F45CDB4" w:rsidRPr="7B33A330">
        <w:rPr>
          <w:rFonts w:eastAsia="Verdana" w:cs="Verdana"/>
          <w:szCs w:val="20"/>
        </w:rPr>
        <w:t xml:space="preserve"> we also have potential to grow major new export markets</w:t>
      </w:r>
      <w:r w:rsidR="7FCE4D6E" w:rsidRPr="7B33A330">
        <w:rPr>
          <w:rFonts w:eastAsia="Verdana" w:cs="Verdana"/>
          <w:szCs w:val="20"/>
        </w:rPr>
        <w:t>.</w:t>
      </w:r>
      <w:r w:rsidR="4F45CDB4" w:rsidRPr="7B33A330">
        <w:rPr>
          <w:rFonts w:eastAsia="Verdana" w:cs="Verdana"/>
          <w:szCs w:val="20"/>
        </w:rPr>
        <w:t xml:space="preserve"> </w:t>
      </w:r>
    </w:p>
    <w:p w14:paraId="34A89DCF" w14:textId="0745C27B" w:rsidR="3A850391" w:rsidRDefault="3A850391" w:rsidP="7B33A330">
      <w:pPr>
        <w:spacing w:line="257" w:lineRule="auto"/>
        <w:rPr>
          <w:rFonts w:eastAsia="Verdana" w:cs="Verdana"/>
          <w:szCs w:val="20"/>
        </w:rPr>
      </w:pPr>
      <w:r w:rsidRPr="7B33A330">
        <w:rPr>
          <w:rFonts w:eastAsia="Verdana" w:cs="Verdana"/>
          <w:szCs w:val="20"/>
        </w:rPr>
        <w:t>However, we must ensure the transition to a net zero economy is managed in an inclusive and equitable way, so people experiencing poverty and disadvantage are not worse off and</w:t>
      </w:r>
      <w:r w:rsidR="00220149">
        <w:rPr>
          <w:rFonts w:eastAsia="Verdana" w:cs="Verdana"/>
          <w:szCs w:val="20"/>
        </w:rPr>
        <w:t>,</w:t>
      </w:r>
      <w:r w:rsidRPr="7B33A330">
        <w:rPr>
          <w:rFonts w:eastAsia="Verdana" w:cs="Verdana"/>
          <w:szCs w:val="20"/>
        </w:rPr>
        <w:t xml:space="preserve"> ideally</w:t>
      </w:r>
      <w:r w:rsidR="00220149">
        <w:rPr>
          <w:rFonts w:eastAsia="Verdana" w:cs="Verdana"/>
          <w:szCs w:val="20"/>
        </w:rPr>
        <w:t>,</w:t>
      </w:r>
      <w:r w:rsidRPr="7B33A330">
        <w:rPr>
          <w:rFonts w:eastAsia="Verdana" w:cs="Verdana"/>
          <w:szCs w:val="20"/>
        </w:rPr>
        <w:t xml:space="preserve"> are better off.</w:t>
      </w:r>
      <w:r w:rsidR="5DC1B3A0" w:rsidRPr="7B33A330">
        <w:rPr>
          <w:rFonts w:eastAsia="Verdana" w:cs="Verdana"/>
          <w:szCs w:val="20"/>
        </w:rPr>
        <w:t xml:space="preserve"> </w:t>
      </w:r>
      <w:r w:rsidR="3523A9FD" w:rsidRPr="7B33A330">
        <w:rPr>
          <w:rFonts w:eastAsia="Verdana" w:cs="Verdana"/>
          <w:szCs w:val="20"/>
        </w:rPr>
        <w:t>This is particular</w:t>
      </w:r>
      <w:r w:rsidR="00220149">
        <w:rPr>
          <w:rFonts w:eastAsia="Verdana" w:cs="Verdana"/>
          <w:szCs w:val="20"/>
        </w:rPr>
        <w:t>ly</w:t>
      </w:r>
      <w:r w:rsidR="3523A9FD" w:rsidRPr="7B33A330">
        <w:rPr>
          <w:rFonts w:eastAsia="Verdana" w:cs="Verdana"/>
          <w:szCs w:val="20"/>
        </w:rPr>
        <w:t xml:space="preserve"> the case for the energy transition</w:t>
      </w:r>
      <w:r w:rsidR="2C151716" w:rsidRPr="7B33A330">
        <w:rPr>
          <w:rFonts w:eastAsia="Verdana" w:cs="Verdana"/>
          <w:szCs w:val="20"/>
        </w:rPr>
        <w:t xml:space="preserve">, given the essential nature of energy in supporting health, </w:t>
      </w:r>
      <w:r w:rsidR="01D4C4A6" w:rsidRPr="7B33A330">
        <w:rPr>
          <w:rFonts w:eastAsia="Verdana" w:cs="Verdana"/>
          <w:szCs w:val="20"/>
        </w:rPr>
        <w:t>social</w:t>
      </w:r>
      <w:r w:rsidR="2C151716" w:rsidRPr="7B33A330">
        <w:rPr>
          <w:rFonts w:eastAsia="Verdana" w:cs="Verdana"/>
          <w:szCs w:val="20"/>
        </w:rPr>
        <w:t xml:space="preserve"> </w:t>
      </w:r>
      <w:r w:rsidR="00220149">
        <w:rPr>
          <w:rFonts w:eastAsia="Verdana" w:cs="Verdana"/>
          <w:szCs w:val="20"/>
        </w:rPr>
        <w:t xml:space="preserve">and </w:t>
      </w:r>
      <w:r w:rsidR="2C151716" w:rsidRPr="7B33A330">
        <w:rPr>
          <w:rFonts w:eastAsia="Verdana" w:cs="Verdana"/>
          <w:szCs w:val="20"/>
        </w:rPr>
        <w:t xml:space="preserve">economic outcomes. In </w:t>
      </w:r>
      <w:r w:rsidR="00220149">
        <w:rPr>
          <w:rFonts w:eastAsia="Verdana" w:cs="Verdana"/>
          <w:szCs w:val="20"/>
        </w:rPr>
        <w:t xml:space="preserve">a </w:t>
      </w:r>
      <w:r w:rsidR="2C151716" w:rsidRPr="7B33A330">
        <w:rPr>
          <w:rFonts w:eastAsia="Verdana" w:cs="Verdana"/>
          <w:szCs w:val="20"/>
        </w:rPr>
        <w:t xml:space="preserve">recent ACOSS report on the </w:t>
      </w:r>
      <w:r w:rsidR="5C1E90AE" w:rsidRPr="7B33A330">
        <w:rPr>
          <w:rFonts w:eastAsia="Verdana" w:cs="Verdana"/>
          <w:szCs w:val="20"/>
        </w:rPr>
        <w:t>H</w:t>
      </w:r>
      <w:r w:rsidR="6269FA59" w:rsidRPr="7B33A330">
        <w:rPr>
          <w:rFonts w:eastAsia="Verdana" w:cs="Verdana"/>
          <w:szCs w:val="20"/>
        </w:rPr>
        <w:t>ealth</w:t>
      </w:r>
      <w:r w:rsidR="2C151716" w:rsidRPr="7B33A330">
        <w:rPr>
          <w:rFonts w:eastAsia="Verdana" w:cs="Verdana"/>
          <w:szCs w:val="20"/>
        </w:rPr>
        <w:t xml:space="preserve"> of the </w:t>
      </w:r>
      <w:r w:rsidR="67E27F53" w:rsidRPr="7B33A330">
        <w:rPr>
          <w:rFonts w:eastAsia="Verdana" w:cs="Verdana"/>
          <w:szCs w:val="20"/>
        </w:rPr>
        <w:t>National</w:t>
      </w:r>
      <w:r w:rsidR="2C151716" w:rsidRPr="7B33A330">
        <w:rPr>
          <w:rFonts w:eastAsia="Verdana" w:cs="Verdana"/>
          <w:szCs w:val="20"/>
        </w:rPr>
        <w:t xml:space="preserve"> Energy Market</w:t>
      </w:r>
      <w:r w:rsidRPr="7B33A330">
        <w:rPr>
          <w:rStyle w:val="FootnoteReference"/>
          <w:rFonts w:eastAsia="Verdana" w:cs="Verdana"/>
          <w:szCs w:val="20"/>
        </w:rPr>
        <w:footnoteReference w:id="29"/>
      </w:r>
      <w:r w:rsidR="2C151716" w:rsidRPr="7B33A330">
        <w:rPr>
          <w:rFonts w:eastAsia="Verdana" w:cs="Verdana"/>
          <w:szCs w:val="20"/>
        </w:rPr>
        <w:t xml:space="preserve"> we noted </w:t>
      </w:r>
      <w:r w:rsidR="52A508BF" w:rsidRPr="7B33A330">
        <w:rPr>
          <w:rFonts w:eastAsia="Verdana" w:cs="Verdana"/>
          <w:szCs w:val="20"/>
        </w:rPr>
        <w:t xml:space="preserve">that “energy debt, deprivation and disconnection remains persistent, with </w:t>
      </w:r>
      <w:r w:rsidR="64F8B87E" w:rsidRPr="7B33A330">
        <w:rPr>
          <w:rFonts w:eastAsia="Verdana" w:cs="Verdana"/>
          <w:szCs w:val="20"/>
        </w:rPr>
        <w:t xml:space="preserve">events of </w:t>
      </w:r>
      <w:r w:rsidR="52A508BF" w:rsidRPr="7B33A330">
        <w:rPr>
          <w:rFonts w:eastAsia="Verdana" w:cs="Verdana"/>
          <w:szCs w:val="20"/>
        </w:rPr>
        <w:t xml:space="preserve">2020 shining a light on the failures of the system to protect people experiencing vulnerability. What’s more, failure to address issues relating to the energy transition such as access to energy measures and technologies that can reduce energy bills, and a lack of planning </w:t>
      </w:r>
      <w:r w:rsidR="00373348">
        <w:rPr>
          <w:rFonts w:eastAsia="Verdana" w:cs="Verdana"/>
          <w:szCs w:val="20"/>
        </w:rPr>
        <w:t>around the gas transition, mean</w:t>
      </w:r>
      <w:r w:rsidR="52A508BF" w:rsidRPr="7B33A330">
        <w:rPr>
          <w:rFonts w:eastAsia="Verdana" w:cs="Verdana"/>
          <w:szCs w:val="20"/>
        </w:rPr>
        <w:t xml:space="preserve"> people on low incomes or experiencing disadvantage are at risk of being left behind and facing worsening energy poverty</w:t>
      </w:r>
      <w:r w:rsidR="266E80AA" w:rsidRPr="7B33A330">
        <w:rPr>
          <w:rFonts w:eastAsia="Verdana" w:cs="Verdana"/>
          <w:szCs w:val="20"/>
        </w:rPr>
        <w:t>”</w:t>
      </w:r>
      <w:r w:rsidR="52A508BF" w:rsidRPr="7B33A330">
        <w:rPr>
          <w:rFonts w:eastAsia="Verdana" w:cs="Verdana"/>
          <w:szCs w:val="20"/>
        </w:rPr>
        <w:t>.</w:t>
      </w:r>
      <w:r w:rsidR="07B728E8" w:rsidRPr="7B33A330">
        <w:rPr>
          <w:rFonts w:eastAsia="Verdana" w:cs="Verdana"/>
          <w:szCs w:val="20"/>
        </w:rPr>
        <w:t xml:space="preserve"> </w:t>
      </w:r>
      <w:r w:rsidR="0D03B514" w:rsidRPr="7B33A330">
        <w:rPr>
          <w:rFonts w:eastAsia="Verdana" w:cs="Verdana"/>
          <w:szCs w:val="20"/>
        </w:rPr>
        <w:t>With t</w:t>
      </w:r>
      <w:r w:rsidR="5DC1B3A0" w:rsidRPr="7B33A330">
        <w:rPr>
          <w:rFonts w:eastAsia="Verdana" w:cs="Verdana"/>
          <w:szCs w:val="20"/>
        </w:rPr>
        <w:t>he right</w:t>
      </w:r>
      <w:r w:rsidR="10271FC1" w:rsidRPr="7B33A330">
        <w:rPr>
          <w:rFonts w:eastAsia="Verdana" w:cs="Verdana"/>
          <w:szCs w:val="20"/>
        </w:rPr>
        <w:t xml:space="preserve"> </w:t>
      </w:r>
      <w:r w:rsidR="561F2B3B" w:rsidRPr="7B33A330">
        <w:rPr>
          <w:rFonts w:eastAsia="Verdana" w:cs="Verdana"/>
          <w:szCs w:val="20"/>
        </w:rPr>
        <w:t>policies and</w:t>
      </w:r>
      <w:r w:rsidR="5DC1B3A0" w:rsidRPr="7B33A330">
        <w:rPr>
          <w:rFonts w:eastAsia="Verdana" w:cs="Verdana"/>
          <w:szCs w:val="20"/>
        </w:rPr>
        <w:t xml:space="preserve"> type</w:t>
      </w:r>
      <w:r w:rsidR="190703E1" w:rsidRPr="7B33A330">
        <w:rPr>
          <w:rFonts w:eastAsia="Verdana" w:cs="Verdana"/>
          <w:szCs w:val="20"/>
        </w:rPr>
        <w:t>s</w:t>
      </w:r>
      <w:r w:rsidR="5DC1B3A0" w:rsidRPr="7B33A330">
        <w:rPr>
          <w:rFonts w:eastAsia="Verdana" w:cs="Verdana"/>
          <w:szCs w:val="20"/>
        </w:rPr>
        <w:t xml:space="preserve"> of investment </w:t>
      </w:r>
      <w:r w:rsidR="5C58EE41" w:rsidRPr="7B33A330">
        <w:rPr>
          <w:rFonts w:eastAsia="Verdana" w:cs="Verdana"/>
          <w:szCs w:val="20"/>
        </w:rPr>
        <w:t xml:space="preserve">we </w:t>
      </w:r>
      <w:r w:rsidR="5DC1B3A0" w:rsidRPr="7B33A330">
        <w:rPr>
          <w:rFonts w:eastAsia="Verdana" w:cs="Verdana"/>
          <w:szCs w:val="20"/>
        </w:rPr>
        <w:t>can simultaneously tackle climate change and inequality</w:t>
      </w:r>
      <w:r w:rsidR="2B65C915" w:rsidRPr="7B33A330">
        <w:rPr>
          <w:rFonts w:eastAsia="Verdana" w:cs="Verdana"/>
          <w:szCs w:val="20"/>
        </w:rPr>
        <w:t>.</w:t>
      </w:r>
    </w:p>
    <w:p w14:paraId="3C8BB7F6" w14:textId="1A42951E" w:rsidR="4F45CDB4" w:rsidRDefault="4F45CDB4" w:rsidP="7B33A330">
      <w:pPr>
        <w:spacing w:line="257" w:lineRule="auto"/>
        <w:ind w:firstLine="10"/>
        <w:rPr>
          <w:rFonts w:eastAsia="Verdana" w:cs="Verdana"/>
          <w:sz w:val="19"/>
          <w:szCs w:val="19"/>
        </w:rPr>
      </w:pPr>
      <w:r w:rsidRPr="7B33A330">
        <w:rPr>
          <w:rFonts w:eastAsia="Verdana" w:cs="Verdana"/>
          <w:szCs w:val="20"/>
        </w:rPr>
        <w:t xml:space="preserve">Through </w:t>
      </w:r>
      <w:r w:rsidR="2A817B97" w:rsidRPr="7B33A330">
        <w:rPr>
          <w:rFonts w:eastAsia="Verdana" w:cs="Verdana"/>
          <w:szCs w:val="20"/>
        </w:rPr>
        <w:t xml:space="preserve">actions to reduce emissions </w:t>
      </w:r>
      <w:r w:rsidRPr="7B33A330">
        <w:rPr>
          <w:rFonts w:eastAsia="Verdana" w:cs="Verdana"/>
          <w:szCs w:val="20"/>
        </w:rPr>
        <w:t xml:space="preserve">we can reduce the severity of impacts, </w:t>
      </w:r>
      <w:r w:rsidR="4B2EC33F" w:rsidRPr="7B33A330">
        <w:rPr>
          <w:rFonts w:eastAsia="Verdana" w:cs="Verdana"/>
          <w:szCs w:val="20"/>
        </w:rPr>
        <w:t xml:space="preserve">but </w:t>
      </w:r>
      <w:r w:rsidR="4481DCAA" w:rsidRPr="7B33A330">
        <w:rPr>
          <w:rFonts w:eastAsia="Verdana" w:cs="Verdana"/>
          <w:szCs w:val="20"/>
        </w:rPr>
        <w:t xml:space="preserve">we </w:t>
      </w:r>
      <w:r w:rsidRPr="7B33A330">
        <w:rPr>
          <w:rFonts w:eastAsia="Verdana" w:cs="Verdana"/>
          <w:szCs w:val="20"/>
        </w:rPr>
        <w:t>will still need to deal with the significant climate impacts already locked in.</w:t>
      </w:r>
      <w:r w:rsidR="396B50BD" w:rsidRPr="7B33A330">
        <w:rPr>
          <w:rFonts w:eastAsia="Verdana" w:cs="Verdana"/>
          <w:szCs w:val="20"/>
        </w:rPr>
        <w:t xml:space="preserve"> </w:t>
      </w:r>
      <w:r w:rsidR="75B8AD4B" w:rsidRPr="7B33A330">
        <w:rPr>
          <w:rFonts w:eastAsia="Verdana" w:cs="Verdana"/>
          <w:szCs w:val="20"/>
          <w:lang w:val="en"/>
        </w:rPr>
        <w:t xml:space="preserve">The unprecedented 2019/20 bushfires </w:t>
      </w:r>
      <w:r w:rsidR="2947EADB" w:rsidRPr="7B33A330">
        <w:rPr>
          <w:rFonts w:eastAsia="Verdana" w:cs="Verdana"/>
          <w:szCs w:val="20"/>
          <w:lang w:val="en"/>
        </w:rPr>
        <w:t xml:space="preserve">should serve as a wakeup call on the </w:t>
      </w:r>
      <w:r w:rsidR="38F092A9" w:rsidRPr="7B33A330">
        <w:rPr>
          <w:rFonts w:eastAsia="Verdana" w:cs="Verdana"/>
          <w:szCs w:val="20"/>
          <w:lang w:val="en"/>
        </w:rPr>
        <w:t>challenges</w:t>
      </w:r>
      <w:r w:rsidR="2947EADB" w:rsidRPr="7B33A330">
        <w:rPr>
          <w:rFonts w:eastAsia="Verdana" w:cs="Verdana"/>
          <w:szCs w:val="20"/>
          <w:lang w:val="en"/>
        </w:rPr>
        <w:t xml:space="preserve"> we will </w:t>
      </w:r>
      <w:r w:rsidR="3D766133" w:rsidRPr="7B33A330">
        <w:rPr>
          <w:rFonts w:eastAsia="Verdana" w:cs="Verdana"/>
          <w:szCs w:val="20"/>
          <w:lang w:val="en"/>
        </w:rPr>
        <w:t>increasingly</w:t>
      </w:r>
      <w:r w:rsidR="2947EADB" w:rsidRPr="7B33A330">
        <w:rPr>
          <w:rFonts w:eastAsia="Verdana" w:cs="Verdana"/>
          <w:szCs w:val="20"/>
          <w:lang w:val="en"/>
        </w:rPr>
        <w:t xml:space="preserve"> face. The fires </w:t>
      </w:r>
      <w:r w:rsidR="75B8AD4B" w:rsidRPr="7B33A330">
        <w:rPr>
          <w:rFonts w:eastAsia="Verdana" w:cs="Verdana"/>
          <w:szCs w:val="20"/>
          <w:lang w:val="en"/>
        </w:rPr>
        <w:t xml:space="preserve">contributed to the deaths of more than 500 people, 3,000 homes were destroyed, and livelihoods of thousands impacted. Recovery will take years for most, </w:t>
      </w:r>
      <w:r w:rsidR="00373348">
        <w:rPr>
          <w:rFonts w:eastAsia="Verdana" w:cs="Verdana"/>
          <w:szCs w:val="20"/>
          <w:lang w:val="en"/>
        </w:rPr>
        <w:t xml:space="preserve">and </w:t>
      </w:r>
      <w:r w:rsidR="75B8AD4B" w:rsidRPr="7B33A330">
        <w:rPr>
          <w:rFonts w:eastAsia="Verdana" w:cs="Verdana"/>
          <w:szCs w:val="20"/>
          <w:lang w:val="en"/>
        </w:rPr>
        <w:t xml:space="preserve">some people may never fully recover. For some communities </w:t>
      </w:r>
      <w:r w:rsidR="00B97371">
        <w:rPr>
          <w:rFonts w:eastAsia="Verdana" w:cs="Verdana"/>
          <w:szCs w:val="20"/>
          <w:lang w:val="en"/>
        </w:rPr>
        <w:t xml:space="preserve">this was their second or third </w:t>
      </w:r>
      <w:r w:rsidR="75B8AD4B" w:rsidRPr="7B33A330">
        <w:rPr>
          <w:rFonts w:eastAsia="Verdana" w:cs="Verdana"/>
          <w:szCs w:val="20"/>
          <w:lang w:val="en"/>
        </w:rPr>
        <w:t>major extreme weather event in a relative short period of time.</w:t>
      </w:r>
      <w:r w:rsidR="75B8AD4B" w:rsidRPr="7B33A330">
        <w:rPr>
          <w:rFonts w:eastAsia="Verdana" w:cs="Verdana"/>
          <w:szCs w:val="20"/>
        </w:rPr>
        <w:t xml:space="preserve"> Scientists tells us we can expect more frequent and severe extreme weather events in the future, which will present significant challenges for many communities</w:t>
      </w:r>
      <w:r w:rsidR="059F1588" w:rsidRPr="7B33A330">
        <w:rPr>
          <w:rFonts w:eastAsia="Verdana" w:cs="Verdana"/>
          <w:szCs w:val="20"/>
        </w:rPr>
        <w:t xml:space="preserve">. </w:t>
      </w:r>
    </w:p>
    <w:p w14:paraId="584F6FFB" w14:textId="73278C57" w:rsidR="059F1588" w:rsidRDefault="059F1588" w:rsidP="7B33A330">
      <w:pPr>
        <w:spacing w:line="257" w:lineRule="auto"/>
        <w:ind w:firstLine="10"/>
        <w:rPr>
          <w:rFonts w:eastAsia="Verdana" w:cs="Verdana"/>
          <w:sz w:val="19"/>
          <w:szCs w:val="19"/>
        </w:rPr>
      </w:pPr>
      <w:r w:rsidRPr="7B33A330">
        <w:rPr>
          <w:rFonts w:eastAsia="Verdana" w:cs="Verdana"/>
          <w:szCs w:val="20"/>
        </w:rPr>
        <w:t>During</w:t>
      </w:r>
      <w:r w:rsidR="00373348">
        <w:rPr>
          <w:rFonts w:eastAsia="Verdana" w:cs="Verdana"/>
          <w:szCs w:val="20"/>
        </w:rPr>
        <w:t>,</w:t>
      </w:r>
      <w:r w:rsidRPr="7B33A330">
        <w:rPr>
          <w:rFonts w:eastAsia="Verdana" w:cs="Verdana"/>
          <w:szCs w:val="20"/>
        </w:rPr>
        <w:t xml:space="preserve"> and in the weeks and months after the bushfires</w:t>
      </w:r>
      <w:r w:rsidR="00373348">
        <w:rPr>
          <w:rFonts w:eastAsia="Verdana" w:cs="Verdana"/>
          <w:szCs w:val="20"/>
        </w:rPr>
        <w:t>,</w:t>
      </w:r>
      <w:r w:rsidRPr="7B33A330">
        <w:rPr>
          <w:rFonts w:eastAsia="Verdana" w:cs="Verdana"/>
          <w:szCs w:val="20"/>
        </w:rPr>
        <w:t xml:space="preserve"> we heard </w:t>
      </w:r>
      <w:r>
        <w:t>the needs of people impacted by the bushfires were not being meet in terms of types of support needed, quantum of support, timeliness, and ease of access.</w:t>
      </w:r>
    </w:p>
    <w:p w14:paraId="1677D93B" w14:textId="77777777" w:rsidR="001E064B" w:rsidRDefault="2FEDA112">
      <w:r>
        <w:t>We need policies and measures to better meet need and strengthen the resilience of people and communities, and the community sector organisations that</w:t>
      </w:r>
      <w:r w:rsidR="567D92BB">
        <w:t xml:space="preserve"> provide vital services.</w:t>
      </w:r>
    </w:p>
    <w:p w14:paraId="14034D13" w14:textId="57916E09" w:rsidR="002B237C" w:rsidRDefault="00F560E7">
      <w:r>
        <w:rPr>
          <w:b/>
          <w:bCs/>
          <w:color w:val="C00000"/>
        </w:rPr>
        <w:t xml:space="preserve">Recommendation 17. </w:t>
      </w:r>
      <w:r w:rsidRPr="00F560E7">
        <w:rPr>
          <w:b/>
        </w:rPr>
        <w:t>Australia should set emissions reduction targets of zero net emissions before 2050 and at least 45% by 2030 (on 2005 levels).</w:t>
      </w:r>
    </w:p>
    <w:p w14:paraId="0918FE8D" w14:textId="413B12BE" w:rsidR="0068094C" w:rsidRDefault="6703F5E9" w:rsidP="003520E9">
      <w:pPr>
        <w:pStyle w:val="Heading2"/>
      </w:pPr>
      <w:bookmarkStart w:id="39" w:name="_Toc63685935"/>
      <w:r>
        <w:lastRenderedPageBreak/>
        <w:t>Healthy</w:t>
      </w:r>
      <w:r w:rsidR="25DAD38D">
        <w:t>,</w:t>
      </w:r>
      <w:r>
        <w:t xml:space="preserve"> </w:t>
      </w:r>
      <w:r w:rsidR="0D2A10D4">
        <w:t>low</w:t>
      </w:r>
      <w:r w:rsidR="6C0A30A7">
        <w:t>-</w:t>
      </w:r>
      <w:r w:rsidR="0D2A10D4">
        <w:t>energy,</w:t>
      </w:r>
      <w:r w:rsidR="7E32D564">
        <w:t xml:space="preserve"> low-income </w:t>
      </w:r>
      <w:r w:rsidR="70F34198">
        <w:t>ho</w:t>
      </w:r>
      <w:r w:rsidR="47A9AD9B">
        <w:t>mes</w:t>
      </w:r>
      <w:bookmarkEnd w:id="39"/>
    </w:p>
    <w:p w14:paraId="5B8B3D80" w14:textId="2495905F" w:rsidR="0A05D703" w:rsidRDefault="0A05D703" w:rsidP="7B33A330">
      <w:pPr>
        <w:spacing w:line="257" w:lineRule="auto"/>
        <w:rPr>
          <w:rFonts w:eastAsia="Verdana" w:cs="Verdana"/>
          <w:szCs w:val="20"/>
        </w:rPr>
      </w:pPr>
      <w:r w:rsidRPr="7B33A330">
        <w:rPr>
          <w:rFonts w:eastAsia="Verdana" w:cs="Verdana"/>
          <w:szCs w:val="20"/>
        </w:rPr>
        <w:t xml:space="preserve">ACOSS advocates a national low-income energy productivity program (NLEPP), that installs energy efficiency and solar in the homes of people on low-incomes. This would quickly create thousands of jobs (training, auditing, installation, manufacturing, </w:t>
      </w:r>
      <w:r w:rsidR="00B97371" w:rsidRPr="7B33A330">
        <w:rPr>
          <w:rFonts w:eastAsia="Verdana" w:cs="Verdana"/>
          <w:szCs w:val="20"/>
        </w:rPr>
        <w:t>and retail</w:t>
      </w:r>
      <w:r w:rsidRPr="7B33A330">
        <w:rPr>
          <w:rFonts w:eastAsia="Verdana" w:cs="Verdana"/>
          <w:szCs w:val="20"/>
        </w:rPr>
        <w:t xml:space="preserve">), </w:t>
      </w:r>
      <w:r w:rsidR="3516D408" w:rsidRPr="7B33A330">
        <w:rPr>
          <w:rFonts w:eastAsia="Verdana" w:cs="Verdana"/>
          <w:szCs w:val="20"/>
        </w:rPr>
        <w:t xml:space="preserve">reduce energy bills and </w:t>
      </w:r>
      <w:r w:rsidRPr="7B33A330">
        <w:rPr>
          <w:rFonts w:eastAsia="Verdana" w:cs="Verdana"/>
          <w:szCs w:val="20"/>
        </w:rPr>
        <w:t>increase household disposable income to spend on essential needs further stimu</w:t>
      </w:r>
      <w:r w:rsidR="4D9A25AA" w:rsidRPr="7B33A330">
        <w:rPr>
          <w:rFonts w:eastAsia="Verdana" w:cs="Verdana"/>
          <w:szCs w:val="20"/>
        </w:rPr>
        <w:t>lating the</w:t>
      </w:r>
      <w:r w:rsidRPr="7B33A330">
        <w:rPr>
          <w:rFonts w:eastAsia="Verdana" w:cs="Verdana"/>
          <w:szCs w:val="20"/>
        </w:rPr>
        <w:t xml:space="preserve"> economy, and improv</w:t>
      </w:r>
      <w:r w:rsidR="56FD9C6D" w:rsidRPr="7B33A330">
        <w:rPr>
          <w:rFonts w:eastAsia="Verdana" w:cs="Verdana"/>
          <w:szCs w:val="20"/>
        </w:rPr>
        <w:t>ing people's</w:t>
      </w:r>
      <w:r w:rsidRPr="7B33A330">
        <w:rPr>
          <w:rFonts w:eastAsia="Verdana" w:cs="Verdana"/>
          <w:szCs w:val="20"/>
        </w:rPr>
        <w:t xml:space="preserve"> health</w:t>
      </w:r>
      <w:r w:rsidR="1BE0842B" w:rsidRPr="7B33A330">
        <w:rPr>
          <w:rFonts w:eastAsia="Verdana" w:cs="Verdana"/>
          <w:szCs w:val="20"/>
        </w:rPr>
        <w:t xml:space="preserve">, </w:t>
      </w:r>
      <w:r w:rsidRPr="7B33A330">
        <w:rPr>
          <w:rFonts w:eastAsia="Verdana" w:cs="Verdana"/>
          <w:szCs w:val="20"/>
        </w:rPr>
        <w:t>wellbeing</w:t>
      </w:r>
      <w:r w:rsidR="537C89EC" w:rsidRPr="7B33A330">
        <w:rPr>
          <w:rFonts w:eastAsia="Verdana" w:cs="Verdana"/>
          <w:szCs w:val="20"/>
        </w:rPr>
        <w:t xml:space="preserve"> and economic opportunities</w:t>
      </w:r>
      <w:r w:rsidRPr="7B33A330">
        <w:rPr>
          <w:rFonts w:eastAsia="Verdana" w:cs="Verdana"/>
          <w:szCs w:val="20"/>
        </w:rPr>
        <w:t>.</w:t>
      </w:r>
      <w:r w:rsidR="005B6388" w:rsidRPr="005B6388">
        <w:t xml:space="preserve"> </w:t>
      </w:r>
      <w:r w:rsidR="005B6388" w:rsidRPr="7B33A330">
        <w:t>Measures would include energy audit</w:t>
      </w:r>
      <w:r w:rsidR="004B00D2">
        <w:t>s</w:t>
      </w:r>
      <w:r w:rsidR="005B6388" w:rsidRPr="7B33A330">
        <w:t>, and selection from efficient cooling/heating, heat pump hot water, LED lighting, thermal shell insulation, and solar PV.</w:t>
      </w:r>
    </w:p>
    <w:p w14:paraId="3CA0E3A0" w14:textId="212E36E3" w:rsidR="0A05D703" w:rsidRDefault="0A05D703" w:rsidP="7B33A330">
      <w:pPr>
        <w:rPr>
          <w:rFonts w:eastAsia="Verdana" w:cs="Verdana"/>
          <w:szCs w:val="20"/>
        </w:rPr>
      </w:pPr>
      <w:r w:rsidRPr="7B33A330">
        <w:rPr>
          <w:rFonts w:eastAsia="Verdana" w:cs="Verdana"/>
          <w:szCs w:val="20"/>
        </w:rPr>
        <w:t>People on low-incomes are more likely to live in inefficient homes</w:t>
      </w:r>
      <w:r w:rsidR="006104B1">
        <w:rPr>
          <w:rFonts w:eastAsia="Verdana" w:cs="Verdana"/>
          <w:szCs w:val="20"/>
        </w:rPr>
        <w:t xml:space="preserve"> that are too hot in summer and too cold in winter</w:t>
      </w:r>
      <w:r w:rsidR="004B00D2">
        <w:rPr>
          <w:rFonts w:eastAsia="Verdana" w:cs="Verdana"/>
          <w:szCs w:val="20"/>
        </w:rPr>
        <w:t>. They</w:t>
      </w:r>
      <w:r w:rsidRPr="7B33A330">
        <w:rPr>
          <w:rFonts w:eastAsia="Verdana" w:cs="Verdana"/>
          <w:szCs w:val="20"/>
        </w:rPr>
        <w:t xml:space="preserve"> </w:t>
      </w:r>
      <w:r w:rsidR="004B00D2">
        <w:rPr>
          <w:rFonts w:eastAsia="Verdana" w:cs="Verdana"/>
          <w:szCs w:val="20"/>
        </w:rPr>
        <w:t xml:space="preserve">typically </w:t>
      </w:r>
      <w:r w:rsidRPr="7B33A330">
        <w:rPr>
          <w:rFonts w:eastAsia="Verdana" w:cs="Verdana"/>
          <w:szCs w:val="20"/>
        </w:rPr>
        <w:t xml:space="preserve">cannot afford (or are unable in the case of renters) to improve </w:t>
      </w:r>
      <w:r w:rsidR="0FD2CE66" w:rsidRPr="7B33A330">
        <w:rPr>
          <w:rFonts w:eastAsia="Verdana" w:cs="Verdana"/>
          <w:szCs w:val="20"/>
        </w:rPr>
        <w:t xml:space="preserve">the </w:t>
      </w:r>
      <w:r w:rsidRPr="7B33A330">
        <w:rPr>
          <w:rFonts w:eastAsia="Verdana" w:cs="Verdana"/>
          <w:szCs w:val="20"/>
        </w:rPr>
        <w:t xml:space="preserve">efficiency. </w:t>
      </w:r>
    </w:p>
    <w:p w14:paraId="1F13AAC3" w14:textId="37717079" w:rsidR="09E467C4" w:rsidRDefault="09E467C4" w:rsidP="7B33A330">
      <w:pPr>
        <w:rPr>
          <w:rFonts w:eastAsia="Verdana" w:cs="Verdana"/>
          <w:szCs w:val="20"/>
        </w:rPr>
      </w:pPr>
      <w:r w:rsidRPr="7B33A330">
        <w:rPr>
          <w:rFonts w:eastAsia="Verdana" w:cs="Verdana"/>
          <w:szCs w:val="20"/>
        </w:rPr>
        <w:t xml:space="preserve">Federal, State and </w:t>
      </w:r>
      <w:r w:rsidR="3074596D" w:rsidRPr="7B33A330">
        <w:rPr>
          <w:rFonts w:eastAsia="Verdana" w:cs="Verdana"/>
          <w:szCs w:val="20"/>
        </w:rPr>
        <w:t>Territory</w:t>
      </w:r>
      <w:r w:rsidRPr="7B33A330">
        <w:rPr>
          <w:rFonts w:eastAsia="Verdana" w:cs="Verdana"/>
          <w:szCs w:val="20"/>
        </w:rPr>
        <w:t xml:space="preserve"> Governments through the </w:t>
      </w:r>
      <w:hyperlink r:id="rId20">
        <w:r w:rsidRPr="7B33A330">
          <w:rPr>
            <w:rStyle w:val="Hyperlink"/>
            <w:rFonts w:eastAsia="Verdana" w:cs="Verdana"/>
            <w:i/>
            <w:iCs/>
            <w:szCs w:val="20"/>
          </w:rPr>
          <w:t>Trajectory for Low Energy Buildings - existing buildings</w:t>
        </w:r>
      </w:hyperlink>
      <w:r w:rsidRPr="7B33A330">
        <w:rPr>
          <w:rFonts w:eastAsia="Verdana" w:cs="Verdana"/>
          <w:i/>
          <w:iCs/>
          <w:szCs w:val="20"/>
        </w:rPr>
        <w:t xml:space="preserve">, </w:t>
      </w:r>
      <w:r w:rsidRPr="004B00D2">
        <w:rPr>
          <w:rFonts w:eastAsia="Verdana" w:cs="Verdana"/>
          <w:iCs/>
          <w:szCs w:val="20"/>
        </w:rPr>
        <w:t xml:space="preserve">have committed to </w:t>
      </w:r>
      <w:r w:rsidR="7B5A7C0F" w:rsidRPr="004B00D2">
        <w:rPr>
          <w:rFonts w:eastAsia="Verdana" w:cs="Verdana"/>
          <w:iCs/>
          <w:szCs w:val="20"/>
        </w:rPr>
        <w:t>develop a</w:t>
      </w:r>
      <w:r w:rsidR="7B5A7C0F" w:rsidRPr="7B33A330">
        <w:rPr>
          <w:rFonts w:eastAsia="Verdana" w:cs="Verdana"/>
          <w:i/>
          <w:iCs/>
          <w:szCs w:val="20"/>
        </w:rPr>
        <w:t xml:space="preserve"> </w:t>
      </w:r>
      <w:r w:rsidR="7B5A7C0F" w:rsidRPr="7B33A330">
        <w:rPr>
          <w:rFonts w:eastAsia="Verdana" w:cs="Verdana"/>
          <w:szCs w:val="20"/>
        </w:rPr>
        <w:t>national plan that sets a goal to achieve zero energy (and carbon) ready existing homes</w:t>
      </w:r>
      <w:r w:rsidR="1B8B948A" w:rsidRPr="7B33A330">
        <w:rPr>
          <w:rFonts w:eastAsia="Verdana" w:cs="Verdana"/>
          <w:szCs w:val="20"/>
        </w:rPr>
        <w:t>, including developing a national framework for mandatory energy efficiency standards for rental proper</w:t>
      </w:r>
      <w:r w:rsidR="096770E0" w:rsidRPr="7B33A330">
        <w:rPr>
          <w:rFonts w:eastAsia="Verdana" w:cs="Verdana"/>
          <w:szCs w:val="20"/>
        </w:rPr>
        <w:t>t</w:t>
      </w:r>
      <w:r w:rsidR="1B8B948A" w:rsidRPr="7B33A330">
        <w:rPr>
          <w:rFonts w:eastAsia="Verdana" w:cs="Verdana"/>
          <w:szCs w:val="20"/>
        </w:rPr>
        <w:t xml:space="preserve">ies. However specific measures are needed to support </w:t>
      </w:r>
      <w:r w:rsidR="0C7BA9ED" w:rsidRPr="7B33A330">
        <w:rPr>
          <w:rFonts w:eastAsia="Verdana" w:cs="Verdana"/>
          <w:szCs w:val="20"/>
        </w:rPr>
        <w:t>implementation</w:t>
      </w:r>
      <w:r w:rsidR="1B8B948A" w:rsidRPr="7B33A330">
        <w:rPr>
          <w:rFonts w:eastAsia="Verdana" w:cs="Verdana"/>
          <w:szCs w:val="20"/>
        </w:rPr>
        <w:t xml:space="preserve"> in low-income homes.</w:t>
      </w:r>
    </w:p>
    <w:p w14:paraId="689E9553" w14:textId="3C8E4F80" w:rsidR="5446E51B" w:rsidRDefault="5446E51B" w:rsidP="7B33A330">
      <w:pPr>
        <w:rPr>
          <w:rFonts w:eastAsia="Verdana" w:cs="Verdana"/>
          <w:szCs w:val="20"/>
        </w:rPr>
      </w:pPr>
      <w:r w:rsidRPr="7B33A330">
        <w:rPr>
          <w:rFonts w:eastAsia="Verdana" w:cs="Verdana"/>
          <w:szCs w:val="20"/>
        </w:rPr>
        <w:t>An</w:t>
      </w:r>
      <w:r w:rsidR="0A05D703" w:rsidRPr="7B33A330">
        <w:rPr>
          <w:rFonts w:eastAsia="Verdana" w:cs="Verdana"/>
          <w:szCs w:val="20"/>
        </w:rPr>
        <w:t xml:space="preserve"> investment </w:t>
      </w:r>
      <w:r w:rsidR="7B56FEAF" w:rsidRPr="7B33A330">
        <w:rPr>
          <w:rFonts w:eastAsia="Verdana" w:cs="Verdana"/>
          <w:szCs w:val="20"/>
        </w:rPr>
        <w:t xml:space="preserve">in low-income homes </w:t>
      </w:r>
      <w:r w:rsidR="0A05D703" w:rsidRPr="7B33A330">
        <w:rPr>
          <w:rFonts w:eastAsia="Verdana" w:cs="Verdana"/>
          <w:szCs w:val="20"/>
        </w:rPr>
        <w:t xml:space="preserve">would also deliver on other government priorities including cuts in carbon emissions, reduced load on the electricity grid, and </w:t>
      </w:r>
      <w:r w:rsidR="13998D74" w:rsidRPr="7B33A330">
        <w:rPr>
          <w:rFonts w:eastAsia="Verdana" w:cs="Verdana"/>
          <w:szCs w:val="20"/>
        </w:rPr>
        <w:t>strengthening</w:t>
      </w:r>
      <w:r w:rsidR="50053ECC" w:rsidRPr="7B33A330">
        <w:rPr>
          <w:rFonts w:eastAsia="Verdana" w:cs="Verdana"/>
          <w:szCs w:val="20"/>
        </w:rPr>
        <w:t xml:space="preserve"> resilience to </w:t>
      </w:r>
      <w:r w:rsidR="04B45A5D" w:rsidRPr="7B33A330">
        <w:rPr>
          <w:rFonts w:eastAsia="Verdana" w:cs="Verdana"/>
          <w:szCs w:val="20"/>
        </w:rPr>
        <w:t>extreme</w:t>
      </w:r>
      <w:r w:rsidR="50053ECC" w:rsidRPr="7B33A330">
        <w:rPr>
          <w:rFonts w:eastAsia="Verdana" w:cs="Verdana"/>
          <w:szCs w:val="20"/>
        </w:rPr>
        <w:t xml:space="preserve"> </w:t>
      </w:r>
      <w:r w:rsidR="5B51118A" w:rsidRPr="7B33A330">
        <w:rPr>
          <w:rFonts w:eastAsia="Verdana" w:cs="Verdana"/>
          <w:szCs w:val="20"/>
        </w:rPr>
        <w:t>whether such as heat waves.</w:t>
      </w:r>
      <w:r w:rsidR="5DC5E9DB" w:rsidRPr="7B33A330">
        <w:rPr>
          <w:rFonts w:eastAsia="Verdana" w:cs="Verdana"/>
          <w:szCs w:val="20"/>
        </w:rPr>
        <w:t xml:space="preserve"> </w:t>
      </w:r>
    </w:p>
    <w:p w14:paraId="4F1E100D" w14:textId="63D2FF5C" w:rsidR="005B6388" w:rsidRDefault="005B6388" w:rsidP="7B33A330">
      <w:pPr>
        <w:rPr>
          <w:rFonts w:eastAsia="Verdana" w:cs="Verdana"/>
          <w:szCs w:val="20"/>
        </w:rPr>
      </w:pPr>
      <w:r>
        <w:rPr>
          <w:rFonts w:eastAsia="Verdana" w:cs="Verdana"/>
          <w:szCs w:val="20"/>
        </w:rPr>
        <w:t>The recommendation below has four components:</w:t>
      </w:r>
    </w:p>
    <w:p w14:paraId="118DBB75" w14:textId="3B0F30A2" w:rsidR="00A223A0" w:rsidRPr="00F13F51" w:rsidRDefault="00A223A0" w:rsidP="00F13F51">
      <w:pPr>
        <w:pStyle w:val="ListParagraph"/>
        <w:numPr>
          <w:ilvl w:val="0"/>
          <w:numId w:val="34"/>
        </w:numPr>
        <w:ind w:left="851" w:hanging="425"/>
      </w:pPr>
      <w:r w:rsidRPr="00F13F51">
        <w:rPr>
          <w:rFonts w:eastAsia="Verdana" w:cs="Verdana"/>
          <w:b/>
        </w:rPr>
        <w:t>Public housing</w:t>
      </w:r>
      <w:r w:rsidR="004B00D2">
        <w:rPr>
          <w:rFonts w:eastAsia="Verdana" w:cs="Verdana"/>
        </w:rPr>
        <w:t xml:space="preserve"> – The Federal G</w:t>
      </w:r>
      <w:r w:rsidRPr="00F13F51">
        <w:rPr>
          <w:rFonts w:eastAsia="Verdana" w:cs="Verdana"/>
        </w:rPr>
        <w:t>overnment provide matching funds with state/territory governments to invest in energy efficiency upgrades and solar PV installations for public and Indigenous housing dwellings. Proposal is to invest up to $5,000 per dwell</w:t>
      </w:r>
      <w:r w:rsidR="004B00D2">
        <w:rPr>
          <w:rFonts w:eastAsia="Verdana" w:cs="Verdana"/>
        </w:rPr>
        <w:t>ing, plus $250 for energy audit</w:t>
      </w:r>
      <w:r w:rsidRPr="00F13F51">
        <w:rPr>
          <w:rFonts w:eastAsia="Verdana" w:cs="Verdana"/>
        </w:rPr>
        <w:t>. There are 305,191 State owned Public Housing and 14,662 State owned and managed Indigenous Housing</w:t>
      </w:r>
      <w:r w:rsidR="004B00D2">
        <w:rPr>
          <w:rFonts w:eastAsia="Verdana" w:cs="Verdana"/>
        </w:rPr>
        <w:t xml:space="preserve"> dwellings</w:t>
      </w:r>
      <w:r w:rsidRPr="00F13F51">
        <w:rPr>
          <w:rFonts w:eastAsia="Verdana" w:cs="Verdana"/>
        </w:rPr>
        <w:t>. Total budget to complete over 4</w:t>
      </w:r>
      <w:r w:rsidR="004B00D2">
        <w:rPr>
          <w:rFonts w:eastAsia="Verdana" w:cs="Verdana"/>
        </w:rPr>
        <w:t xml:space="preserve"> years would be $1.51 billion (F</w:t>
      </w:r>
      <w:r w:rsidRPr="00F13F51">
        <w:rPr>
          <w:rFonts w:eastAsia="Verdana" w:cs="Verdana"/>
        </w:rPr>
        <w:t>ederal component would be $755 million over 4 years).</w:t>
      </w:r>
    </w:p>
    <w:p w14:paraId="6A140AB7" w14:textId="5C4B4FCE" w:rsidR="00A223A0" w:rsidRDefault="00A223A0" w:rsidP="00F13F51">
      <w:pPr>
        <w:pStyle w:val="ListParagraph"/>
        <w:numPr>
          <w:ilvl w:val="0"/>
          <w:numId w:val="34"/>
        </w:numPr>
        <w:ind w:left="851" w:hanging="425"/>
        <w:rPr>
          <w:color w:val="auto"/>
        </w:rPr>
      </w:pPr>
      <w:r w:rsidRPr="005855C0">
        <w:rPr>
          <w:b/>
          <w:color w:val="auto"/>
        </w:rPr>
        <w:t>Community housing</w:t>
      </w:r>
      <w:r w:rsidR="004B00D2">
        <w:rPr>
          <w:color w:val="auto"/>
        </w:rPr>
        <w:t xml:space="preserve"> – The Federal G</w:t>
      </w:r>
      <w:r w:rsidRPr="005855C0">
        <w:rPr>
          <w:color w:val="auto"/>
        </w:rPr>
        <w:t xml:space="preserve">overnment provide matching funds with state/territory governments to invest in energy efficiency upgrades and solar PV installations for Community Housing. Proposal is to invest up to $10,000 per dwelling (matching funds would be required to access second $5,000). </w:t>
      </w:r>
      <w:r w:rsidRPr="005855C0">
        <w:rPr>
          <w:rFonts w:eastAsia="Calibri" w:cs="Calibri"/>
          <w:color w:val="auto"/>
        </w:rPr>
        <w:t>There are roughly 100,205 Community Housing and 17,660 Indigenous Community Housing</w:t>
      </w:r>
      <w:r w:rsidR="004B00D2">
        <w:rPr>
          <w:rFonts w:eastAsia="Calibri" w:cs="Calibri"/>
          <w:color w:val="auto"/>
        </w:rPr>
        <w:t xml:space="preserve"> dwellings</w:t>
      </w:r>
      <w:r w:rsidRPr="005855C0">
        <w:rPr>
          <w:rFonts w:eastAsia="Calibri" w:cs="Calibri"/>
          <w:color w:val="auto"/>
        </w:rPr>
        <w:t>.</w:t>
      </w:r>
      <w:r w:rsidRPr="005855C0">
        <w:rPr>
          <w:color w:val="auto"/>
        </w:rPr>
        <w:t xml:space="preserve"> Total budget to complete over 4 </w:t>
      </w:r>
      <w:r w:rsidR="004B00D2">
        <w:rPr>
          <w:color w:val="auto"/>
        </w:rPr>
        <w:t>years would be $923.7 million (F</w:t>
      </w:r>
      <w:r w:rsidRPr="005855C0">
        <w:rPr>
          <w:color w:val="auto"/>
        </w:rPr>
        <w:t>ederal component would be $461.8 million over 4 years).</w:t>
      </w:r>
    </w:p>
    <w:p w14:paraId="7BE1F451" w14:textId="50416E86" w:rsidR="00A223A0" w:rsidRDefault="00A223A0" w:rsidP="00F13F51">
      <w:pPr>
        <w:pStyle w:val="ListParagraph"/>
        <w:numPr>
          <w:ilvl w:val="0"/>
          <w:numId w:val="34"/>
        </w:numPr>
        <w:ind w:left="851" w:hanging="425"/>
        <w:rPr>
          <w:color w:val="auto"/>
        </w:rPr>
      </w:pPr>
      <w:r w:rsidRPr="00E104F0">
        <w:rPr>
          <w:b/>
          <w:color w:val="auto"/>
        </w:rPr>
        <w:t>Low-income home owners</w:t>
      </w:r>
      <w:r w:rsidRPr="001C35E2">
        <w:rPr>
          <w:color w:val="auto"/>
        </w:rPr>
        <w:t xml:space="preserve"> – Federal Government to provide funds over the next four years to implement energy efficiency upgrades and solar PV installations worth up to $5,000 on the properties of low-income homeowners. The program would be managed by a third party </w:t>
      </w:r>
      <w:r w:rsidR="004B00D2">
        <w:rPr>
          <w:color w:val="auto"/>
        </w:rPr>
        <w:t xml:space="preserve">to </w:t>
      </w:r>
      <w:r w:rsidRPr="001C35E2">
        <w:rPr>
          <w:color w:val="auto"/>
        </w:rPr>
        <w:t>reduce risks, improve efficiency and quality. There are approximately 1.1 million households on lowest 20% of income that are owner occupiers (many will be retirees). The total budget over 4 years would be $4.87 billion.</w:t>
      </w:r>
      <w:r w:rsidRPr="00394B9E">
        <w:rPr>
          <w:color w:val="auto"/>
        </w:rPr>
        <w:t xml:space="preserve"> </w:t>
      </w:r>
    </w:p>
    <w:p w14:paraId="6177C5BE" w14:textId="77777777" w:rsidR="00A223A0" w:rsidRDefault="00A223A0" w:rsidP="00F13F51">
      <w:pPr>
        <w:pStyle w:val="ListParagraph"/>
        <w:numPr>
          <w:ilvl w:val="0"/>
          <w:numId w:val="34"/>
        </w:numPr>
        <w:ind w:left="851" w:hanging="425"/>
        <w:rPr>
          <w:color w:val="auto"/>
        </w:rPr>
      </w:pPr>
      <w:r w:rsidRPr="00E104F0">
        <w:rPr>
          <w:b/>
          <w:color w:val="auto"/>
        </w:rPr>
        <w:t>Inefficient rental properties</w:t>
      </w:r>
      <w:r w:rsidRPr="001C35E2">
        <w:rPr>
          <w:color w:val="auto"/>
        </w:rPr>
        <w:t xml:space="preserve"> – Federal Government to provide funds over the next four years to be managed by third party to:</w:t>
      </w:r>
    </w:p>
    <w:p w14:paraId="33DCBA3C" w14:textId="77777777" w:rsidR="00A223A0" w:rsidRDefault="00A223A0" w:rsidP="00F13F51">
      <w:pPr>
        <w:pStyle w:val="ListParagraph"/>
        <w:numPr>
          <w:ilvl w:val="1"/>
          <w:numId w:val="34"/>
        </w:numPr>
        <w:rPr>
          <w:color w:val="auto"/>
        </w:rPr>
      </w:pPr>
      <w:r w:rsidRPr="00F13F51">
        <w:rPr>
          <w:color w:val="auto"/>
        </w:rPr>
        <w:t xml:space="preserve">provide free energy audits for rental properties built before 5-star ratings were introduced (this may vary in each state/territory); and </w:t>
      </w:r>
    </w:p>
    <w:p w14:paraId="775DEB4E" w14:textId="35E15C3A" w:rsidR="00A223A0" w:rsidRPr="00E104F0" w:rsidRDefault="00A223A0" w:rsidP="00F13F51">
      <w:pPr>
        <w:pStyle w:val="ListParagraph"/>
        <w:numPr>
          <w:ilvl w:val="1"/>
          <w:numId w:val="34"/>
        </w:numPr>
        <w:rPr>
          <w:color w:val="auto"/>
        </w:rPr>
      </w:pPr>
      <w:proofErr w:type="gramStart"/>
      <w:r w:rsidRPr="00E104F0">
        <w:rPr>
          <w:color w:val="auto"/>
        </w:rPr>
        <w:t>f</w:t>
      </w:r>
      <w:r w:rsidRPr="00F13F51">
        <w:rPr>
          <w:color w:val="auto"/>
        </w:rPr>
        <w:t>und</w:t>
      </w:r>
      <w:proofErr w:type="gramEnd"/>
      <w:r w:rsidRPr="00F13F51">
        <w:rPr>
          <w:color w:val="auto"/>
        </w:rPr>
        <w:t xml:space="preserve"> up to $5,000 per dwelling to increase the energy performance of the poorest performing rental properties, prioritising properties with low-income tenants.</w:t>
      </w:r>
    </w:p>
    <w:p w14:paraId="32BAFC68" w14:textId="3B37888D" w:rsidR="00351662" w:rsidRPr="004B00D2" w:rsidRDefault="00A223A0" w:rsidP="004B00D2">
      <w:pPr>
        <w:pStyle w:val="ListParagraph"/>
        <w:numPr>
          <w:ilvl w:val="0"/>
          <w:numId w:val="0"/>
        </w:numPr>
        <w:ind w:left="720"/>
        <w:rPr>
          <w:rFonts w:eastAsia="Verdana" w:cs="Verdana"/>
          <w:color w:val="auto"/>
        </w:rPr>
      </w:pPr>
      <w:r w:rsidRPr="00E104F0">
        <w:rPr>
          <w:rFonts w:eastAsia="Verdana" w:cs="Verdana"/>
          <w:color w:val="auto"/>
        </w:rPr>
        <w:t xml:space="preserve">There are 2.1 million private rental properties. With a targeted strategy, we assume 20% (420,000) take up energy audits and 315,000 would be eligible for </w:t>
      </w:r>
      <w:r w:rsidRPr="00E104F0">
        <w:rPr>
          <w:rFonts w:eastAsia="Verdana" w:cs="Verdana"/>
          <w:color w:val="auto"/>
        </w:rPr>
        <w:lastRenderedPageBreak/>
        <w:t>the $5,000 upgrade. The total budget over 4 years would be $1.8 billion. The program could</w:t>
      </w:r>
      <w:r w:rsidRPr="001C35E2">
        <w:rPr>
          <w:rFonts w:eastAsia="Verdana" w:cs="Verdana"/>
          <w:color w:val="auto"/>
        </w:rPr>
        <w:t xml:space="preserve"> be viewed as an incentive mechanism for early movers before mandatory standards are put in place.</w:t>
      </w:r>
      <w:r w:rsidR="004B00D2">
        <w:rPr>
          <w:rFonts w:eastAsia="Verdana" w:cs="Verdana"/>
          <w:color w:val="auto"/>
        </w:rPr>
        <w:br/>
      </w:r>
    </w:p>
    <w:p w14:paraId="3B33B1A5" w14:textId="55FFC7FD" w:rsidR="36D3BF73" w:rsidRDefault="36D3BF73" w:rsidP="7B33A330">
      <w:pPr>
        <w:rPr>
          <w:rFonts w:eastAsia="Verdana" w:cs="Verdana"/>
          <w:szCs w:val="20"/>
        </w:rPr>
      </w:pPr>
      <w:r w:rsidRPr="7B33A330">
        <w:rPr>
          <w:rFonts w:eastAsia="Verdana" w:cs="Verdana"/>
          <w:szCs w:val="20"/>
        </w:rPr>
        <w:t>In addition to the recommendation</w:t>
      </w:r>
      <w:r w:rsidR="004B00D2">
        <w:rPr>
          <w:rFonts w:eastAsia="Verdana" w:cs="Verdana"/>
          <w:szCs w:val="20"/>
        </w:rPr>
        <w:t>s</w:t>
      </w:r>
      <w:r w:rsidRPr="7B33A330">
        <w:rPr>
          <w:rFonts w:eastAsia="Verdana" w:cs="Verdana"/>
          <w:szCs w:val="20"/>
        </w:rPr>
        <w:t xml:space="preserve"> below, a</w:t>
      </w:r>
      <w:r w:rsidR="349382DE" w:rsidRPr="7B33A330">
        <w:rPr>
          <w:rFonts w:eastAsia="Verdana" w:cs="Verdana"/>
          <w:szCs w:val="20"/>
        </w:rPr>
        <w:t xml:space="preserve">ll states and territories should </w:t>
      </w:r>
      <w:r w:rsidR="0AD76290" w:rsidRPr="7B33A330">
        <w:rPr>
          <w:rFonts w:eastAsia="Verdana" w:cs="Verdana"/>
          <w:szCs w:val="20"/>
        </w:rPr>
        <w:t xml:space="preserve">immediately commit to </w:t>
      </w:r>
      <w:r w:rsidR="349382DE" w:rsidRPr="7B33A330">
        <w:rPr>
          <w:rFonts w:eastAsia="Verdana" w:cs="Verdana"/>
          <w:b/>
          <w:bCs/>
          <w:szCs w:val="20"/>
        </w:rPr>
        <w:t>implement</w:t>
      </w:r>
      <w:r w:rsidR="349382DE" w:rsidRPr="7B33A330">
        <w:rPr>
          <w:rFonts w:eastAsia="Verdana" w:cs="Verdana"/>
          <w:szCs w:val="20"/>
        </w:rPr>
        <w:t xml:space="preserve"> mandatory energy efficiency standards in rental properties by 2023</w:t>
      </w:r>
      <w:r w:rsidR="4EDA79E1" w:rsidRPr="7B33A330">
        <w:rPr>
          <w:rFonts w:eastAsia="Verdana" w:cs="Verdana"/>
          <w:szCs w:val="20"/>
        </w:rPr>
        <w:t>/24</w:t>
      </w:r>
      <w:r w:rsidR="004B00D2">
        <w:rPr>
          <w:rFonts w:eastAsia="Verdana" w:cs="Verdana"/>
          <w:szCs w:val="20"/>
        </w:rPr>
        <w:t xml:space="preserve"> and, if necessary, the Federal G</w:t>
      </w:r>
      <w:r w:rsidR="349382DE" w:rsidRPr="7B33A330">
        <w:rPr>
          <w:rFonts w:eastAsia="Verdana" w:cs="Verdana"/>
          <w:szCs w:val="20"/>
        </w:rPr>
        <w:t>overnment provide financial support to landlords to support upgrades.</w:t>
      </w:r>
    </w:p>
    <w:p w14:paraId="50464BE9" w14:textId="27AA88FD" w:rsidR="0068094C" w:rsidRDefault="00985429" w:rsidP="7B33A330">
      <w:pPr>
        <w:spacing w:line="257" w:lineRule="auto"/>
        <w:rPr>
          <w:rFonts w:eastAsia="Verdana" w:cs="Verdana"/>
          <w:szCs w:val="20"/>
        </w:rPr>
      </w:pPr>
      <w:r>
        <w:rPr>
          <w:b/>
          <w:bCs/>
          <w:color w:val="C00000"/>
        </w:rPr>
        <w:t>Recommendation 1</w:t>
      </w:r>
      <w:r w:rsidR="00427FC9">
        <w:rPr>
          <w:b/>
          <w:bCs/>
          <w:color w:val="C00000"/>
        </w:rPr>
        <w:t>8</w:t>
      </w:r>
      <w:r w:rsidR="0F4E0123" w:rsidRPr="00985429">
        <w:rPr>
          <w:b/>
          <w:bCs/>
          <w:color w:val="C00000"/>
        </w:rPr>
        <w:t>:</w:t>
      </w:r>
      <w:r w:rsidR="0068094C">
        <w:t xml:space="preserve"> </w:t>
      </w:r>
      <w:r w:rsidR="572CEAB3" w:rsidRPr="7B33A330">
        <w:rPr>
          <w:b/>
          <w:bCs/>
        </w:rPr>
        <w:t>Invest in improving the energy productivity of existing homes for people on low-incomes</w:t>
      </w:r>
      <w:r w:rsidR="5C5F5C17" w:rsidRPr="7B33A330">
        <w:rPr>
          <w:b/>
          <w:bCs/>
        </w:rPr>
        <w:t xml:space="preserve"> (NLEPP)</w:t>
      </w:r>
      <w:r w:rsidR="00A223A0">
        <w:rPr>
          <w:b/>
          <w:bCs/>
        </w:rPr>
        <w:t>, including providing</w:t>
      </w:r>
      <w:r w:rsidR="005B6388">
        <w:rPr>
          <w:b/>
          <w:bCs/>
        </w:rPr>
        <w:t>:</w:t>
      </w:r>
      <w:r w:rsidR="71F0E37A" w:rsidRPr="7B33A330">
        <w:rPr>
          <w:b/>
          <w:bCs/>
        </w:rPr>
        <w:t xml:space="preserve"> </w:t>
      </w:r>
    </w:p>
    <w:p w14:paraId="113B43D9" w14:textId="1AFC0528" w:rsidR="00A223A0" w:rsidRDefault="00E23A40" w:rsidP="0026289A">
      <w:pPr>
        <w:pStyle w:val="ListNumber"/>
        <w:numPr>
          <w:ilvl w:val="0"/>
          <w:numId w:val="0"/>
        </w:numPr>
        <w:tabs>
          <w:tab w:val="left" w:pos="851"/>
        </w:tabs>
        <w:contextualSpacing w:val="0"/>
        <w:rPr>
          <w:b/>
          <w:i/>
        </w:rPr>
      </w:pPr>
      <w:r>
        <w:rPr>
          <w:b/>
        </w:rPr>
        <w:t xml:space="preserve">(1) </w:t>
      </w:r>
      <w:r w:rsidR="00427FC9">
        <w:rPr>
          <w:b/>
        </w:rPr>
        <w:t>M</w:t>
      </w:r>
      <w:r w:rsidR="71F0E37A" w:rsidRPr="00F13F51">
        <w:rPr>
          <w:b/>
        </w:rPr>
        <w:t xml:space="preserve">atching funds with state/territory governments to invest in energy efficiency upgrades and solar PV installations for </w:t>
      </w:r>
      <w:r w:rsidR="41572453" w:rsidRPr="00F13F51">
        <w:rPr>
          <w:b/>
        </w:rPr>
        <w:t>public</w:t>
      </w:r>
      <w:r w:rsidR="71F0E37A" w:rsidRPr="00F13F51">
        <w:rPr>
          <w:b/>
        </w:rPr>
        <w:t xml:space="preserve"> </w:t>
      </w:r>
      <w:r w:rsidR="301E9895" w:rsidRPr="00F13F51">
        <w:rPr>
          <w:b/>
        </w:rPr>
        <w:t xml:space="preserve">and Indigenous </w:t>
      </w:r>
      <w:r w:rsidR="71F0E37A" w:rsidRPr="00F13F51">
        <w:rPr>
          <w:b/>
        </w:rPr>
        <w:t>housing dwellings</w:t>
      </w:r>
      <w:r w:rsidR="00A223A0" w:rsidRPr="00F13F51">
        <w:rPr>
          <w:b/>
        </w:rPr>
        <w:t xml:space="preserve"> (</w:t>
      </w:r>
      <w:r w:rsidR="4D92F54C" w:rsidRPr="00F13F51">
        <w:rPr>
          <w:b/>
          <w:i/>
        </w:rPr>
        <w:t>-$</w:t>
      </w:r>
      <w:r w:rsidR="463F35C9" w:rsidRPr="00F13F51">
        <w:rPr>
          <w:b/>
          <w:i/>
        </w:rPr>
        <w:t>151</w:t>
      </w:r>
      <w:r w:rsidR="4D92F54C" w:rsidRPr="00F13F51">
        <w:rPr>
          <w:b/>
          <w:i/>
        </w:rPr>
        <w:t xml:space="preserve"> million</w:t>
      </w:r>
      <w:r w:rsidR="00A223A0" w:rsidRPr="00F13F51">
        <w:rPr>
          <w:b/>
          <w:i/>
        </w:rPr>
        <w:t xml:space="preserve">; </w:t>
      </w:r>
      <w:r w:rsidR="4D92F54C" w:rsidRPr="00F13F51">
        <w:rPr>
          <w:b/>
          <w:i/>
        </w:rPr>
        <w:t>-$</w:t>
      </w:r>
      <w:r w:rsidR="64B38F57" w:rsidRPr="00F13F51">
        <w:rPr>
          <w:b/>
          <w:i/>
        </w:rPr>
        <w:t>226</w:t>
      </w:r>
      <w:r w:rsidR="4D92F54C" w:rsidRPr="00F13F51">
        <w:rPr>
          <w:b/>
          <w:i/>
        </w:rPr>
        <w:t xml:space="preserve"> million in 2022-23)</w:t>
      </w:r>
      <w:r w:rsidR="00F560E7">
        <w:rPr>
          <w:b/>
          <w:i/>
        </w:rPr>
        <w:t>.</w:t>
      </w:r>
      <w:r>
        <w:rPr>
          <w:b/>
          <w:i/>
        </w:rPr>
        <w:t xml:space="preserve"> </w:t>
      </w:r>
    </w:p>
    <w:p w14:paraId="616D997D" w14:textId="653D48BC" w:rsidR="00A223A0" w:rsidRPr="00F13F51" w:rsidRDefault="00E23A40" w:rsidP="0026289A">
      <w:pPr>
        <w:pStyle w:val="ListNumber"/>
        <w:numPr>
          <w:ilvl w:val="0"/>
          <w:numId w:val="0"/>
        </w:numPr>
        <w:tabs>
          <w:tab w:val="left" w:pos="851"/>
        </w:tabs>
        <w:contextualSpacing w:val="0"/>
        <w:rPr>
          <w:b/>
        </w:rPr>
      </w:pPr>
      <w:r>
        <w:rPr>
          <w:b/>
        </w:rPr>
        <w:t xml:space="preserve">(2) </w:t>
      </w:r>
      <w:r w:rsidR="00351662" w:rsidRPr="00F13F51">
        <w:rPr>
          <w:b/>
        </w:rPr>
        <w:t>Matching</w:t>
      </w:r>
      <w:r w:rsidR="5BA4FC70" w:rsidRPr="00F13F51">
        <w:rPr>
          <w:b/>
        </w:rPr>
        <w:t xml:space="preserve"> funds with state/territory governments to invest in energy efficiency upgrades and solar PV insta</w:t>
      </w:r>
      <w:r w:rsidR="00427FC9">
        <w:rPr>
          <w:b/>
        </w:rPr>
        <w:t>llations for Community Housing (</w:t>
      </w:r>
      <w:r w:rsidR="5BA4FC70" w:rsidRPr="00F13F51">
        <w:rPr>
          <w:b/>
          <w:i/>
        </w:rPr>
        <w:t>-$</w:t>
      </w:r>
      <w:r w:rsidR="4DEBDD98" w:rsidRPr="00F13F51">
        <w:rPr>
          <w:b/>
          <w:i/>
        </w:rPr>
        <w:t>92.5</w:t>
      </w:r>
      <w:r w:rsidR="5BA4FC70" w:rsidRPr="00F13F51">
        <w:rPr>
          <w:b/>
          <w:i/>
        </w:rPr>
        <w:t xml:space="preserve"> million</w:t>
      </w:r>
      <w:r w:rsidR="00A223A0" w:rsidRPr="00F13F51">
        <w:rPr>
          <w:b/>
          <w:i/>
        </w:rPr>
        <w:t xml:space="preserve">; </w:t>
      </w:r>
      <w:r w:rsidR="5BA4FC70" w:rsidRPr="00F13F51">
        <w:rPr>
          <w:b/>
          <w:i/>
        </w:rPr>
        <w:t>-$</w:t>
      </w:r>
      <w:r w:rsidR="15BC6B73" w:rsidRPr="00F13F51">
        <w:rPr>
          <w:b/>
          <w:i/>
        </w:rPr>
        <w:t>138.5</w:t>
      </w:r>
      <w:r w:rsidR="5BA4FC70" w:rsidRPr="00F13F51">
        <w:rPr>
          <w:b/>
          <w:i/>
        </w:rPr>
        <w:t xml:space="preserve"> million in 2022-23</w:t>
      </w:r>
      <w:r w:rsidR="5BA4FC70" w:rsidRPr="00F13F51">
        <w:rPr>
          <w:b/>
        </w:rPr>
        <w:t>)</w:t>
      </w:r>
      <w:r w:rsidR="00F560E7">
        <w:rPr>
          <w:b/>
        </w:rPr>
        <w:t>.</w:t>
      </w:r>
    </w:p>
    <w:p w14:paraId="186FAAD7" w14:textId="75F7A676" w:rsidR="00F560E7" w:rsidRDefault="00E23A40" w:rsidP="0026289A">
      <w:pPr>
        <w:pStyle w:val="ListNumber"/>
        <w:numPr>
          <w:ilvl w:val="0"/>
          <w:numId w:val="0"/>
        </w:numPr>
        <w:tabs>
          <w:tab w:val="left" w:pos="851"/>
        </w:tabs>
        <w:contextualSpacing w:val="0"/>
        <w:rPr>
          <w:b/>
        </w:rPr>
      </w:pPr>
      <w:r>
        <w:rPr>
          <w:b/>
        </w:rPr>
        <w:t xml:space="preserve">(3) </w:t>
      </w:r>
      <w:r w:rsidR="00351662" w:rsidRPr="00F13F51">
        <w:rPr>
          <w:b/>
        </w:rPr>
        <w:t>Funds</w:t>
      </w:r>
      <w:r w:rsidR="15295CA9" w:rsidRPr="00F13F51">
        <w:rPr>
          <w:b/>
        </w:rPr>
        <w:t xml:space="preserve"> over the next four years to implement energy efficiency upgrades and solar PV installations worth up to $5,000 on the properties of low-income homeowners </w:t>
      </w:r>
      <w:r w:rsidR="00A223A0" w:rsidRPr="00F13F51">
        <w:rPr>
          <w:b/>
        </w:rPr>
        <w:t>(</w:t>
      </w:r>
      <w:r w:rsidR="15295CA9" w:rsidRPr="00F13F51">
        <w:rPr>
          <w:b/>
          <w:i/>
        </w:rPr>
        <w:t>-$</w:t>
      </w:r>
      <w:r w:rsidR="4FBD5183" w:rsidRPr="00F13F51">
        <w:rPr>
          <w:b/>
          <w:i/>
        </w:rPr>
        <w:t>243</w:t>
      </w:r>
      <w:r w:rsidR="15295CA9" w:rsidRPr="00F13F51">
        <w:rPr>
          <w:b/>
          <w:i/>
        </w:rPr>
        <w:t xml:space="preserve"> million</w:t>
      </w:r>
      <w:r w:rsidR="00A223A0" w:rsidRPr="00F13F51">
        <w:rPr>
          <w:b/>
          <w:i/>
        </w:rPr>
        <w:t xml:space="preserve">; </w:t>
      </w:r>
      <w:r w:rsidR="15295CA9" w:rsidRPr="00F13F51">
        <w:rPr>
          <w:b/>
          <w:i/>
        </w:rPr>
        <w:t>-$</w:t>
      </w:r>
      <w:r w:rsidR="00753DA9" w:rsidRPr="00F13F51">
        <w:rPr>
          <w:b/>
          <w:i/>
        </w:rPr>
        <w:t>1,460</w:t>
      </w:r>
      <w:r w:rsidR="15295CA9" w:rsidRPr="00F13F51">
        <w:rPr>
          <w:b/>
          <w:i/>
        </w:rPr>
        <w:t xml:space="preserve"> million in 2022-23</w:t>
      </w:r>
      <w:r w:rsidR="15295CA9" w:rsidRPr="00F13F51">
        <w:rPr>
          <w:b/>
        </w:rPr>
        <w:t>)</w:t>
      </w:r>
      <w:r w:rsidR="00F560E7">
        <w:rPr>
          <w:b/>
        </w:rPr>
        <w:t>.</w:t>
      </w:r>
    </w:p>
    <w:p w14:paraId="0EE20812" w14:textId="442FACCD" w:rsidR="005B6388" w:rsidRPr="00F13F51" w:rsidRDefault="00E23A40" w:rsidP="0026289A">
      <w:pPr>
        <w:pStyle w:val="ListNumber"/>
        <w:numPr>
          <w:ilvl w:val="0"/>
          <w:numId w:val="0"/>
        </w:numPr>
        <w:tabs>
          <w:tab w:val="left" w:pos="851"/>
        </w:tabs>
        <w:contextualSpacing w:val="0"/>
        <w:rPr>
          <w:rFonts w:eastAsiaTheme="minorEastAsia"/>
          <w:b/>
          <w:bCs/>
          <w:color w:val="auto"/>
          <w:szCs w:val="20"/>
        </w:rPr>
      </w:pPr>
      <w:r>
        <w:rPr>
          <w:b/>
          <w:color w:val="auto"/>
        </w:rPr>
        <w:t xml:space="preserve">(4) </w:t>
      </w:r>
      <w:r w:rsidR="00F560E7">
        <w:rPr>
          <w:b/>
          <w:color w:val="auto"/>
        </w:rPr>
        <w:t>Funds</w:t>
      </w:r>
      <w:r w:rsidR="3803DC07" w:rsidRPr="00F560E7">
        <w:rPr>
          <w:b/>
          <w:color w:val="auto"/>
        </w:rPr>
        <w:t xml:space="preserve"> over the next four years to be managed by third party to</w:t>
      </w:r>
      <w:r w:rsidR="00427FC9">
        <w:rPr>
          <w:b/>
          <w:color w:val="auto"/>
        </w:rPr>
        <w:t xml:space="preserve">, </w:t>
      </w:r>
      <w:r w:rsidR="3803DC07" w:rsidRPr="00F13F51">
        <w:rPr>
          <w:b/>
          <w:color w:val="auto"/>
        </w:rPr>
        <w:t xml:space="preserve">provide free energy audits for rental properties built before </w:t>
      </w:r>
      <w:r w:rsidR="13B93877" w:rsidRPr="00F13F51">
        <w:rPr>
          <w:b/>
          <w:color w:val="auto"/>
        </w:rPr>
        <w:t>5-star</w:t>
      </w:r>
      <w:r w:rsidR="00427FC9">
        <w:rPr>
          <w:b/>
          <w:color w:val="auto"/>
        </w:rPr>
        <w:t xml:space="preserve"> ratings were introduced</w:t>
      </w:r>
      <w:r w:rsidR="00F560E7">
        <w:rPr>
          <w:b/>
          <w:color w:val="auto"/>
        </w:rPr>
        <w:t xml:space="preserve"> and </w:t>
      </w:r>
      <w:r w:rsidR="3803DC07" w:rsidRPr="00F560E7">
        <w:rPr>
          <w:b/>
          <w:color w:val="auto"/>
        </w:rPr>
        <w:t>up to $5,000 per dwelling to increase the energy performance of the poorest performing rental properties, prioritising properties with low-income tenants</w:t>
      </w:r>
      <w:r w:rsidR="00F560E7" w:rsidRPr="00F560E7">
        <w:rPr>
          <w:b/>
          <w:color w:val="auto"/>
        </w:rPr>
        <w:t xml:space="preserve"> (</w:t>
      </w:r>
      <w:r w:rsidR="22D4E91C" w:rsidRPr="00F560E7">
        <w:rPr>
          <w:b/>
          <w:i/>
          <w:color w:val="auto"/>
        </w:rPr>
        <w:t>-$</w:t>
      </w:r>
      <w:r w:rsidR="6B7FA600" w:rsidRPr="00F560E7">
        <w:rPr>
          <w:b/>
          <w:i/>
          <w:color w:val="auto"/>
        </w:rPr>
        <w:t>90</w:t>
      </w:r>
      <w:r w:rsidR="22D4E91C" w:rsidRPr="00F560E7">
        <w:rPr>
          <w:b/>
          <w:i/>
          <w:color w:val="auto"/>
        </w:rPr>
        <w:t xml:space="preserve"> million</w:t>
      </w:r>
      <w:r w:rsidR="00A223A0" w:rsidRPr="00F560E7">
        <w:rPr>
          <w:b/>
          <w:i/>
          <w:color w:val="auto"/>
        </w:rPr>
        <w:t>; -$</w:t>
      </w:r>
      <w:r w:rsidR="6BB51426" w:rsidRPr="00F560E7">
        <w:rPr>
          <w:b/>
          <w:i/>
          <w:color w:val="auto"/>
        </w:rPr>
        <w:t>540</w:t>
      </w:r>
      <w:r w:rsidR="22D4E91C" w:rsidRPr="00F560E7">
        <w:rPr>
          <w:b/>
          <w:i/>
          <w:color w:val="auto"/>
        </w:rPr>
        <w:t xml:space="preserve"> million in 2022-23</w:t>
      </w:r>
      <w:r w:rsidR="22D4E91C" w:rsidRPr="00F560E7">
        <w:rPr>
          <w:b/>
          <w:color w:val="auto"/>
        </w:rPr>
        <w:t>)</w:t>
      </w:r>
      <w:r w:rsidR="00F560E7" w:rsidRPr="00F560E7">
        <w:rPr>
          <w:b/>
          <w:color w:val="auto"/>
        </w:rPr>
        <w:t>.</w:t>
      </w:r>
    </w:p>
    <w:p w14:paraId="50CCF66C" w14:textId="74D1783F" w:rsidR="005B6388" w:rsidRPr="00A223A0" w:rsidRDefault="005B6388" w:rsidP="0026289A">
      <w:pPr>
        <w:pStyle w:val="Recommendation"/>
        <w:spacing w:after="160" w:line="259" w:lineRule="auto"/>
        <w:rPr>
          <w:bCs/>
          <w:i/>
        </w:rPr>
      </w:pPr>
      <w:r w:rsidRPr="00A223A0">
        <w:rPr>
          <w:rFonts w:eastAsiaTheme="minorEastAsia"/>
          <w:bCs/>
          <w:color w:val="C00000"/>
          <w:szCs w:val="20"/>
        </w:rPr>
        <w:t xml:space="preserve">Budget impact: </w:t>
      </w:r>
      <w:r w:rsidRPr="00F13F51">
        <w:rPr>
          <w:rFonts w:eastAsiaTheme="minorEastAsia"/>
          <w:bCs/>
          <w:i/>
          <w:color w:val="auto"/>
          <w:szCs w:val="20"/>
        </w:rPr>
        <w:t>-$</w:t>
      </w:r>
      <w:r>
        <w:rPr>
          <w:rFonts w:eastAsiaTheme="minorEastAsia"/>
          <w:bCs/>
          <w:i/>
          <w:color w:val="auto"/>
          <w:szCs w:val="20"/>
        </w:rPr>
        <w:t>580</w:t>
      </w:r>
      <w:r w:rsidRPr="00F13F51">
        <w:rPr>
          <w:rFonts w:eastAsiaTheme="minorEastAsia"/>
          <w:bCs/>
          <w:i/>
          <w:color w:val="auto"/>
          <w:szCs w:val="20"/>
        </w:rPr>
        <w:t xml:space="preserve"> million (-$</w:t>
      </w:r>
      <w:r>
        <w:rPr>
          <w:rFonts w:eastAsiaTheme="minorEastAsia"/>
          <w:bCs/>
          <w:i/>
          <w:color w:val="auto"/>
          <w:szCs w:val="20"/>
        </w:rPr>
        <w:t>2,360</w:t>
      </w:r>
      <w:r w:rsidRPr="00F13F51">
        <w:rPr>
          <w:rFonts w:eastAsiaTheme="minorEastAsia"/>
          <w:bCs/>
          <w:i/>
          <w:color w:val="auto"/>
          <w:szCs w:val="20"/>
        </w:rPr>
        <w:t xml:space="preserve"> million in 2022-23)</w:t>
      </w:r>
    </w:p>
    <w:p w14:paraId="01D83C08" w14:textId="54394378" w:rsidR="000B50DA" w:rsidRDefault="000B50DA" w:rsidP="000B50DA">
      <w:pPr>
        <w:pStyle w:val="ListNumber"/>
        <w:numPr>
          <w:ilvl w:val="0"/>
          <w:numId w:val="0"/>
        </w:numPr>
      </w:pPr>
    </w:p>
    <w:p w14:paraId="373EF898" w14:textId="124AE9E7" w:rsidR="0068094C" w:rsidRDefault="3FE8A1C0" w:rsidP="003520E9">
      <w:pPr>
        <w:pStyle w:val="Heading2"/>
      </w:pPr>
      <w:bookmarkStart w:id="40" w:name="_Toc63685936"/>
      <w:r>
        <w:t>Clean</w:t>
      </w:r>
      <w:r w:rsidR="3AB4B328">
        <w:t>,</w:t>
      </w:r>
      <w:r w:rsidR="08B4C8E9">
        <w:t xml:space="preserve"> </w:t>
      </w:r>
      <w:r w:rsidR="5018B48F">
        <w:t>affordable</w:t>
      </w:r>
      <w:r w:rsidR="38F39215">
        <w:t>, dependable</w:t>
      </w:r>
      <w:r w:rsidR="5018B48F">
        <w:t xml:space="preserve"> </w:t>
      </w:r>
      <w:r w:rsidR="004B00D2">
        <w:t>energy for I</w:t>
      </w:r>
      <w:r>
        <w:t>ndigenous communities</w:t>
      </w:r>
      <w:bookmarkEnd w:id="40"/>
    </w:p>
    <w:p w14:paraId="6D21832D" w14:textId="0747B1C7" w:rsidR="3FE8A1C0" w:rsidRDefault="3FE8A1C0" w:rsidP="7B33A330">
      <w:pPr>
        <w:rPr>
          <w:rFonts w:eastAsia="Verdana" w:cs="Verdana"/>
          <w:szCs w:val="20"/>
        </w:rPr>
      </w:pPr>
      <w:r w:rsidRPr="7B33A330">
        <w:rPr>
          <w:rFonts w:eastAsia="Verdana" w:cs="Verdana"/>
          <w:szCs w:val="20"/>
        </w:rPr>
        <w:t xml:space="preserve">Remote Aboriginal and Torres Strait Islander communities often have to rely on expensive carbon-intensive diesel to provide power for local people. </w:t>
      </w:r>
      <w:r w:rsidR="004B00D2">
        <w:rPr>
          <w:rFonts w:eastAsia="Verdana" w:cs="Verdana"/>
          <w:szCs w:val="20"/>
        </w:rPr>
        <w:t>The Federal G</w:t>
      </w:r>
      <w:r w:rsidR="51DF6DEF" w:rsidRPr="7B33A330">
        <w:rPr>
          <w:rFonts w:eastAsia="Verdana" w:cs="Verdana"/>
          <w:szCs w:val="20"/>
        </w:rPr>
        <w:t xml:space="preserve">overnment has jointly funded a $55 million program with </w:t>
      </w:r>
      <w:r w:rsidR="004B00D2">
        <w:rPr>
          <w:rFonts w:eastAsia="Verdana" w:cs="Verdana"/>
          <w:szCs w:val="20"/>
        </w:rPr>
        <w:t xml:space="preserve">the </w:t>
      </w:r>
      <w:r w:rsidR="51DF6DEF" w:rsidRPr="7B33A330">
        <w:rPr>
          <w:rFonts w:eastAsia="Verdana" w:cs="Verdana"/>
          <w:szCs w:val="20"/>
        </w:rPr>
        <w:t xml:space="preserve">Northern Territory Government to provide 10 megawatts of solar and battery to 28 different remote communities and </w:t>
      </w:r>
      <w:r w:rsidR="004B00D2">
        <w:rPr>
          <w:rFonts w:eastAsia="Verdana" w:cs="Verdana"/>
          <w:szCs w:val="20"/>
        </w:rPr>
        <w:t>to reduce</w:t>
      </w:r>
      <w:r w:rsidR="51DF6DEF" w:rsidRPr="7B33A330">
        <w:rPr>
          <w:rFonts w:eastAsia="Verdana" w:cs="Verdana"/>
          <w:szCs w:val="20"/>
        </w:rPr>
        <w:t xml:space="preserve"> diesel</w:t>
      </w:r>
      <w:r w:rsidR="004B00D2">
        <w:rPr>
          <w:rFonts w:eastAsia="Verdana" w:cs="Verdana"/>
          <w:szCs w:val="20"/>
        </w:rPr>
        <w:t>-use</w:t>
      </w:r>
      <w:r w:rsidR="51DF6DEF" w:rsidRPr="7B33A330">
        <w:rPr>
          <w:rFonts w:eastAsia="Verdana" w:cs="Verdana"/>
          <w:szCs w:val="20"/>
        </w:rPr>
        <w:t xml:space="preserve"> by 15%. This program needs to be scaled up and reach more communities. </w:t>
      </w:r>
    </w:p>
    <w:p w14:paraId="0A146CAB" w14:textId="7B017BE0" w:rsidR="066D5BF6" w:rsidRDefault="066D5BF6" w:rsidP="7B33A330">
      <w:pPr>
        <w:rPr>
          <w:rFonts w:eastAsia="Verdana" w:cs="Verdana"/>
          <w:szCs w:val="20"/>
        </w:rPr>
      </w:pPr>
      <w:r w:rsidRPr="7B33A330">
        <w:rPr>
          <w:rFonts w:eastAsia="Verdana" w:cs="Verdana"/>
          <w:szCs w:val="20"/>
        </w:rPr>
        <w:t>Investment in firm renewable energy and energy e</w:t>
      </w:r>
      <w:r w:rsidR="004B00D2">
        <w:rPr>
          <w:rFonts w:eastAsia="Verdana" w:cs="Verdana"/>
          <w:szCs w:val="20"/>
        </w:rPr>
        <w:t>fficiency in remote communities</w:t>
      </w:r>
      <w:r w:rsidRPr="7B33A330">
        <w:rPr>
          <w:rFonts w:eastAsia="Verdana" w:cs="Verdana"/>
          <w:szCs w:val="20"/>
        </w:rPr>
        <w:t xml:space="preserve"> would not only reduce carbon emissions, but would reduce energy bills, create jobs, and improve health and wellbeing</w:t>
      </w:r>
      <w:r w:rsidR="62939FE9" w:rsidRPr="7B33A330">
        <w:rPr>
          <w:rFonts w:eastAsia="Verdana" w:cs="Verdana"/>
          <w:szCs w:val="20"/>
        </w:rPr>
        <w:t>, contributing to a number of metrics to ‘close the gap’.</w:t>
      </w:r>
    </w:p>
    <w:p w14:paraId="0779553A" w14:textId="035B95AB" w:rsidR="0068094C" w:rsidRDefault="00985429" w:rsidP="7B33A330">
      <w:pPr>
        <w:pStyle w:val="Recommendation"/>
        <w:rPr>
          <w:color w:val="000000" w:themeColor="text1"/>
          <w:szCs w:val="20"/>
        </w:rPr>
      </w:pPr>
      <w:r>
        <w:rPr>
          <w:color w:val="C00000"/>
        </w:rPr>
        <w:t>Recommendation 1</w:t>
      </w:r>
      <w:r w:rsidR="00427FC9">
        <w:rPr>
          <w:color w:val="C00000"/>
        </w:rPr>
        <w:t>9</w:t>
      </w:r>
      <w:r>
        <w:rPr>
          <w:color w:val="C00000"/>
        </w:rPr>
        <w:t>:</w:t>
      </w:r>
      <w:r w:rsidR="0068094C">
        <w:t xml:space="preserve"> </w:t>
      </w:r>
      <w:r w:rsidR="6C2664F2" w:rsidRPr="7B33A330">
        <w:rPr>
          <w:rFonts w:eastAsia="Verdana" w:cs="Verdana"/>
          <w:color w:val="auto"/>
          <w:szCs w:val="20"/>
        </w:rPr>
        <w:t>Establish an Aboriginal and Torres Strait Islander Communities Clean Energy Fund to invest in clean energy and energy efficiency for remote communities</w:t>
      </w:r>
      <w:r w:rsidR="0068094C" w:rsidRPr="7B33A330">
        <w:rPr>
          <w:color w:val="auto"/>
          <w:szCs w:val="20"/>
        </w:rPr>
        <w:t>.</w:t>
      </w:r>
    </w:p>
    <w:p w14:paraId="238601FE" w14:textId="77777777" w:rsidR="0068094C" w:rsidRDefault="0068094C" w:rsidP="0068094C">
      <w:pPr>
        <w:pStyle w:val="Recommendation"/>
        <w:rPr>
          <w:color w:val="000000" w:themeColor="text1"/>
        </w:rPr>
      </w:pPr>
    </w:p>
    <w:p w14:paraId="28C568BF" w14:textId="24A3C0C7" w:rsidR="410C864A" w:rsidRDefault="410C864A" w:rsidP="000B50DA">
      <w:pPr>
        <w:pStyle w:val="Recommendation"/>
        <w:rPr>
          <w:bCs/>
        </w:rPr>
      </w:pPr>
      <w:r w:rsidRPr="00985429">
        <w:rPr>
          <w:color w:val="C00000"/>
        </w:rPr>
        <w:t>Budget impact:</w:t>
      </w:r>
      <w:r w:rsidRPr="00985429">
        <w:rPr>
          <w:b w:val="0"/>
          <w:color w:val="C00000"/>
        </w:rPr>
        <w:t xml:space="preserve"> </w:t>
      </w:r>
      <w:r w:rsidRPr="002B237C">
        <w:rPr>
          <w:rFonts w:eastAsiaTheme="minorEastAsia"/>
          <w:bCs/>
          <w:i/>
          <w:color w:val="000000" w:themeColor="text1"/>
          <w:szCs w:val="20"/>
        </w:rPr>
        <w:t>-$</w:t>
      </w:r>
      <w:r w:rsidR="7E51C3DA" w:rsidRPr="002B237C">
        <w:rPr>
          <w:rFonts w:eastAsiaTheme="minorEastAsia"/>
          <w:bCs/>
          <w:i/>
          <w:color w:val="000000" w:themeColor="text1"/>
          <w:szCs w:val="20"/>
        </w:rPr>
        <w:t>500</w:t>
      </w:r>
      <w:r w:rsidRPr="002B237C">
        <w:rPr>
          <w:rFonts w:eastAsiaTheme="minorEastAsia"/>
          <w:bCs/>
          <w:i/>
          <w:color w:val="000000" w:themeColor="text1"/>
          <w:szCs w:val="20"/>
        </w:rPr>
        <w:t xml:space="preserve"> million (-$</w:t>
      </w:r>
      <w:r w:rsidR="154D2392" w:rsidRPr="002B237C">
        <w:rPr>
          <w:rFonts w:eastAsiaTheme="minorEastAsia"/>
          <w:bCs/>
          <w:i/>
          <w:color w:val="000000" w:themeColor="text1"/>
          <w:szCs w:val="20"/>
        </w:rPr>
        <w:t>500</w:t>
      </w:r>
      <w:r w:rsidRPr="002B237C">
        <w:rPr>
          <w:rFonts w:eastAsiaTheme="minorEastAsia"/>
          <w:bCs/>
          <w:i/>
          <w:color w:val="000000" w:themeColor="text1"/>
          <w:szCs w:val="20"/>
        </w:rPr>
        <w:t xml:space="preserve"> million in 2022-23)</w:t>
      </w:r>
    </w:p>
    <w:p w14:paraId="670B496B" w14:textId="6465A186" w:rsidR="000B50DA" w:rsidRDefault="000B50DA" w:rsidP="000B50DA">
      <w:pPr>
        <w:pStyle w:val="ListNumber"/>
        <w:numPr>
          <w:ilvl w:val="0"/>
          <w:numId w:val="0"/>
        </w:numPr>
      </w:pPr>
    </w:p>
    <w:p w14:paraId="158381ED" w14:textId="4DC3E0A3" w:rsidR="2E9C4924" w:rsidRDefault="2E9C4924" w:rsidP="003520E9">
      <w:pPr>
        <w:pStyle w:val="Heading2"/>
      </w:pPr>
      <w:bookmarkStart w:id="41" w:name="_Toc63685937"/>
      <w:r>
        <w:lastRenderedPageBreak/>
        <w:t xml:space="preserve">Improving energy affordability for people </w:t>
      </w:r>
      <w:r w:rsidR="1944BB97">
        <w:t>experiencing disadvantage</w:t>
      </w:r>
      <w:bookmarkEnd w:id="41"/>
      <w:r>
        <w:t xml:space="preserve"> </w:t>
      </w:r>
    </w:p>
    <w:p w14:paraId="17B00350" w14:textId="1792DA89" w:rsidR="02AE8258" w:rsidRDefault="02AE8258" w:rsidP="7B33A330">
      <w:pPr>
        <w:rPr>
          <w:rFonts w:eastAsia="Verdana" w:cs="Verdana"/>
          <w:szCs w:val="20"/>
        </w:rPr>
      </w:pPr>
      <w:r w:rsidRPr="7B33A330">
        <w:rPr>
          <w:rFonts w:eastAsia="Verdana" w:cs="Verdana"/>
          <w:szCs w:val="20"/>
        </w:rPr>
        <w:t xml:space="preserve">Energy </w:t>
      </w:r>
      <w:r w:rsidR="2FA50A65" w:rsidRPr="7B33A330">
        <w:rPr>
          <w:rFonts w:eastAsia="Verdana" w:cs="Verdana"/>
          <w:szCs w:val="20"/>
        </w:rPr>
        <w:t xml:space="preserve">is critical </w:t>
      </w:r>
      <w:r w:rsidR="3E335324" w:rsidRPr="7B33A330">
        <w:rPr>
          <w:rFonts w:eastAsia="Verdana" w:cs="Verdana"/>
          <w:szCs w:val="20"/>
        </w:rPr>
        <w:t>to the health, wellbeing, economic participation and social inclusion of people.</w:t>
      </w:r>
      <w:r w:rsidR="20B4133C" w:rsidRPr="7B33A330">
        <w:rPr>
          <w:rFonts w:eastAsia="Verdana" w:cs="Verdana"/>
          <w:szCs w:val="20"/>
        </w:rPr>
        <w:t xml:space="preserve"> However, p</w:t>
      </w:r>
      <w:r w:rsidR="1B7A9236" w:rsidRPr="7B33A330">
        <w:rPr>
          <w:rFonts w:eastAsia="Verdana" w:cs="Verdana"/>
          <w:szCs w:val="20"/>
        </w:rPr>
        <w:t>eople on low incomes spend disproportionality more of their income on energy bills -</w:t>
      </w:r>
      <w:r w:rsidR="004B00D2">
        <w:rPr>
          <w:rFonts w:eastAsia="Verdana" w:cs="Verdana"/>
          <w:szCs w:val="20"/>
        </w:rPr>
        <w:t xml:space="preserve"> 6.4% compared with</w:t>
      </w:r>
      <w:r w:rsidR="1B7A9236" w:rsidRPr="7B33A330">
        <w:rPr>
          <w:rFonts w:eastAsia="Verdana" w:cs="Verdana"/>
          <w:szCs w:val="20"/>
        </w:rPr>
        <w:t xml:space="preserve"> people on high incomes who spend 1.5%</w:t>
      </w:r>
      <w:r w:rsidR="004B00D2">
        <w:rPr>
          <w:rFonts w:eastAsia="Verdana" w:cs="Verdana"/>
          <w:szCs w:val="20"/>
        </w:rPr>
        <w:t>. People on low incomes also lack choice and control over reducing</w:t>
      </w:r>
      <w:r w:rsidR="51F69DFC" w:rsidRPr="7B33A330">
        <w:rPr>
          <w:rFonts w:eastAsia="Verdana" w:cs="Verdana"/>
          <w:szCs w:val="20"/>
        </w:rPr>
        <w:t xml:space="preserve"> their bills</w:t>
      </w:r>
      <w:r w:rsidR="7D553A19" w:rsidRPr="7B33A330">
        <w:rPr>
          <w:rFonts w:eastAsia="Verdana" w:cs="Verdana"/>
          <w:szCs w:val="20"/>
        </w:rPr>
        <w:t xml:space="preserve"> </w:t>
      </w:r>
      <w:r w:rsidR="42BA4356" w:rsidRPr="7B33A330">
        <w:rPr>
          <w:rFonts w:eastAsia="Verdana" w:cs="Verdana"/>
          <w:szCs w:val="20"/>
        </w:rPr>
        <w:t>and</w:t>
      </w:r>
      <w:r w:rsidR="7D553A19" w:rsidRPr="7B33A330">
        <w:rPr>
          <w:rFonts w:eastAsia="Verdana" w:cs="Verdana"/>
          <w:szCs w:val="20"/>
        </w:rPr>
        <w:t xml:space="preserve"> avoid</w:t>
      </w:r>
      <w:r w:rsidR="004B00D2">
        <w:rPr>
          <w:rFonts w:eastAsia="Verdana" w:cs="Verdana"/>
          <w:szCs w:val="20"/>
        </w:rPr>
        <w:t>ing</w:t>
      </w:r>
      <w:r w:rsidR="7D553A19" w:rsidRPr="7B33A330">
        <w:rPr>
          <w:rFonts w:eastAsia="Verdana" w:cs="Verdana"/>
          <w:szCs w:val="20"/>
        </w:rPr>
        <w:t xml:space="preserve"> debt</w:t>
      </w:r>
      <w:r w:rsidR="230DE9D5" w:rsidRPr="7B33A330">
        <w:rPr>
          <w:rFonts w:eastAsia="Verdana" w:cs="Verdana"/>
          <w:szCs w:val="20"/>
        </w:rPr>
        <w:t xml:space="preserve">, </w:t>
      </w:r>
      <w:r w:rsidR="7D553A19" w:rsidRPr="7B33A330">
        <w:rPr>
          <w:rFonts w:eastAsia="Verdana" w:cs="Verdana"/>
          <w:szCs w:val="20"/>
        </w:rPr>
        <w:t>deprivation</w:t>
      </w:r>
      <w:r w:rsidR="0E49BA0F" w:rsidRPr="7B33A330">
        <w:rPr>
          <w:rFonts w:eastAsia="Verdana" w:cs="Verdana"/>
          <w:szCs w:val="20"/>
        </w:rPr>
        <w:t xml:space="preserve"> and disconnection.</w:t>
      </w:r>
    </w:p>
    <w:p w14:paraId="6FB5CE02" w14:textId="77D68A64" w:rsidR="00A23256" w:rsidRDefault="2C00C3DE" w:rsidP="006104B1">
      <w:pPr>
        <w:rPr>
          <w:rFonts w:eastAsia="Verdana" w:cs="Verdana"/>
          <w:szCs w:val="20"/>
        </w:rPr>
      </w:pPr>
      <w:r w:rsidRPr="7B33A330">
        <w:rPr>
          <w:rFonts w:eastAsia="Verdana" w:cs="Verdana"/>
          <w:szCs w:val="20"/>
        </w:rPr>
        <w:t xml:space="preserve">During COVID-19, multiple retailers initially saw </w:t>
      </w:r>
      <w:r w:rsidR="195F6BEE" w:rsidRPr="7B33A330">
        <w:rPr>
          <w:rFonts w:eastAsia="Verdana" w:cs="Verdana"/>
          <w:szCs w:val="20"/>
        </w:rPr>
        <w:t>an</w:t>
      </w:r>
      <w:r w:rsidRPr="7B33A330">
        <w:rPr>
          <w:rFonts w:eastAsia="Verdana" w:cs="Verdana"/>
          <w:szCs w:val="20"/>
        </w:rPr>
        <w:t xml:space="preserve"> increase in the rate of people meeting hardship payment plans that were in place prior to COVID-19, most likely due to the Coronavirus Supplement that initially doubled the rate of JobSeeker</w:t>
      </w:r>
      <w:r w:rsidR="2EB6F97B" w:rsidRPr="7B33A330">
        <w:rPr>
          <w:rFonts w:eastAsia="Verdana" w:cs="Verdana"/>
          <w:szCs w:val="20"/>
        </w:rPr>
        <w:t>. However,</w:t>
      </w:r>
      <w:r w:rsidRPr="7B33A330">
        <w:rPr>
          <w:rFonts w:eastAsia="Verdana" w:cs="Verdana"/>
          <w:szCs w:val="20"/>
        </w:rPr>
        <w:t xml:space="preserve"> overall debt </w:t>
      </w:r>
      <w:r w:rsidR="5595ECB2" w:rsidRPr="7B33A330">
        <w:rPr>
          <w:rFonts w:eastAsia="Verdana" w:cs="Verdana"/>
          <w:szCs w:val="20"/>
        </w:rPr>
        <w:t xml:space="preserve">grew in the second half of 2020 </w:t>
      </w:r>
      <w:r w:rsidRPr="7B33A330">
        <w:rPr>
          <w:rFonts w:eastAsia="Verdana" w:cs="Verdana"/>
          <w:szCs w:val="20"/>
        </w:rPr>
        <w:t>and is likely to continue to grow when the Coronavirus Supplement is cut</w:t>
      </w:r>
      <w:r w:rsidR="5290B587" w:rsidRPr="7B33A330">
        <w:rPr>
          <w:rFonts w:eastAsia="Verdana" w:cs="Verdana"/>
          <w:szCs w:val="20"/>
        </w:rPr>
        <w:t xml:space="preserve">. </w:t>
      </w:r>
    </w:p>
    <w:p w14:paraId="6C1E4516" w14:textId="1311F019" w:rsidR="006104B1" w:rsidRDefault="006104B1" w:rsidP="006104B1">
      <w:pPr>
        <w:rPr>
          <w:rFonts w:eastAsia="Verdana" w:cs="Verdana"/>
          <w:szCs w:val="20"/>
        </w:rPr>
      </w:pPr>
      <w:r>
        <w:rPr>
          <w:rFonts w:eastAsia="Verdana" w:cs="Verdana"/>
          <w:szCs w:val="20"/>
        </w:rPr>
        <w:t xml:space="preserve">Short-term emergency financial support will be needed. </w:t>
      </w:r>
      <w:r w:rsidR="00A23256" w:rsidRPr="00A23256">
        <w:rPr>
          <w:rFonts w:eastAsia="Verdana" w:cs="Verdana"/>
          <w:szCs w:val="20"/>
        </w:rPr>
        <w:t>The mechanism for delivery should be developed in consultation with consumer groups, states and territories, to ensure it is well targeted to those in need, complementary to State and Territory schemes, transparent and benefits the customer. As this will also relieve debt on the books of retailers, retailers must implement a range of measures including putting customers on a payment plan, no disconnections, making the best offer going forward, and providing energy efficiency advice. This payment does not negate the need to permanently increase the rate of JobSeeker.</w:t>
      </w:r>
    </w:p>
    <w:p w14:paraId="75F6D61E" w14:textId="0DFC745E" w:rsidR="2C00C3DE" w:rsidRDefault="006104B1" w:rsidP="7B33A330">
      <w:pPr>
        <w:rPr>
          <w:rFonts w:eastAsia="Verdana" w:cs="Verdana"/>
          <w:szCs w:val="20"/>
        </w:rPr>
      </w:pPr>
      <w:r w:rsidRPr="7B33A330">
        <w:rPr>
          <w:rFonts w:eastAsia="Verdana" w:cs="Verdana"/>
          <w:szCs w:val="20"/>
        </w:rPr>
        <w:t>COVID-19 has shone a light on the failures of the energy rules, regulations and policies, to protect people experiencing vulnerability</w:t>
      </w:r>
      <w:r>
        <w:rPr>
          <w:rFonts w:eastAsia="Verdana" w:cs="Verdana"/>
          <w:szCs w:val="20"/>
        </w:rPr>
        <w:t xml:space="preserve">, </w:t>
      </w:r>
      <w:r w:rsidR="00C9109D">
        <w:rPr>
          <w:rFonts w:eastAsia="Verdana" w:cs="Verdana"/>
          <w:szCs w:val="20"/>
        </w:rPr>
        <w:t xml:space="preserve">and has shown that </w:t>
      </w:r>
      <w:r>
        <w:rPr>
          <w:rFonts w:eastAsia="Verdana" w:cs="Verdana"/>
          <w:szCs w:val="20"/>
        </w:rPr>
        <w:t>more needs to be done to reduce energy bills.</w:t>
      </w:r>
      <w:r w:rsidRPr="7B33A330">
        <w:rPr>
          <w:rFonts w:eastAsia="Verdana" w:cs="Verdana"/>
          <w:szCs w:val="20"/>
        </w:rPr>
        <w:t xml:space="preserve"> </w:t>
      </w:r>
    </w:p>
    <w:p w14:paraId="67CF255E" w14:textId="5D755A83" w:rsidR="006104B1" w:rsidRDefault="555B9B46" w:rsidP="7B33A330">
      <w:pPr>
        <w:rPr>
          <w:rFonts w:eastAsia="Verdana" w:cs="Verdana"/>
          <w:szCs w:val="20"/>
        </w:rPr>
      </w:pPr>
      <w:r w:rsidRPr="7B33A330">
        <w:rPr>
          <w:rFonts w:eastAsia="Verdana" w:cs="Verdana"/>
          <w:szCs w:val="20"/>
        </w:rPr>
        <w:t>I</w:t>
      </w:r>
      <w:r w:rsidR="522F6CA1" w:rsidRPr="7B33A330">
        <w:rPr>
          <w:rFonts w:eastAsia="Verdana" w:cs="Verdana"/>
          <w:szCs w:val="20"/>
        </w:rPr>
        <w:t>n</w:t>
      </w:r>
      <w:r w:rsidRPr="7B33A330">
        <w:rPr>
          <w:rFonts w:eastAsia="Verdana" w:cs="Verdana"/>
          <w:szCs w:val="20"/>
        </w:rPr>
        <w:t xml:space="preserve"> </w:t>
      </w:r>
      <w:r w:rsidR="4A13D486" w:rsidRPr="7B33A330">
        <w:rPr>
          <w:rFonts w:eastAsia="Verdana" w:cs="Verdana"/>
          <w:szCs w:val="20"/>
        </w:rPr>
        <w:t>addition</w:t>
      </w:r>
      <w:r w:rsidRPr="7B33A330">
        <w:rPr>
          <w:rFonts w:eastAsia="Verdana" w:cs="Verdana"/>
          <w:szCs w:val="20"/>
        </w:rPr>
        <w:t xml:space="preserve"> to investing in energy </w:t>
      </w:r>
      <w:r w:rsidR="3511564E" w:rsidRPr="7B33A330">
        <w:rPr>
          <w:rFonts w:eastAsia="Verdana" w:cs="Verdana"/>
          <w:szCs w:val="20"/>
        </w:rPr>
        <w:t>efficiency</w:t>
      </w:r>
      <w:r w:rsidRPr="7B33A330">
        <w:rPr>
          <w:rFonts w:eastAsia="Verdana" w:cs="Verdana"/>
          <w:szCs w:val="20"/>
        </w:rPr>
        <w:t xml:space="preserve"> and distributed energy technologies for low-income </w:t>
      </w:r>
      <w:r w:rsidR="00A23256">
        <w:rPr>
          <w:rFonts w:eastAsia="Verdana" w:cs="Verdana"/>
          <w:szCs w:val="20"/>
        </w:rPr>
        <w:t>h</w:t>
      </w:r>
      <w:r w:rsidR="7B7D9CB4" w:rsidRPr="7B33A330">
        <w:rPr>
          <w:rFonts w:eastAsia="Verdana" w:cs="Verdana"/>
          <w:szCs w:val="20"/>
        </w:rPr>
        <w:t>ous</w:t>
      </w:r>
      <w:r w:rsidR="00A23256">
        <w:rPr>
          <w:rFonts w:eastAsia="Verdana" w:cs="Verdana"/>
          <w:szCs w:val="20"/>
        </w:rPr>
        <w:t>e</w:t>
      </w:r>
      <w:r w:rsidR="7B7D9CB4" w:rsidRPr="7B33A330">
        <w:rPr>
          <w:rFonts w:eastAsia="Verdana" w:cs="Verdana"/>
          <w:szCs w:val="20"/>
        </w:rPr>
        <w:t>holds</w:t>
      </w:r>
      <w:r w:rsidRPr="7B33A330">
        <w:rPr>
          <w:rFonts w:eastAsia="Verdana" w:cs="Verdana"/>
          <w:szCs w:val="20"/>
        </w:rPr>
        <w:t xml:space="preserve">, there are a number of other budgetary </w:t>
      </w:r>
      <w:r w:rsidR="1D93A18F" w:rsidRPr="7B33A330">
        <w:rPr>
          <w:rFonts w:eastAsia="Verdana" w:cs="Verdana"/>
          <w:szCs w:val="20"/>
        </w:rPr>
        <w:t>measures</w:t>
      </w:r>
      <w:r w:rsidRPr="7B33A330">
        <w:rPr>
          <w:rFonts w:eastAsia="Verdana" w:cs="Verdana"/>
          <w:szCs w:val="20"/>
        </w:rPr>
        <w:t xml:space="preserve"> the Govern</w:t>
      </w:r>
      <w:r w:rsidR="002727CB">
        <w:rPr>
          <w:rFonts w:eastAsia="Verdana" w:cs="Verdana"/>
          <w:szCs w:val="20"/>
        </w:rPr>
        <w:t>ment can take to reduce energy b</w:t>
      </w:r>
      <w:r w:rsidRPr="7B33A330">
        <w:rPr>
          <w:rFonts w:eastAsia="Verdana" w:cs="Verdana"/>
          <w:szCs w:val="20"/>
        </w:rPr>
        <w:t xml:space="preserve">ills for people on low-incomes, </w:t>
      </w:r>
      <w:r w:rsidR="0FF8699D" w:rsidRPr="7B33A330">
        <w:rPr>
          <w:rFonts w:eastAsia="Verdana" w:cs="Verdana"/>
          <w:szCs w:val="20"/>
        </w:rPr>
        <w:t>particularly</w:t>
      </w:r>
      <w:r w:rsidRPr="7B33A330">
        <w:rPr>
          <w:rFonts w:eastAsia="Verdana" w:cs="Verdana"/>
          <w:szCs w:val="20"/>
        </w:rPr>
        <w:t xml:space="preserve"> for people who </w:t>
      </w:r>
      <w:r w:rsidR="4A2EDD0B" w:rsidRPr="7B33A330">
        <w:rPr>
          <w:rFonts w:eastAsia="Verdana" w:cs="Verdana"/>
          <w:szCs w:val="20"/>
        </w:rPr>
        <w:t>experience barriers to accessing information and supports</w:t>
      </w:r>
      <w:r w:rsidR="00A23256">
        <w:rPr>
          <w:rFonts w:eastAsia="Verdana" w:cs="Verdana"/>
          <w:szCs w:val="20"/>
        </w:rPr>
        <w:t>:</w:t>
      </w:r>
      <w:r w:rsidR="63EC02DF" w:rsidRPr="7B33A330">
        <w:rPr>
          <w:rFonts w:eastAsia="Verdana" w:cs="Verdana"/>
          <w:szCs w:val="20"/>
        </w:rPr>
        <w:t xml:space="preserve"> </w:t>
      </w:r>
    </w:p>
    <w:p w14:paraId="03FCC1A6" w14:textId="2AF0CCDC" w:rsidR="00427FC9" w:rsidRDefault="006104B1" w:rsidP="00846818">
      <w:pPr>
        <w:pStyle w:val="ListParagraph"/>
        <w:numPr>
          <w:ilvl w:val="0"/>
          <w:numId w:val="49"/>
        </w:numPr>
        <w:spacing w:after="160" w:line="259" w:lineRule="auto"/>
        <w:ind w:left="714" w:hanging="357"/>
        <w:contextualSpacing w:val="0"/>
        <w:rPr>
          <w:rFonts w:eastAsia="Verdana" w:cs="Verdana"/>
        </w:rPr>
      </w:pPr>
      <w:r w:rsidRPr="00F13F51">
        <w:rPr>
          <w:rFonts w:eastAsia="Verdana" w:cs="Verdana"/>
          <w:b/>
        </w:rPr>
        <w:t xml:space="preserve">Shifting the Small-Scale </w:t>
      </w:r>
      <w:r w:rsidR="00515F9E" w:rsidRPr="00F13F51">
        <w:rPr>
          <w:rFonts w:eastAsia="Verdana" w:cs="Verdana"/>
          <w:b/>
        </w:rPr>
        <w:t>Renewable</w:t>
      </w:r>
      <w:r w:rsidR="002727CB">
        <w:rPr>
          <w:rFonts w:eastAsia="Verdana" w:cs="Verdana"/>
          <w:b/>
        </w:rPr>
        <w:t xml:space="preserve"> Energy Scheme (SRES) off</w:t>
      </w:r>
      <w:r w:rsidRPr="00F13F51">
        <w:rPr>
          <w:rFonts w:eastAsia="Verdana" w:cs="Verdana"/>
          <w:b/>
        </w:rPr>
        <w:t xml:space="preserve"> consumer energy bills on to</w:t>
      </w:r>
      <w:r w:rsidR="002727CB">
        <w:rPr>
          <w:rFonts w:eastAsia="Verdana" w:cs="Verdana"/>
          <w:b/>
        </w:rPr>
        <w:t xml:space="preserve"> the</w:t>
      </w:r>
      <w:r w:rsidRPr="00F13F51">
        <w:rPr>
          <w:rFonts w:eastAsia="Verdana" w:cs="Verdana"/>
          <w:b/>
        </w:rPr>
        <w:t xml:space="preserve"> </w:t>
      </w:r>
      <w:r w:rsidR="00A23256">
        <w:rPr>
          <w:rFonts w:eastAsia="Verdana" w:cs="Verdana"/>
          <w:b/>
        </w:rPr>
        <w:t>F</w:t>
      </w:r>
      <w:r w:rsidR="00A23256" w:rsidRPr="00F13F51">
        <w:rPr>
          <w:rFonts w:eastAsia="Verdana" w:cs="Verdana"/>
          <w:b/>
        </w:rPr>
        <w:t xml:space="preserve">ederal </w:t>
      </w:r>
      <w:r w:rsidRPr="00F13F51">
        <w:rPr>
          <w:rFonts w:eastAsia="Verdana" w:cs="Verdana"/>
          <w:b/>
        </w:rPr>
        <w:t>Government budget will reduce energy bills</w:t>
      </w:r>
      <w:r w:rsidRPr="00F13F51">
        <w:rPr>
          <w:rFonts w:eastAsia="Verdana" w:cs="Verdana"/>
        </w:rPr>
        <w:t>. The SRES, which is in place until 2030, subsidises the costs of small scale renewable energy sources such as rooftop solar and hot water heat pumps. It is currently recouped though business and household energy bills, with GST being charged on top of this. The ACCC was critical of the equity impacts of the SRES and recommended the scheme be abolished by 2021.</w:t>
      </w:r>
      <w:r w:rsidRPr="7B33A330">
        <w:rPr>
          <w:rStyle w:val="FootnoteReference"/>
          <w:rFonts w:eastAsia="Verdana" w:cs="Verdana"/>
        </w:rPr>
        <w:footnoteReference w:id="30"/>
      </w:r>
      <w:r w:rsidRPr="00F13F51">
        <w:rPr>
          <w:rFonts w:eastAsia="Verdana" w:cs="Verdana"/>
        </w:rPr>
        <w:t xml:space="preserve"> ACOSS is advocating for the SRES to instead be funded by the </w:t>
      </w:r>
      <w:r w:rsidR="00A23256">
        <w:rPr>
          <w:rFonts w:eastAsia="Verdana" w:cs="Verdana"/>
        </w:rPr>
        <w:t>F</w:t>
      </w:r>
      <w:r w:rsidR="00A23256" w:rsidRPr="00F13F51">
        <w:rPr>
          <w:rFonts w:eastAsia="Verdana" w:cs="Verdana"/>
        </w:rPr>
        <w:t xml:space="preserve">ederal </w:t>
      </w:r>
      <w:r w:rsidRPr="00F13F51">
        <w:rPr>
          <w:rFonts w:eastAsia="Verdana" w:cs="Verdana"/>
        </w:rPr>
        <w:t>Government as part of the Climate Solutions Fund, and for it to be transitioned to support only people on low incomes</w:t>
      </w:r>
      <w:r w:rsidR="00EF376A">
        <w:rPr>
          <w:rFonts w:eastAsia="Verdana" w:cs="Verdana"/>
        </w:rPr>
        <w:t xml:space="preserve"> to</w:t>
      </w:r>
      <w:r w:rsidRPr="00F13F51">
        <w:rPr>
          <w:rFonts w:eastAsia="Verdana" w:cs="Verdana"/>
        </w:rPr>
        <w:t xml:space="preserve"> access rooftop solar and hot water heat pumps.</w:t>
      </w:r>
    </w:p>
    <w:p w14:paraId="612ED00F" w14:textId="0EA133B1" w:rsidR="00A23256" w:rsidRPr="00427FC9" w:rsidRDefault="00515F9E" w:rsidP="00846818">
      <w:pPr>
        <w:pStyle w:val="ListParagraph"/>
        <w:numPr>
          <w:ilvl w:val="0"/>
          <w:numId w:val="49"/>
        </w:numPr>
        <w:spacing w:after="160" w:line="259" w:lineRule="auto"/>
        <w:ind w:left="714" w:hanging="357"/>
        <w:contextualSpacing w:val="0"/>
        <w:rPr>
          <w:rFonts w:eastAsia="Verdana" w:cs="Verdana"/>
        </w:rPr>
      </w:pPr>
      <w:r w:rsidRPr="00BD3CB4">
        <w:t xml:space="preserve">As per ACCC recommendation </w:t>
      </w:r>
      <w:r w:rsidRPr="001A22B8">
        <w:t>38 of the Retail Electricity pricing Inquiry</w:t>
      </w:r>
      <w:r>
        <w:t>,</w:t>
      </w:r>
      <w:r w:rsidRPr="001A22B8">
        <w:rPr>
          <w:rStyle w:val="FootnoteReference"/>
          <w:rFonts w:eastAsia="Verdana" w:cs="Verdana"/>
          <w:color w:val="auto"/>
        </w:rPr>
        <w:footnoteReference w:id="31"/>
      </w:r>
      <w:r w:rsidRPr="001A22B8">
        <w:t xml:space="preserve"> </w:t>
      </w:r>
      <w:r>
        <w:t xml:space="preserve"> </w:t>
      </w:r>
      <w:r w:rsidRPr="00BD3CB4">
        <w:t xml:space="preserve">the </w:t>
      </w:r>
      <w:r>
        <w:t>F</w:t>
      </w:r>
      <w:r w:rsidRPr="00BD3CB4">
        <w:t>ederal Government should contribute to a</w:t>
      </w:r>
      <w:r w:rsidRPr="7B33A330">
        <w:t xml:space="preserve"> </w:t>
      </w:r>
      <w:r w:rsidRPr="00427FC9">
        <w:rPr>
          <w:b/>
        </w:rPr>
        <w:t>grant scheme for community sector organisations to provide targeted support for vulnerable consumers to improve their energy literacy and efficiency</w:t>
      </w:r>
      <w:r w:rsidRPr="7B33A330">
        <w:t xml:space="preserve">. </w:t>
      </w:r>
    </w:p>
    <w:p w14:paraId="2E3C95C5" w14:textId="04FABF0A" w:rsidR="006104B1" w:rsidRPr="006104B1" w:rsidRDefault="63EC02DF" w:rsidP="006104B1">
      <w:r w:rsidRPr="7B33A330">
        <w:lastRenderedPageBreak/>
        <w:t>Other reforms are outlined in ACOSS report on the Health of the NEM.</w:t>
      </w:r>
      <w:r w:rsidR="555B9B46" w:rsidRPr="7B33A330">
        <w:rPr>
          <w:rStyle w:val="FootnoteReference"/>
          <w:rFonts w:eastAsia="Verdana" w:cs="Verdana"/>
          <w:szCs w:val="20"/>
        </w:rPr>
        <w:footnoteReference w:id="32"/>
      </w:r>
    </w:p>
    <w:p w14:paraId="1679AC76" w14:textId="24A5548B" w:rsidR="2BD58AD2" w:rsidRDefault="00985429" w:rsidP="7B33A330">
      <w:pPr>
        <w:pStyle w:val="Recommendation"/>
        <w:rPr>
          <w:b w:val="0"/>
          <w:color w:val="000000" w:themeColor="text1"/>
        </w:rPr>
      </w:pPr>
      <w:r>
        <w:rPr>
          <w:color w:val="C00000"/>
        </w:rPr>
        <w:t xml:space="preserve">Recommendation </w:t>
      </w:r>
      <w:r w:rsidR="00427FC9">
        <w:rPr>
          <w:color w:val="C00000"/>
        </w:rPr>
        <w:t>20</w:t>
      </w:r>
      <w:r>
        <w:rPr>
          <w:color w:val="C00000"/>
        </w:rPr>
        <w:t>:</w:t>
      </w:r>
      <w:r w:rsidR="2BD58AD2">
        <w:t xml:space="preserve"> </w:t>
      </w:r>
      <w:r w:rsidR="00A23256">
        <w:rPr>
          <w:rFonts w:eastAsia="Verdana" w:cs="Verdana"/>
          <w:color w:val="000000" w:themeColor="text1"/>
          <w:szCs w:val="20"/>
        </w:rPr>
        <w:t>P</w:t>
      </w:r>
      <w:r w:rsidR="18F41148" w:rsidRPr="7B33A330">
        <w:rPr>
          <w:rFonts w:eastAsia="Verdana" w:cs="Verdana"/>
          <w:color w:val="000000" w:themeColor="text1"/>
          <w:szCs w:val="20"/>
        </w:rPr>
        <w:t xml:space="preserve">rovide additional short-term (up to 12 months) financial support (in recognition of additional hardship bought on by COVID-19), via an emergency payment allowance to customers in hardship arrangements. </w:t>
      </w:r>
    </w:p>
    <w:p w14:paraId="257937EC" w14:textId="3BD26F21" w:rsidR="7B33A330" w:rsidRDefault="006104B1" w:rsidP="006104B1">
      <w:pPr>
        <w:pStyle w:val="Recommendation"/>
        <w:tabs>
          <w:tab w:val="clear" w:pos="567"/>
          <w:tab w:val="left" w:pos="5550"/>
        </w:tabs>
        <w:rPr>
          <w:color w:val="000000" w:themeColor="text1"/>
        </w:rPr>
      </w:pPr>
      <w:r>
        <w:rPr>
          <w:color w:val="000000" w:themeColor="text1"/>
        </w:rPr>
        <w:tab/>
      </w:r>
    </w:p>
    <w:p w14:paraId="207050EB" w14:textId="768FA3D3" w:rsidR="6B95C94C" w:rsidRDefault="00985429" w:rsidP="7B33A330">
      <w:pPr>
        <w:spacing w:line="257" w:lineRule="auto"/>
        <w:rPr>
          <w:rFonts w:eastAsia="Verdana" w:cs="Verdana"/>
          <w:szCs w:val="20"/>
        </w:rPr>
      </w:pPr>
      <w:r>
        <w:rPr>
          <w:rFonts w:eastAsia="Verdana" w:cs="Verdana"/>
          <w:b/>
          <w:bCs/>
          <w:color w:val="C00000"/>
          <w:sz w:val="19"/>
          <w:szCs w:val="19"/>
        </w:rPr>
        <w:t>Recommendation 2</w:t>
      </w:r>
      <w:r w:rsidR="00427FC9">
        <w:rPr>
          <w:rFonts w:eastAsia="Verdana" w:cs="Verdana"/>
          <w:b/>
          <w:bCs/>
          <w:color w:val="C00000"/>
          <w:sz w:val="19"/>
          <w:szCs w:val="19"/>
        </w:rPr>
        <w:t>1</w:t>
      </w:r>
      <w:r>
        <w:rPr>
          <w:rFonts w:eastAsia="Verdana" w:cs="Verdana"/>
          <w:b/>
          <w:bCs/>
          <w:color w:val="C00000"/>
          <w:sz w:val="19"/>
          <w:szCs w:val="19"/>
        </w:rPr>
        <w:t>:</w:t>
      </w:r>
      <w:r w:rsidR="744905C9">
        <w:t xml:space="preserve"> </w:t>
      </w:r>
      <w:r w:rsidR="006104B1" w:rsidRPr="7B33A330">
        <w:rPr>
          <w:rFonts w:eastAsia="Verdana" w:cs="Verdana"/>
          <w:b/>
          <w:bCs/>
          <w:szCs w:val="20"/>
        </w:rPr>
        <w:t>The Federal Government should shift the SRES, off consumer bills and onto the Federal Government budget.</w:t>
      </w:r>
    </w:p>
    <w:p w14:paraId="5EFC1CED" w14:textId="11CCA336" w:rsidR="744905C9" w:rsidRDefault="744905C9" w:rsidP="7B33A330">
      <w:pPr>
        <w:pStyle w:val="Recommendation"/>
        <w:rPr>
          <w:bCs/>
        </w:rPr>
      </w:pPr>
      <w:r w:rsidRPr="00985429">
        <w:rPr>
          <w:color w:val="C00000"/>
        </w:rPr>
        <w:t>Budget impact:</w:t>
      </w:r>
      <w:r w:rsidRPr="00985429">
        <w:rPr>
          <w:b w:val="0"/>
          <w:color w:val="C00000"/>
        </w:rPr>
        <w:t xml:space="preserve"> </w:t>
      </w:r>
      <w:r w:rsidRPr="008F4662">
        <w:rPr>
          <w:rFonts w:eastAsiaTheme="minorEastAsia"/>
          <w:bCs/>
          <w:i/>
          <w:color w:val="000000" w:themeColor="text1"/>
          <w:szCs w:val="20"/>
        </w:rPr>
        <w:t>-$</w:t>
      </w:r>
      <w:r w:rsidR="1E3BD96B" w:rsidRPr="008F4662">
        <w:rPr>
          <w:rFonts w:eastAsiaTheme="minorEastAsia"/>
          <w:bCs/>
          <w:i/>
          <w:color w:val="000000" w:themeColor="text1"/>
          <w:szCs w:val="20"/>
        </w:rPr>
        <w:t>1,535</w:t>
      </w:r>
      <w:r w:rsidRPr="008F4662">
        <w:rPr>
          <w:rFonts w:eastAsiaTheme="minorEastAsia"/>
          <w:bCs/>
          <w:i/>
          <w:color w:val="000000" w:themeColor="text1"/>
          <w:szCs w:val="20"/>
        </w:rPr>
        <w:t xml:space="preserve"> million (-$</w:t>
      </w:r>
      <w:r w:rsidR="2FF54D48" w:rsidRPr="008F4662">
        <w:rPr>
          <w:rFonts w:eastAsiaTheme="minorEastAsia"/>
          <w:bCs/>
          <w:i/>
          <w:color w:val="000000" w:themeColor="text1"/>
          <w:szCs w:val="20"/>
        </w:rPr>
        <w:t>1,481</w:t>
      </w:r>
      <w:r w:rsidRPr="008F4662">
        <w:rPr>
          <w:rFonts w:eastAsiaTheme="minorEastAsia"/>
          <w:bCs/>
          <w:i/>
          <w:color w:val="000000" w:themeColor="text1"/>
          <w:szCs w:val="20"/>
        </w:rPr>
        <w:t xml:space="preserve"> million in 2022-23)</w:t>
      </w:r>
      <w:r w:rsidRPr="00FE2905">
        <w:rPr>
          <w:rStyle w:val="FootnoteReference"/>
          <w:bCs/>
          <w:color w:val="auto"/>
        </w:rPr>
        <w:footnoteReference w:id="33"/>
      </w:r>
    </w:p>
    <w:p w14:paraId="3F1806D6" w14:textId="5C345794" w:rsidR="7B33A330" w:rsidRDefault="7B33A330" w:rsidP="7B33A330">
      <w:pPr>
        <w:pStyle w:val="Recommendation"/>
      </w:pPr>
    </w:p>
    <w:p w14:paraId="30C6C5A2" w14:textId="4E30DBD8" w:rsidR="744905C9" w:rsidRDefault="00985429" w:rsidP="7B33A330">
      <w:pPr>
        <w:pStyle w:val="Recommendation"/>
        <w:rPr>
          <w:rFonts w:eastAsia="Verdana" w:cs="Verdana"/>
          <w:b w:val="0"/>
          <w:color w:val="auto"/>
          <w:szCs w:val="20"/>
        </w:rPr>
      </w:pPr>
      <w:r w:rsidRPr="00DD2325">
        <w:rPr>
          <w:color w:val="C00000"/>
        </w:rPr>
        <w:t>Recommendation 2</w:t>
      </w:r>
      <w:r w:rsidR="00427FC9">
        <w:rPr>
          <w:color w:val="C00000"/>
        </w:rPr>
        <w:t>2</w:t>
      </w:r>
      <w:r w:rsidRPr="00DD2325">
        <w:rPr>
          <w:color w:val="C00000"/>
        </w:rPr>
        <w:t>:</w:t>
      </w:r>
      <w:r w:rsidR="744905C9">
        <w:t xml:space="preserve"> </w:t>
      </w:r>
      <w:r w:rsidR="006104B1">
        <w:rPr>
          <w:rFonts w:eastAsia="Verdana" w:cs="Verdana"/>
          <w:color w:val="auto"/>
          <w:szCs w:val="20"/>
        </w:rPr>
        <w:t>C</w:t>
      </w:r>
      <w:r w:rsidR="209541B8" w:rsidRPr="7B33A330">
        <w:rPr>
          <w:rFonts w:eastAsia="Verdana" w:cs="Verdana"/>
          <w:color w:val="auto"/>
          <w:szCs w:val="20"/>
        </w:rPr>
        <w:t>ontribute to a</w:t>
      </w:r>
      <w:r w:rsidR="0F6118C5" w:rsidRPr="7B33A330">
        <w:rPr>
          <w:rFonts w:eastAsia="Verdana" w:cs="Verdana"/>
          <w:color w:val="auto"/>
          <w:szCs w:val="20"/>
        </w:rPr>
        <w:t xml:space="preserve"> grant scheme for community </w:t>
      </w:r>
      <w:r w:rsidR="0E425D3D" w:rsidRPr="7B33A330">
        <w:rPr>
          <w:rFonts w:eastAsia="Verdana" w:cs="Verdana"/>
          <w:color w:val="auto"/>
          <w:szCs w:val="20"/>
        </w:rPr>
        <w:t xml:space="preserve">sector </w:t>
      </w:r>
      <w:r w:rsidR="00515F9E" w:rsidRPr="7B33A330">
        <w:rPr>
          <w:rFonts w:eastAsia="Verdana" w:cs="Verdana"/>
          <w:color w:val="auto"/>
          <w:szCs w:val="20"/>
        </w:rPr>
        <w:t>organisations</w:t>
      </w:r>
      <w:r w:rsidR="0F6118C5" w:rsidRPr="7B33A330">
        <w:rPr>
          <w:rFonts w:eastAsia="Verdana" w:cs="Verdana"/>
          <w:color w:val="auto"/>
          <w:szCs w:val="20"/>
        </w:rPr>
        <w:t xml:space="preserve"> to provide targeted support </w:t>
      </w:r>
      <w:r w:rsidR="1424C17F" w:rsidRPr="7B33A330">
        <w:rPr>
          <w:rFonts w:eastAsia="Verdana" w:cs="Verdana"/>
          <w:color w:val="auto"/>
          <w:szCs w:val="20"/>
        </w:rPr>
        <w:t>for</w:t>
      </w:r>
      <w:r w:rsidR="0F6118C5" w:rsidRPr="7B33A330">
        <w:rPr>
          <w:rFonts w:eastAsia="Verdana" w:cs="Verdana"/>
          <w:color w:val="auto"/>
          <w:szCs w:val="20"/>
        </w:rPr>
        <w:t xml:space="preserve"> vulnerable consumers to improve </w:t>
      </w:r>
      <w:r w:rsidR="6801DACC" w:rsidRPr="7B33A330">
        <w:rPr>
          <w:rFonts w:eastAsia="Verdana" w:cs="Verdana"/>
          <w:color w:val="auto"/>
          <w:szCs w:val="20"/>
        </w:rPr>
        <w:t xml:space="preserve">their </w:t>
      </w:r>
      <w:r w:rsidR="0F6118C5" w:rsidRPr="7B33A330">
        <w:rPr>
          <w:rFonts w:eastAsia="Verdana" w:cs="Verdana"/>
          <w:color w:val="auto"/>
          <w:szCs w:val="20"/>
        </w:rPr>
        <w:t xml:space="preserve">energy literacy and </w:t>
      </w:r>
      <w:r w:rsidR="29A80FC8" w:rsidRPr="7B33A330">
        <w:rPr>
          <w:rFonts w:eastAsia="Verdana" w:cs="Verdana"/>
          <w:color w:val="auto"/>
          <w:szCs w:val="20"/>
        </w:rPr>
        <w:t>efficiency.</w:t>
      </w:r>
      <w:r w:rsidR="3D682012" w:rsidRPr="7B33A330">
        <w:rPr>
          <w:rFonts w:eastAsia="Verdana" w:cs="Verdana"/>
          <w:color w:val="auto"/>
          <w:szCs w:val="20"/>
        </w:rPr>
        <w:t xml:space="preserve"> </w:t>
      </w:r>
    </w:p>
    <w:p w14:paraId="4D5A9111" w14:textId="7B16E1C2" w:rsidR="7B33A330" w:rsidRDefault="7B33A330" w:rsidP="7B33A330">
      <w:pPr>
        <w:pStyle w:val="Recommendation"/>
        <w:rPr>
          <w:color w:val="000000" w:themeColor="text1"/>
        </w:rPr>
      </w:pPr>
    </w:p>
    <w:p w14:paraId="47B3C9A2" w14:textId="3EEB62FD" w:rsidR="744905C9" w:rsidRDefault="744905C9" w:rsidP="7B33A330">
      <w:pPr>
        <w:pStyle w:val="Recommendation"/>
        <w:rPr>
          <w:rFonts w:eastAsiaTheme="minorEastAsia"/>
          <w:bCs/>
          <w:color w:val="000000" w:themeColor="text1"/>
          <w:szCs w:val="20"/>
        </w:rPr>
      </w:pPr>
      <w:r w:rsidRPr="00DD2325">
        <w:rPr>
          <w:color w:val="C00000"/>
        </w:rPr>
        <w:t>Budget impact:</w:t>
      </w:r>
      <w:r w:rsidRPr="00DD2325">
        <w:rPr>
          <w:b w:val="0"/>
          <w:color w:val="C00000"/>
        </w:rPr>
        <w:t xml:space="preserve"> </w:t>
      </w:r>
      <w:r w:rsidRPr="008F4662">
        <w:rPr>
          <w:rFonts w:eastAsiaTheme="minorEastAsia"/>
          <w:bCs/>
          <w:i/>
          <w:color w:val="000000" w:themeColor="text1"/>
          <w:szCs w:val="20"/>
        </w:rPr>
        <w:t>-$</w:t>
      </w:r>
      <w:r w:rsidR="16112079" w:rsidRPr="008F4662">
        <w:rPr>
          <w:rFonts w:eastAsiaTheme="minorEastAsia"/>
          <w:bCs/>
          <w:i/>
          <w:color w:val="000000" w:themeColor="text1"/>
          <w:szCs w:val="20"/>
        </w:rPr>
        <w:t>1</w:t>
      </w:r>
      <w:r w:rsidRPr="008F4662">
        <w:rPr>
          <w:rFonts w:eastAsiaTheme="minorEastAsia"/>
          <w:bCs/>
          <w:i/>
          <w:color w:val="000000" w:themeColor="text1"/>
          <w:szCs w:val="20"/>
        </w:rPr>
        <w:t xml:space="preserve"> million (-$</w:t>
      </w:r>
      <w:r w:rsidR="2545FF43" w:rsidRPr="008F4662">
        <w:rPr>
          <w:rFonts w:eastAsiaTheme="minorEastAsia"/>
          <w:bCs/>
          <w:i/>
          <w:color w:val="000000" w:themeColor="text1"/>
          <w:szCs w:val="20"/>
        </w:rPr>
        <w:t>1</w:t>
      </w:r>
      <w:r w:rsidRPr="008F4662">
        <w:rPr>
          <w:rFonts w:eastAsiaTheme="minorEastAsia"/>
          <w:bCs/>
          <w:i/>
          <w:color w:val="000000" w:themeColor="text1"/>
          <w:szCs w:val="20"/>
        </w:rPr>
        <w:t xml:space="preserve"> million in 2022-23)</w:t>
      </w:r>
    </w:p>
    <w:p w14:paraId="4C0B4AF4" w14:textId="7B16E1C2" w:rsidR="7B33A330" w:rsidRDefault="7B33A330" w:rsidP="7B33A330">
      <w:pPr>
        <w:pStyle w:val="ListNumber"/>
        <w:numPr>
          <w:ilvl w:val="0"/>
          <w:numId w:val="0"/>
        </w:numPr>
      </w:pPr>
    </w:p>
    <w:p w14:paraId="7D33E548" w14:textId="0C559E9F" w:rsidR="5A7C61CA" w:rsidRDefault="5A7C61CA" w:rsidP="003520E9">
      <w:pPr>
        <w:pStyle w:val="Heading2"/>
      </w:pPr>
      <w:bookmarkStart w:id="42" w:name="_Toc63685938"/>
      <w:r>
        <w:t>Just transition for workers and communities</w:t>
      </w:r>
      <w:bookmarkEnd w:id="42"/>
    </w:p>
    <w:p w14:paraId="6E44C700" w14:textId="1032D0C8" w:rsidR="5A7C61CA" w:rsidRDefault="5A7C61CA" w:rsidP="7B33A330">
      <w:pPr>
        <w:rPr>
          <w:rFonts w:eastAsia="Verdana" w:cs="Verdana"/>
          <w:szCs w:val="20"/>
        </w:rPr>
      </w:pPr>
      <w:r w:rsidRPr="7B33A330">
        <w:rPr>
          <w:rFonts w:eastAsia="Verdana" w:cs="Verdana"/>
          <w:szCs w:val="20"/>
        </w:rPr>
        <w:t xml:space="preserve">Some </w:t>
      </w:r>
      <w:r w:rsidR="3F4978B7" w:rsidRPr="7B33A330">
        <w:rPr>
          <w:rFonts w:eastAsia="Verdana" w:cs="Verdana"/>
          <w:szCs w:val="20"/>
        </w:rPr>
        <w:t>workers</w:t>
      </w:r>
      <w:r w:rsidRPr="7B33A330">
        <w:rPr>
          <w:rFonts w:eastAsia="Verdana" w:cs="Verdana"/>
          <w:szCs w:val="20"/>
        </w:rPr>
        <w:t xml:space="preserve"> and communities will experience negative effects from our response to climate change, such as those depending heavily on burning or extracting fossil fuels. Successful tran</w:t>
      </w:r>
      <w:r w:rsidR="00DC3B8C">
        <w:rPr>
          <w:rFonts w:eastAsia="Verdana" w:cs="Verdana"/>
          <w:szCs w:val="20"/>
        </w:rPr>
        <w:t>sition plans must be place-based</w:t>
      </w:r>
      <w:r w:rsidRPr="7B33A330">
        <w:rPr>
          <w:rFonts w:eastAsia="Verdana" w:cs="Verdana"/>
          <w:szCs w:val="20"/>
        </w:rPr>
        <w:t xml:space="preserve"> </w:t>
      </w:r>
      <w:r w:rsidR="754E93AB" w:rsidRPr="7B33A330">
        <w:rPr>
          <w:rFonts w:eastAsia="Verdana" w:cs="Verdana"/>
          <w:szCs w:val="20"/>
        </w:rPr>
        <w:t xml:space="preserve">to support worker transition </w:t>
      </w:r>
      <w:r w:rsidRPr="7B33A330">
        <w:rPr>
          <w:rFonts w:eastAsia="Verdana" w:cs="Verdana"/>
          <w:szCs w:val="20"/>
        </w:rPr>
        <w:t>and</w:t>
      </w:r>
      <w:r w:rsidR="1BDE8555" w:rsidRPr="7B33A330">
        <w:rPr>
          <w:rFonts w:eastAsia="Verdana" w:cs="Verdana"/>
          <w:szCs w:val="20"/>
        </w:rPr>
        <w:t xml:space="preserve"> </w:t>
      </w:r>
      <w:r w:rsidR="23FA1D70" w:rsidRPr="7B33A330">
        <w:rPr>
          <w:rFonts w:eastAsia="Verdana" w:cs="Verdana"/>
          <w:szCs w:val="20"/>
        </w:rPr>
        <w:t>skilled</w:t>
      </w:r>
      <w:r w:rsidR="1BDE8555" w:rsidRPr="7B33A330">
        <w:rPr>
          <w:rFonts w:eastAsia="Verdana" w:cs="Verdana"/>
          <w:szCs w:val="20"/>
        </w:rPr>
        <w:t xml:space="preserve"> </w:t>
      </w:r>
      <w:r w:rsidR="5EA13F1F" w:rsidRPr="7B33A330">
        <w:rPr>
          <w:rFonts w:eastAsia="Verdana" w:cs="Verdana"/>
          <w:szCs w:val="20"/>
        </w:rPr>
        <w:t>development</w:t>
      </w:r>
      <w:r w:rsidR="1BDE8555" w:rsidRPr="7B33A330">
        <w:rPr>
          <w:rFonts w:eastAsia="Verdana" w:cs="Verdana"/>
          <w:szCs w:val="20"/>
        </w:rPr>
        <w:t xml:space="preserve"> and </w:t>
      </w:r>
      <w:r w:rsidRPr="7B33A330">
        <w:rPr>
          <w:rFonts w:eastAsia="Verdana" w:cs="Verdana"/>
          <w:szCs w:val="20"/>
        </w:rPr>
        <w:t>develop new economic opportunities</w:t>
      </w:r>
      <w:r w:rsidR="4C4F4F84" w:rsidRPr="7B33A330">
        <w:rPr>
          <w:rFonts w:eastAsia="Verdana" w:cs="Verdana"/>
          <w:szCs w:val="20"/>
        </w:rPr>
        <w:t xml:space="preserve"> for affected communities.</w:t>
      </w:r>
    </w:p>
    <w:p w14:paraId="6B3A2192" w14:textId="22DF1928" w:rsidR="57503325" w:rsidRDefault="00985429" w:rsidP="0026289A">
      <w:pPr>
        <w:pStyle w:val="Heading3"/>
        <w:spacing w:before="0" w:after="160"/>
        <w:rPr>
          <w:rFonts w:ascii="Verdana" w:eastAsia="Verdana" w:hAnsi="Verdana" w:cs="Verdana"/>
          <w:b w:val="0"/>
          <w:color w:val="auto"/>
          <w:sz w:val="20"/>
          <w:szCs w:val="20"/>
        </w:rPr>
      </w:pPr>
      <w:bookmarkStart w:id="43" w:name="_Toc62768260"/>
      <w:bookmarkStart w:id="44" w:name="_Toc63685939"/>
      <w:r w:rsidRPr="00DD2325">
        <w:rPr>
          <w:rFonts w:ascii="Verdana" w:eastAsia="Verdana" w:hAnsi="Verdana" w:cs="Verdana"/>
          <w:bCs/>
          <w:color w:val="C00000"/>
          <w:sz w:val="19"/>
          <w:szCs w:val="19"/>
        </w:rPr>
        <w:t>Recommendation 2</w:t>
      </w:r>
      <w:r w:rsidR="00427FC9">
        <w:rPr>
          <w:rFonts w:ascii="Verdana" w:eastAsia="Verdana" w:hAnsi="Verdana" w:cs="Verdana"/>
          <w:bCs/>
          <w:color w:val="C00000"/>
          <w:sz w:val="19"/>
          <w:szCs w:val="19"/>
        </w:rPr>
        <w:t>3</w:t>
      </w:r>
      <w:r w:rsidRPr="00DD2325">
        <w:rPr>
          <w:rFonts w:ascii="Verdana" w:eastAsia="Verdana" w:hAnsi="Verdana" w:cs="Verdana"/>
          <w:bCs/>
          <w:color w:val="C00000"/>
          <w:sz w:val="19"/>
          <w:szCs w:val="19"/>
        </w:rPr>
        <w:t>:</w:t>
      </w:r>
      <w:r w:rsidR="2BD58AD2" w:rsidRPr="00985429">
        <w:rPr>
          <w:rFonts w:ascii="Verdana" w:eastAsia="Verdana" w:hAnsi="Verdana" w:cs="Verdana"/>
          <w:bCs/>
          <w:color w:val="auto"/>
          <w:sz w:val="20"/>
          <w:szCs w:val="20"/>
        </w:rPr>
        <w:t xml:space="preserve"> </w:t>
      </w:r>
      <w:r w:rsidR="38DBD997" w:rsidRPr="7B33A330">
        <w:rPr>
          <w:rFonts w:ascii="Verdana" w:eastAsia="Verdana" w:hAnsi="Verdana" w:cs="Verdana"/>
          <w:bCs/>
          <w:color w:val="auto"/>
          <w:sz w:val="20"/>
          <w:szCs w:val="20"/>
        </w:rPr>
        <w:t>Support a just transition for workers and communities</w:t>
      </w:r>
      <w:r w:rsidR="108FB5D9" w:rsidRPr="7B33A330">
        <w:rPr>
          <w:rFonts w:ascii="Verdana" w:eastAsia="Verdana" w:hAnsi="Verdana" w:cs="Verdana"/>
          <w:bCs/>
          <w:color w:val="auto"/>
          <w:sz w:val="20"/>
          <w:szCs w:val="20"/>
        </w:rPr>
        <w:t>, including</w:t>
      </w:r>
      <w:r w:rsidR="008522B4">
        <w:rPr>
          <w:rFonts w:ascii="Verdana" w:eastAsia="Verdana" w:hAnsi="Verdana" w:cs="Verdana"/>
          <w:bCs/>
          <w:color w:val="auto"/>
          <w:sz w:val="20"/>
          <w:szCs w:val="20"/>
        </w:rPr>
        <w:t xml:space="preserve"> establishing</w:t>
      </w:r>
      <w:r w:rsidR="108FB5D9" w:rsidRPr="7B33A330">
        <w:rPr>
          <w:rFonts w:ascii="Verdana" w:eastAsia="Verdana" w:hAnsi="Verdana" w:cs="Verdana"/>
          <w:b w:val="0"/>
          <w:color w:val="auto"/>
          <w:sz w:val="20"/>
          <w:szCs w:val="20"/>
        </w:rPr>
        <w:t>:</w:t>
      </w:r>
      <w:bookmarkEnd w:id="43"/>
      <w:bookmarkEnd w:id="44"/>
    </w:p>
    <w:p w14:paraId="1109911C" w14:textId="63D4E1E8" w:rsidR="005855C0" w:rsidRDefault="005855C0" w:rsidP="0026289A">
      <w:pPr>
        <w:pStyle w:val="Heading4"/>
        <w:numPr>
          <w:ilvl w:val="0"/>
          <w:numId w:val="6"/>
        </w:numPr>
        <w:tabs>
          <w:tab w:val="left" w:pos="426"/>
        </w:tabs>
        <w:spacing w:before="0" w:after="160"/>
        <w:ind w:left="0" w:firstLine="0"/>
        <w:rPr>
          <w:rFonts w:ascii="Verdana" w:eastAsia="Verdana" w:hAnsi="Verdana" w:cs="Verdana"/>
          <w:color w:val="auto"/>
          <w:sz w:val="20"/>
          <w:szCs w:val="20"/>
        </w:rPr>
      </w:pPr>
      <w:r>
        <w:rPr>
          <w:rFonts w:ascii="Verdana" w:eastAsia="Verdana" w:hAnsi="Verdana" w:cs="Verdana"/>
          <w:color w:val="auto"/>
          <w:sz w:val="20"/>
          <w:szCs w:val="20"/>
        </w:rPr>
        <w:t>A</w:t>
      </w:r>
      <w:r w:rsidR="38DBD997" w:rsidRPr="00F13F51">
        <w:rPr>
          <w:rFonts w:ascii="Verdana" w:eastAsia="Verdana" w:hAnsi="Verdana" w:cs="Verdana"/>
          <w:color w:val="auto"/>
          <w:sz w:val="20"/>
          <w:szCs w:val="20"/>
        </w:rPr>
        <w:t xml:space="preserve"> statutory authority responsible for managing the effects of the energy transition including managing coal closures, overseeing worker support, and coordinating plans for regional economic diversity</w:t>
      </w:r>
      <w:r>
        <w:rPr>
          <w:rFonts w:ascii="Verdana" w:eastAsia="Verdana" w:hAnsi="Verdana" w:cs="Verdana"/>
          <w:color w:val="auto"/>
          <w:sz w:val="20"/>
          <w:szCs w:val="20"/>
        </w:rPr>
        <w:t>.</w:t>
      </w:r>
    </w:p>
    <w:p w14:paraId="69914FD6" w14:textId="36DA2622" w:rsidR="38DBD997" w:rsidRPr="00F13F51" w:rsidRDefault="005855C0" w:rsidP="0026289A">
      <w:pPr>
        <w:pStyle w:val="Heading4"/>
        <w:numPr>
          <w:ilvl w:val="0"/>
          <w:numId w:val="6"/>
        </w:numPr>
        <w:tabs>
          <w:tab w:val="left" w:pos="426"/>
        </w:tabs>
        <w:spacing w:before="0" w:after="160"/>
        <w:ind w:left="0" w:firstLine="0"/>
        <w:rPr>
          <w:color w:val="auto"/>
          <w:sz w:val="20"/>
          <w:szCs w:val="20"/>
        </w:rPr>
      </w:pPr>
      <w:r>
        <w:rPr>
          <w:rFonts w:ascii="Verdana" w:eastAsia="Verdana" w:hAnsi="Verdana" w:cs="Verdana"/>
          <w:color w:val="auto"/>
          <w:sz w:val="20"/>
          <w:szCs w:val="20"/>
        </w:rPr>
        <w:t>A</w:t>
      </w:r>
      <w:r w:rsidR="38DBD997" w:rsidRPr="00F13F51">
        <w:rPr>
          <w:rFonts w:ascii="Verdana" w:eastAsia="Verdana" w:hAnsi="Verdana" w:cs="Verdana"/>
          <w:color w:val="auto"/>
          <w:sz w:val="20"/>
          <w:szCs w:val="20"/>
        </w:rPr>
        <w:t>n industry-wide, multi-employer pooli</w:t>
      </w:r>
      <w:r w:rsidR="00EB7BB0">
        <w:rPr>
          <w:rFonts w:ascii="Verdana" w:eastAsia="Verdana" w:hAnsi="Verdana" w:cs="Verdana"/>
          <w:color w:val="auto"/>
          <w:sz w:val="20"/>
          <w:szCs w:val="20"/>
        </w:rPr>
        <w:t>ng and redeployment scheme that</w:t>
      </w:r>
      <w:r w:rsidR="38DBD997" w:rsidRPr="00F13F51">
        <w:rPr>
          <w:rFonts w:ascii="Verdana" w:eastAsia="Verdana" w:hAnsi="Verdana" w:cs="Verdana"/>
          <w:color w:val="auto"/>
          <w:sz w:val="20"/>
          <w:szCs w:val="20"/>
        </w:rPr>
        <w:t xml:space="preserve"> provides retrenched workers with the opportunity to transfer to roles with renewable or low emission generators as well as remaining fossil fuel generators</w:t>
      </w:r>
      <w:r w:rsidR="184FBD01" w:rsidRPr="00F13F51">
        <w:rPr>
          <w:rFonts w:ascii="Verdana" w:eastAsia="Verdana" w:hAnsi="Verdana" w:cs="Verdana"/>
          <w:color w:val="auto"/>
          <w:sz w:val="20"/>
          <w:szCs w:val="20"/>
        </w:rPr>
        <w:t>.</w:t>
      </w:r>
    </w:p>
    <w:p w14:paraId="730B3168" w14:textId="00E56039" w:rsidR="2BD58AD2" w:rsidRDefault="2BD58AD2" w:rsidP="7B33A330">
      <w:pPr>
        <w:pStyle w:val="Recommendation"/>
        <w:rPr>
          <w:bCs/>
        </w:rPr>
      </w:pPr>
      <w:r w:rsidRPr="00985429">
        <w:rPr>
          <w:color w:val="C00000"/>
        </w:rPr>
        <w:t>Budget impact:</w:t>
      </w:r>
      <w:r>
        <w:rPr>
          <w:b w:val="0"/>
        </w:rPr>
        <w:t xml:space="preserve"> </w:t>
      </w:r>
      <w:r w:rsidRPr="008F4662">
        <w:rPr>
          <w:rFonts w:eastAsiaTheme="minorEastAsia"/>
          <w:bCs/>
          <w:i/>
          <w:color w:val="000000" w:themeColor="text1"/>
          <w:szCs w:val="20"/>
        </w:rPr>
        <w:t>-$</w:t>
      </w:r>
      <w:r w:rsidR="371FA782" w:rsidRPr="008F4662">
        <w:rPr>
          <w:rFonts w:eastAsiaTheme="minorEastAsia"/>
          <w:bCs/>
          <w:i/>
          <w:color w:val="000000" w:themeColor="text1"/>
          <w:szCs w:val="20"/>
        </w:rPr>
        <w:t>2</w:t>
      </w:r>
      <w:r w:rsidRPr="008F4662">
        <w:rPr>
          <w:rFonts w:eastAsiaTheme="minorEastAsia"/>
          <w:bCs/>
          <w:i/>
          <w:color w:val="000000" w:themeColor="text1"/>
          <w:szCs w:val="20"/>
        </w:rPr>
        <w:t xml:space="preserve"> million (-$</w:t>
      </w:r>
      <w:r w:rsidR="476C4130" w:rsidRPr="008F4662">
        <w:rPr>
          <w:rFonts w:eastAsiaTheme="minorEastAsia"/>
          <w:bCs/>
          <w:i/>
          <w:color w:val="000000" w:themeColor="text1"/>
          <w:szCs w:val="20"/>
        </w:rPr>
        <w:t>4</w:t>
      </w:r>
      <w:r w:rsidRPr="008F4662">
        <w:rPr>
          <w:rFonts w:eastAsiaTheme="minorEastAsia"/>
          <w:bCs/>
          <w:i/>
          <w:color w:val="000000" w:themeColor="text1"/>
          <w:szCs w:val="20"/>
        </w:rPr>
        <w:t xml:space="preserve"> million in 2022-23)</w:t>
      </w:r>
      <w:r w:rsidRPr="00FE2905">
        <w:rPr>
          <w:rStyle w:val="FootnoteReference"/>
          <w:bCs/>
          <w:color w:val="auto"/>
        </w:rPr>
        <w:footnoteReference w:id="34"/>
      </w:r>
    </w:p>
    <w:p w14:paraId="54F91B9B" w14:textId="015237CA" w:rsidR="7B33A330" w:rsidRDefault="7B33A330" w:rsidP="7B33A330">
      <w:pPr>
        <w:pStyle w:val="ListNumber"/>
        <w:numPr>
          <w:ilvl w:val="0"/>
          <w:numId w:val="0"/>
        </w:numPr>
      </w:pPr>
    </w:p>
    <w:p w14:paraId="7D3E3793" w14:textId="796577E8" w:rsidR="24A5CD17" w:rsidRDefault="24A5CD17" w:rsidP="003520E9">
      <w:pPr>
        <w:pStyle w:val="Heading2"/>
      </w:pPr>
      <w:bookmarkStart w:id="45" w:name="_Toc62768261"/>
      <w:bookmarkStart w:id="46" w:name="_Toc63685940"/>
      <w:r>
        <w:t>Empower Communities to</w:t>
      </w:r>
      <w:r w:rsidR="6159B677">
        <w:t xml:space="preserve"> build their resilience and lead </w:t>
      </w:r>
      <w:r w:rsidR="078A6497">
        <w:t xml:space="preserve">disaster </w:t>
      </w:r>
      <w:r w:rsidR="6159B677">
        <w:t>recovery efforts</w:t>
      </w:r>
      <w:bookmarkEnd w:id="45"/>
      <w:bookmarkEnd w:id="46"/>
      <w:r>
        <w:t xml:space="preserve"> </w:t>
      </w:r>
    </w:p>
    <w:p w14:paraId="4BA04729" w14:textId="4F9EB921" w:rsidR="00DD2325" w:rsidRDefault="15D195AB" w:rsidP="7B33A330">
      <w:pPr>
        <w:rPr>
          <w:rFonts w:eastAsia="Verdana" w:cs="Verdana"/>
          <w:szCs w:val="20"/>
        </w:rPr>
      </w:pPr>
      <w:r w:rsidRPr="7B33A330">
        <w:rPr>
          <w:rFonts w:eastAsia="Verdana" w:cs="Verdana"/>
          <w:szCs w:val="20"/>
          <w:lang w:val="en"/>
        </w:rPr>
        <w:t xml:space="preserve">The unprecedented 2019/20 bushfires </w:t>
      </w:r>
      <w:r w:rsidR="29FD03B6" w:rsidRPr="7B33A330">
        <w:rPr>
          <w:rFonts w:eastAsia="Verdana" w:cs="Verdana"/>
          <w:szCs w:val="20"/>
          <w:lang w:val="en"/>
        </w:rPr>
        <w:t>had significant economic, health and social impacts on thousands of people</w:t>
      </w:r>
      <w:r w:rsidRPr="7B33A330">
        <w:rPr>
          <w:rFonts w:eastAsia="Verdana" w:cs="Verdana"/>
          <w:szCs w:val="20"/>
          <w:lang w:val="en"/>
        </w:rPr>
        <w:t>. Rec</w:t>
      </w:r>
      <w:r w:rsidR="00EB7BB0">
        <w:rPr>
          <w:rFonts w:eastAsia="Verdana" w:cs="Verdana"/>
          <w:szCs w:val="20"/>
          <w:lang w:val="en"/>
        </w:rPr>
        <w:t xml:space="preserve">overy will take years for most and </w:t>
      </w:r>
      <w:r w:rsidRPr="7B33A330">
        <w:rPr>
          <w:rFonts w:eastAsia="Verdana" w:cs="Verdana"/>
          <w:szCs w:val="20"/>
          <w:lang w:val="en"/>
        </w:rPr>
        <w:t xml:space="preserve">some people may </w:t>
      </w:r>
      <w:r w:rsidRPr="7B33A330">
        <w:rPr>
          <w:rFonts w:eastAsia="Verdana" w:cs="Verdana"/>
          <w:szCs w:val="20"/>
          <w:lang w:val="en"/>
        </w:rPr>
        <w:lastRenderedPageBreak/>
        <w:t>never fully recover</w:t>
      </w:r>
      <w:r w:rsidR="36105A68" w:rsidRPr="7B33A330">
        <w:rPr>
          <w:rFonts w:eastAsia="Verdana" w:cs="Verdana"/>
          <w:szCs w:val="20"/>
          <w:lang w:val="en"/>
        </w:rPr>
        <w:t>. For some communities this was their second</w:t>
      </w:r>
      <w:r w:rsidR="19CABB94" w:rsidRPr="7B33A330">
        <w:rPr>
          <w:rFonts w:eastAsia="Verdana" w:cs="Verdana"/>
          <w:szCs w:val="20"/>
          <w:lang w:val="en"/>
        </w:rPr>
        <w:t xml:space="preserve"> or </w:t>
      </w:r>
      <w:r w:rsidR="00B97371">
        <w:rPr>
          <w:rFonts w:eastAsia="Verdana" w:cs="Verdana"/>
          <w:szCs w:val="20"/>
          <w:lang w:val="en"/>
        </w:rPr>
        <w:t xml:space="preserve">third </w:t>
      </w:r>
      <w:r w:rsidR="36105A68" w:rsidRPr="7B33A330">
        <w:rPr>
          <w:rFonts w:eastAsia="Verdana" w:cs="Verdana"/>
          <w:szCs w:val="20"/>
          <w:lang w:val="en"/>
        </w:rPr>
        <w:t>major extreme weather event</w:t>
      </w:r>
      <w:r w:rsidR="394AC227" w:rsidRPr="7B33A330">
        <w:rPr>
          <w:rFonts w:eastAsia="Verdana" w:cs="Verdana"/>
          <w:szCs w:val="20"/>
          <w:lang w:val="en"/>
        </w:rPr>
        <w:t xml:space="preserve"> in a relative short period of time.</w:t>
      </w:r>
      <w:r w:rsidRPr="7B33A330">
        <w:rPr>
          <w:rFonts w:eastAsia="Verdana" w:cs="Verdana"/>
          <w:szCs w:val="20"/>
        </w:rPr>
        <w:t xml:space="preserve"> </w:t>
      </w:r>
      <w:r w:rsidR="26C34F63" w:rsidRPr="7B33A330">
        <w:rPr>
          <w:rFonts w:eastAsia="Verdana" w:cs="Verdana"/>
          <w:szCs w:val="20"/>
        </w:rPr>
        <w:t xml:space="preserve">Scientists tells us we can expect more frequent and severe extreme weather events in the future, which will present significant challenges for many communities. Going </w:t>
      </w:r>
      <w:r w:rsidR="0CE91AC5" w:rsidRPr="7B33A330">
        <w:rPr>
          <w:rFonts w:eastAsia="Verdana" w:cs="Verdana"/>
          <w:szCs w:val="20"/>
        </w:rPr>
        <w:t>forward</w:t>
      </w:r>
      <w:r w:rsidR="4EDCDBBC" w:rsidRPr="7B33A330">
        <w:rPr>
          <w:rFonts w:eastAsia="Verdana" w:cs="Verdana"/>
          <w:szCs w:val="20"/>
        </w:rPr>
        <w:t xml:space="preserve"> </w:t>
      </w:r>
      <w:r w:rsidR="37F7870F" w:rsidRPr="7B33A330">
        <w:rPr>
          <w:rFonts w:eastAsia="Verdana" w:cs="Verdana"/>
          <w:szCs w:val="20"/>
        </w:rPr>
        <w:t>the needs and strengths of communities must be at the heart of extreme weather preparedne</w:t>
      </w:r>
      <w:r w:rsidR="00EB7BB0">
        <w:rPr>
          <w:rFonts w:eastAsia="Verdana" w:cs="Verdana"/>
          <w:szCs w:val="20"/>
        </w:rPr>
        <w:t>ss, response and recovery. All g</w:t>
      </w:r>
      <w:r w:rsidR="37F7870F" w:rsidRPr="7B33A330">
        <w:rPr>
          <w:rFonts w:eastAsia="Verdana" w:cs="Verdana"/>
          <w:szCs w:val="20"/>
        </w:rPr>
        <w:t xml:space="preserve">overnment initiatives must </w:t>
      </w:r>
      <w:r w:rsidR="006104B1">
        <w:rPr>
          <w:rFonts w:eastAsia="Verdana" w:cs="Verdana"/>
          <w:szCs w:val="20"/>
        </w:rPr>
        <w:t xml:space="preserve">support and </w:t>
      </w:r>
      <w:r w:rsidR="37F7870F" w:rsidRPr="7B33A330">
        <w:rPr>
          <w:rFonts w:eastAsia="Verdana" w:cs="Verdana"/>
          <w:szCs w:val="20"/>
        </w:rPr>
        <w:t xml:space="preserve">empower communities to build their resilience and recovery efforts on their terms. </w:t>
      </w:r>
    </w:p>
    <w:p w14:paraId="5A5C53E5" w14:textId="5ED6CC58" w:rsidR="15D195AB" w:rsidRDefault="37F7870F" w:rsidP="7B33A330">
      <w:pPr>
        <w:rPr>
          <w:szCs w:val="20"/>
        </w:rPr>
      </w:pPr>
      <w:r w:rsidRPr="7B33A330">
        <w:rPr>
          <w:rFonts w:eastAsia="Verdana" w:cs="Verdana"/>
          <w:szCs w:val="20"/>
        </w:rPr>
        <w:t>Genuine community partnership, including with Aboriginal and Torres Strait Islander people, communities and organisations, is essential to improve the nation’s future preparedness, responsiveness and recovery efforts.</w:t>
      </w:r>
    </w:p>
    <w:p w14:paraId="7DC67F64" w14:textId="77777777" w:rsidR="0026289A" w:rsidRDefault="00985429" w:rsidP="0026289A">
      <w:pPr>
        <w:pStyle w:val="Recommendation"/>
        <w:rPr>
          <w:color w:val="auto"/>
        </w:rPr>
      </w:pPr>
      <w:r>
        <w:rPr>
          <w:color w:val="C00000"/>
        </w:rPr>
        <w:t>Recommendation 2</w:t>
      </w:r>
      <w:r w:rsidR="001E064B">
        <w:rPr>
          <w:color w:val="C00000"/>
        </w:rPr>
        <w:t>4</w:t>
      </w:r>
      <w:r>
        <w:rPr>
          <w:color w:val="C00000"/>
        </w:rPr>
        <w:t>:</w:t>
      </w:r>
      <w:r w:rsidR="008522B4">
        <w:rPr>
          <w:b w:val="0"/>
        </w:rPr>
        <w:t xml:space="preserve"> </w:t>
      </w:r>
      <w:r w:rsidR="008522B4" w:rsidRPr="00F13F51">
        <w:rPr>
          <w:color w:val="auto"/>
        </w:rPr>
        <w:t>Support and empower communities to build their resilience and lead disaster recovery efforts, including by:</w:t>
      </w:r>
    </w:p>
    <w:p w14:paraId="28030528" w14:textId="77777777" w:rsidR="0026289A" w:rsidRDefault="0026289A" w:rsidP="0026289A">
      <w:pPr>
        <w:pStyle w:val="Recommendation"/>
        <w:rPr>
          <w:color w:val="auto"/>
        </w:rPr>
      </w:pPr>
    </w:p>
    <w:p w14:paraId="1C3346E7" w14:textId="73058C21" w:rsidR="001E064B" w:rsidRDefault="0026289A" w:rsidP="0026289A">
      <w:pPr>
        <w:pStyle w:val="Recommendation"/>
        <w:spacing w:after="160" w:line="259" w:lineRule="auto"/>
        <w:rPr>
          <w:rFonts w:eastAsia="Verdana" w:cs="Verdana"/>
          <w:color w:val="000000" w:themeColor="text1"/>
          <w:szCs w:val="20"/>
        </w:rPr>
      </w:pPr>
      <w:r>
        <w:rPr>
          <w:rFonts w:eastAsia="Verdana" w:cs="Verdana"/>
          <w:color w:val="auto"/>
          <w:szCs w:val="20"/>
        </w:rPr>
        <w:t xml:space="preserve">(1) </w:t>
      </w:r>
      <w:r w:rsidR="7385155F" w:rsidRPr="00F13F51">
        <w:rPr>
          <w:rFonts w:eastAsia="Verdana" w:cs="Verdana"/>
          <w:color w:val="auto"/>
          <w:szCs w:val="20"/>
        </w:rPr>
        <w:t>Establish</w:t>
      </w:r>
      <w:r w:rsidR="008522B4">
        <w:rPr>
          <w:rFonts w:eastAsia="Verdana" w:cs="Verdana"/>
          <w:color w:val="auto"/>
          <w:szCs w:val="20"/>
        </w:rPr>
        <w:t>ing</w:t>
      </w:r>
      <w:r w:rsidR="7385155F" w:rsidRPr="00F13F51">
        <w:rPr>
          <w:rFonts w:eastAsia="Verdana" w:cs="Verdana"/>
          <w:color w:val="auto"/>
          <w:szCs w:val="20"/>
        </w:rPr>
        <w:t xml:space="preserve"> a formal disaster management mechanism </w:t>
      </w:r>
      <w:r w:rsidR="7385155F" w:rsidRPr="00E104F0">
        <w:rPr>
          <w:rFonts w:eastAsia="Verdana" w:cs="Verdana"/>
          <w:color w:val="000000" w:themeColor="text1"/>
          <w:szCs w:val="20"/>
        </w:rPr>
        <w:t>that has a whole-of-community approach to, and responsibility for, planning, resilience, response and recovery</w:t>
      </w:r>
      <w:r w:rsidR="7058E6BA" w:rsidRPr="00E104F0">
        <w:rPr>
          <w:rFonts w:eastAsia="Verdana" w:cs="Verdana"/>
          <w:color w:val="000000" w:themeColor="text1"/>
          <w:szCs w:val="20"/>
        </w:rPr>
        <w:t xml:space="preserve">. </w:t>
      </w:r>
      <w:r w:rsidR="7058E6BA" w:rsidRPr="00F13F51">
        <w:rPr>
          <w:rFonts w:eastAsia="Verdana" w:cs="Verdana"/>
          <w:color w:val="000000" w:themeColor="text1"/>
          <w:szCs w:val="20"/>
        </w:rPr>
        <w:t xml:space="preserve">The </w:t>
      </w:r>
      <w:r w:rsidR="69F25056" w:rsidRPr="00F13F51">
        <w:rPr>
          <w:rFonts w:eastAsia="Verdana" w:cs="Verdana"/>
          <w:color w:val="000000" w:themeColor="text1"/>
          <w:szCs w:val="20"/>
        </w:rPr>
        <w:t>mechanism</w:t>
      </w:r>
      <w:r w:rsidR="7058E6BA" w:rsidRPr="00F13F51">
        <w:rPr>
          <w:rFonts w:eastAsia="Verdana" w:cs="Verdana"/>
          <w:color w:val="000000" w:themeColor="text1"/>
          <w:szCs w:val="20"/>
        </w:rPr>
        <w:t xml:space="preserve"> should </w:t>
      </w:r>
      <w:r w:rsidR="7385155F" w:rsidRPr="00F13F51">
        <w:rPr>
          <w:rFonts w:eastAsia="Verdana" w:cs="Verdana"/>
          <w:color w:val="000000" w:themeColor="text1"/>
          <w:szCs w:val="20"/>
        </w:rPr>
        <w:t>include Commonwealth, state and local governments, Aboriginal and Torres Strait Islander Land Management Councils and community leaders, businesses, community sector organisations, and members of the community</w:t>
      </w:r>
      <w:r w:rsidR="43298403" w:rsidRPr="00F13F51">
        <w:rPr>
          <w:rFonts w:eastAsia="Verdana" w:cs="Verdana"/>
          <w:color w:val="000000" w:themeColor="text1"/>
          <w:szCs w:val="20"/>
        </w:rPr>
        <w:t>.</w:t>
      </w:r>
    </w:p>
    <w:p w14:paraId="09E0A14B" w14:textId="44CD0E73" w:rsidR="28A56EA2" w:rsidRPr="001E064B" w:rsidRDefault="0026289A" w:rsidP="0026289A">
      <w:pPr>
        <w:pStyle w:val="Recommendation"/>
        <w:spacing w:after="160" w:line="259" w:lineRule="auto"/>
        <w:rPr>
          <w:rFonts w:eastAsia="Verdana" w:cs="Verdana"/>
          <w:color w:val="000000" w:themeColor="text1"/>
          <w:szCs w:val="20"/>
        </w:rPr>
      </w:pPr>
      <w:r>
        <w:rPr>
          <w:rFonts w:eastAsia="Verdana" w:cs="Verdana"/>
          <w:bCs/>
          <w:color w:val="000000" w:themeColor="text1"/>
          <w:szCs w:val="20"/>
        </w:rPr>
        <w:t xml:space="preserve">(2) </w:t>
      </w:r>
      <w:r w:rsidR="008522B4" w:rsidRPr="001E064B">
        <w:rPr>
          <w:rFonts w:eastAsia="Verdana" w:cs="Verdana"/>
          <w:bCs/>
          <w:color w:val="000000" w:themeColor="text1"/>
          <w:szCs w:val="20"/>
        </w:rPr>
        <w:t xml:space="preserve">Funding </w:t>
      </w:r>
      <w:r w:rsidR="166BD6A0" w:rsidRPr="001E064B">
        <w:rPr>
          <w:rFonts w:eastAsia="Verdana" w:cs="Verdana"/>
          <w:bCs/>
          <w:color w:val="000000" w:themeColor="text1"/>
          <w:szCs w:val="20"/>
        </w:rPr>
        <w:t>local councils to form local community resilience committees</w:t>
      </w:r>
      <w:r w:rsidR="166BD6A0" w:rsidRPr="001E064B">
        <w:rPr>
          <w:rFonts w:eastAsia="Verdana" w:cs="Verdana"/>
          <w:color w:val="000000" w:themeColor="text1"/>
          <w:szCs w:val="20"/>
        </w:rPr>
        <w:t xml:space="preserve"> </w:t>
      </w:r>
      <w:r w:rsidR="35B4377F" w:rsidRPr="001E064B">
        <w:rPr>
          <w:rFonts w:eastAsia="Verdana" w:cs="Verdana"/>
          <w:color w:val="000000" w:themeColor="text1"/>
          <w:szCs w:val="20"/>
        </w:rPr>
        <w:t>to support development and implementation of resilience plans</w:t>
      </w:r>
      <w:r w:rsidR="0541AB9E" w:rsidRPr="001E064B">
        <w:rPr>
          <w:rFonts w:eastAsia="Verdana" w:cs="Verdana"/>
          <w:color w:val="000000" w:themeColor="text1"/>
          <w:szCs w:val="20"/>
        </w:rPr>
        <w:t xml:space="preserve"> </w:t>
      </w:r>
      <w:r w:rsidR="166BD6A0" w:rsidRPr="001E064B">
        <w:rPr>
          <w:rFonts w:eastAsia="Verdana" w:cs="Verdana"/>
          <w:color w:val="000000" w:themeColor="text1"/>
          <w:szCs w:val="20"/>
        </w:rPr>
        <w:t>to promote collaboration and joint planning between government, community organisations, community groups and local businesses. These committees could be subcommittees of relevant Commonwealth and state emergency management committees</w:t>
      </w:r>
      <w:r w:rsidR="166BD6A0" w:rsidRPr="001E064B">
        <w:rPr>
          <w:color w:val="000000" w:themeColor="text1"/>
          <w:szCs w:val="20"/>
        </w:rPr>
        <w:t>.</w:t>
      </w:r>
      <w:r w:rsidR="16541383" w:rsidRPr="001E064B">
        <w:rPr>
          <w:color w:val="000000" w:themeColor="text1"/>
          <w:szCs w:val="20"/>
        </w:rPr>
        <w:t xml:space="preserve"> Propose F</w:t>
      </w:r>
      <w:r w:rsidR="00EB7BB0">
        <w:rPr>
          <w:color w:val="000000" w:themeColor="text1"/>
          <w:szCs w:val="20"/>
        </w:rPr>
        <w:t>ederal Government co-fund with s</w:t>
      </w:r>
      <w:r w:rsidR="16541383" w:rsidRPr="001E064B">
        <w:rPr>
          <w:color w:val="000000" w:themeColor="text1"/>
          <w:szCs w:val="20"/>
        </w:rPr>
        <w:t xml:space="preserve">tates </w:t>
      </w:r>
      <w:r w:rsidR="00EB7BB0">
        <w:rPr>
          <w:color w:val="auto"/>
          <w:szCs w:val="20"/>
        </w:rPr>
        <w:t>and t</w:t>
      </w:r>
      <w:r w:rsidR="001E064B">
        <w:rPr>
          <w:color w:val="auto"/>
          <w:szCs w:val="20"/>
        </w:rPr>
        <w:t xml:space="preserve">erritories </w:t>
      </w:r>
      <w:r w:rsidR="008522B4" w:rsidRPr="001E064B">
        <w:rPr>
          <w:color w:val="auto"/>
        </w:rPr>
        <w:t>(</w:t>
      </w:r>
      <w:r w:rsidR="4D44F8E5" w:rsidRPr="001E064B">
        <w:rPr>
          <w:color w:val="auto"/>
        </w:rPr>
        <w:t>-</w:t>
      </w:r>
      <w:r w:rsidR="4633E08C" w:rsidRPr="001E064B">
        <w:rPr>
          <w:rFonts w:eastAsia="Verdana" w:cs="Verdana"/>
          <w:bCs/>
          <w:i/>
          <w:iCs/>
          <w:color w:val="auto"/>
          <w:sz w:val="19"/>
          <w:szCs w:val="19"/>
        </w:rPr>
        <w:t>$53 million</w:t>
      </w:r>
      <w:r w:rsidR="008522B4" w:rsidRPr="001E064B">
        <w:rPr>
          <w:rFonts w:eastAsia="Verdana" w:cs="Verdana"/>
          <w:bCs/>
          <w:i/>
          <w:iCs/>
          <w:color w:val="auto"/>
          <w:sz w:val="19"/>
          <w:szCs w:val="19"/>
        </w:rPr>
        <w:t xml:space="preserve">; </w:t>
      </w:r>
      <w:r w:rsidR="134CBF55" w:rsidRPr="001E064B">
        <w:rPr>
          <w:rFonts w:eastAsia="Verdana" w:cs="Verdana"/>
          <w:bCs/>
          <w:i/>
          <w:iCs/>
          <w:color w:val="auto"/>
          <w:sz w:val="19"/>
          <w:szCs w:val="19"/>
        </w:rPr>
        <w:t>-$</w:t>
      </w:r>
      <w:r w:rsidR="1E153CFF" w:rsidRPr="001E064B">
        <w:rPr>
          <w:rFonts w:eastAsia="Verdana" w:cs="Verdana"/>
          <w:bCs/>
          <w:i/>
          <w:iCs/>
          <w:color w:val="auto"/>
          <w:sz w:val="19"/>
          <w:szCs w:val="19"/>
        </w:rPr>
        <w:t>55 million in 2022-23</w:t>
      </w:r>
      <w:r w:rsidR="7E45E036" w:rsidRPr="001E064B">
        <w:rPr>
          <w:rFonts w:eastAsia="Verdana" w:cs="Verdana"/>
          <w:bCs/>
          <w:iCs/>
          <w:color w:val="auto"/>
          <w:sz w:val="19"/>
          <w:szCs w:val="19"/>
        </w:rPr>
        <w:t>)</w:t>
      </w:r>
      <w:r w:rsidR="001E064B">
        <w:rPr>
          <w:rFonts w:eastAsia="Verdana" w:cs="Verdana"/>
          <w:bCs/>
          <w:iCs/>
          <w:color w:val="auto"/>
          <w:sz w:val="19"/>
          <w:szCs w:val="19"/>
        </w:rPr>
        <w:t>.</w:t>
      </w:r>
      <w:r w:rsidR="28A56EA2" w:rsidRPr="00F13F51">
        <w:rPr>
          <w:rStyle w:val="FootnoteReference"/>
          <w:rFonts w:eastAsia="Verdana" w:cs="Verdana"/>
          <w:b w:val="0"/>
          <w:bCs/>
          <w:iCs/>
          <w:color w:val="auto"/>
          <w:sz w:val="19"/>
          <w:szCs w:val="19"/>
        </w:rPr>
        <w:footnoteReference w:id="35"/>
      </w:r>
    </w:p>
    <w:p w14:paraId="0492A23A" w14:textId="5DDFE763" w:rsidR="7B33A330" w:rsidRPr="001E064B" w:rsidRDefault="0026289A" w:rsidP="0026289A">
      <w:pPr>
        <w:pStyle w:val="ListNumber"/>
        <w:numPr>
          <w:ilvl w:val="0"/>
          <w:numId w:val="0"/>
        </w:numPr>
        <w:tabs>
          <w:tab w:val="left" w:pos="567"/>
          <w:tab w:val="left" w:pos="851"/>
        </w:tabs>
        <w:contextualSpacing w:val="0"/>
        <w:rPr>
          <w:rFonts w:eastAsia="Verdana" w:cs="Verdana"/>
          <w:b/>
          <w:color w:val="auto"/>
          <w:szCs w:val="20"/>
        </w:rPr>
      </w:pPr>
      <w:r>
        <w:rPr>
          <w:rFonts w:eastAsia="Verdana" w:cs="Verdana"/>
          <w:b/>
          <w:bCs/>
          <w:color w:val="auto"/>
          <w:sz w:val="19"/>
          <w:szCs w:val="19"/>
        </w:rPr>
        <w:t xml:space="preserve">(3) </w:t>
      </w:r>
      <w:r w:rsidR="008522B4" w:rsidRPr="00F13F51">
        <w:rPr>
          <w:rFonts w:eastAsia="Verdana" w:cs="Verdana"/>
          <w:b/>
          <w:bCs/>
          <w:color w:val="auto"/>
          <w:sz w:val="19"/>
          <w:szCs w:val="19"/>
        </w:rPr>
        <w:t>Creating and funding</w:t>
      </w:r>
      <w:r w:rsidR="09E0A5B8" w:rsidRPr="00F13F51">
        <w:rPr>
          <w:rFonts w:eastAsia="Verdana" w:cs="Verdana"/>
          <w:b/>
          <w:bCs/>
          <w:color w:val="auto"/>
          <w:szCs w:val="20"/>
        </w:rPr>
        <w:t xml:space="preserve"> local Community Resilience Hubs that are community-led, engage in building community resilience and assist the community in planning, response and recovery</w:t>
      </w:r>
      <w:r w:rsidR="001E064B">
        <w:rPr>
          <w:rFonts w:eastAsia="Verdana" w:cs="Verdana"/>
          <w:b/>
          <w:bCs/>
          <w:color w:val="auto"/>
          <w:szCs w:val="20"/>
        </w:rPr>
        <w:t xml:space="preserve"> (-$</w:t>
      </w:r>
      <w:r w:rsidR="48AA0DD6" w:rsidRPr="00F13F51">
        <w:rPr>
          <w:rFonts w:eastAsia="Verdana" w:cs="Verdana"/>
          <w:b/>
          <w:bCs/>
          <w:i/>
          <w:iCs/>
          <w:color w:val="auto"/>
          <w:sz w:val="19"/>
          <w:szCs w:val="19"/>
        </w:rPr>
        <w:t>270 mi</w:t>
      </w:r>
      <w:r w:rsidR="006104B1" w:rsidRPr="00F13F51">
        <w:rPr>
          <w:rFonts w:eastAsia="Verdana" w:cs="Verdana"/>
          <w:b/>
          <w:bCs/>
          <w:i/>
          <w:iCs/>
          <w:color w:val="auto"/>
          <w:sz w:val="19"/>
          <w:szCs w:val="19"/>
        </w:rPr>
        <w:t>llion</w:t>
      </w:r>
      <w:r w:rsidR="008522B4" w:rsidRPr="00F13F51">
        <w:rPr>
          <w:rFonts w:eastAsia="Verdana" w:cs="Verdana"/>
          <w:b/>
          <w:bCs/>
          <w:i/>
          <w:iCs/>
          <w:color w:val="auto"/>
          <w:sz w:val="19"/>
          <w:szCs w:val="19"/>
        </w:rPr>
        <w:t xml:space="preserve">; </w:t>
      </w:r>
      <w:r w:rsidR="006104B1" w:rsidRPr="00F13F51">
        <w:rPr>
          <w:rFonts w:eastAsia="Verdana" w:cs="Verdana"/>
          <w:b/>
          <w:bCs/>
          <w:i/>
          <w:iCs/>
          <w:color w:val="auto"/>
          <w:sz w:val="19"/>
          <w:szCs w:val="19"/>
        </w:rPr>
        <w:t>-$</w:t>
      </w:r>
      <w:r w:rsidR="48AA0DD6" w:rsidRPr="00F13F51">
        <w:rPr>
          <w:rFonts w:eastAsia="Verdana" w:cs="Verdana"/>
          <w:b/>
          <w:bCs/>
          <w:i/>
          <w:iCs/>
          <w:color w:val="auto"/>
          <w:sz w:val="19"/>
          <w:szCs w:val="19"/>
        </w:rPr>
        <w:t>295 million in 2022-23</w:t>
      </w:r>
      <w:r w:rsidR="48AA0DD6" w:rsidRPr="00F13F51">
        <w:rPr>
          <w:rFonts w:eastAsia="Verdana" w:cs="Verdana"/>
          <w:b/>
          <w:bCs/>
          <w:iCs/>
          <w:color w:val="auto"/>
          <w:sz w:val="19"/>
          <w:szCs w:val="19"/>
        </w:rPr>
        <w:t>)</w:t>
      </w:r>
      <w:r w:rsidR="09E0A5B8" w:rsidRPr="00F13F51">
        <w:rPr>
          <w:rStyle w:val="FootnoteReference"/>
          <w:rFonts w:eastAsia="Verdana" w:cs="Verdana"/>
          <w:b/>
          <w:bCs/>
          <w:iCs/>
          <w:color w:val="auto"/>
          <w:sz w:val="19"/>
          <w:szCs w:val="19"/>
        </w:rPr>
        <w:footnoteReference w:id="36"/>
      </w:r>
    </w:p>
    <w:p w14:paraId="2EBF3942" w14:textId="24F44781" w:rsidR="642DA37B" w:rsidRPr="001E064B" w:rsidRDefault="0026289A" w:rsidP="0026289A">
      <w:pPr>
        <w:pStyle w:val="ListNumber"/>
        <w:numPr>
          <w:ilvl w:val="0"/>
          <w:numId w:val="0"/>
        </w:numPr>
        <w:tabs>
          <w:tab w:val="left" w:pos="567"/>
          <w:tab w:val="left" w:pos="851"/>
        </w:tabs>
        <w:contextualSpacing w:val="0"/>
        <w:rPr>
          <w:i/>
          <w:szCs w:val="20"/>
        </w:rPr>
      </w:pPr>
      <w:r>
        <w:rPr>
          <w:rFonts w:eastAsia="Verdana" w:cs="Verdana"/>
          <w:b/>
          <w:szCs w:val="20"/>
        </w:rPr>
        <w:t xml:space="preserve">(4) </w:t>
      </w:r>
      <w:r w:rsidR="008522B4" w:rsidRPr="00F13F51">
        <w:rPr>
          <w:rFonts w:eastAsia="Verdana" w:cs="Verdana"/>
          <w:b/>
          <w:szCs w:val="20"/>
        </w:rPr>
        <w:t>Supporting</w:t>
      </w:r>
      <w:r w:rsidR="642DA37B" w:rsidRPr="00F13F51">
        <w:rPr>
          <w:rFonts w:eastAsia="Verdana" w:cs="Verdana"/>
          <w:b/>
          <w:szCs w:val="20"/>
        </w:rPr>
        <w:t xml:space="preserve"> the development of an online tool that includes a social vulnerability index (such as the Australian</w:t>
      </w:r>
      <w:r w:rsidR="642DA37B" w:rsidRPr="00F13F51">
        <w:rPr>
          <w:b/>
          <w:bCs/>
          <w:color w:val="auto"/>
        </w:rPr>
        <w:t xml:space="preserve"> Natural </w:t>
      </w:r>
      <w:r w:rsidR="642DA37B" w:rsidRPr="00F13F51">
        <w:rPr>
          <w:rFonts w:eastAsia="Verdana" w:cs="Verdana"/>
          <w:b/>
          <w:szCs w:val="20"/>
        </w:rPr>
        <w:t xml:space="preserve">Disaster Resilience Index) and online mapping feature to help identify where communities may need additional support to build resilience, prepare, respond and recover from disasters </w:t>
      </w:r>
      <w:r w:rsidR="008522B4" w:rsidRPr="00F13F51">
        <w:rPr>
          <w:rFonts w:eastAsia="Verdana" w:cs="Verdana"/>
          <w:b/>
          <w:szCs w:val="20"/>
        </w:rPr>
        <w:t>(</w:t>
      </w:r>
      <w:r w:rsidR="642DA37B" w:rsidRPr="00F13F51">
        <w:rPr>
          <w:rFonts w:eastAsia="Verdana" w:cs="Verdana"/>
          <w:b/>
          <w:i/>
          <w:szCs w:val="20"/>
        </w:rPr>
        <w:t>-</w:t>
      </w:r>
      <w:r w:rsidR="006104B1" w:rsidRPr="00F13F51">
        <w:rPr>
          <w:rFonts w:eastAsia="Verdana" w:cs="Verdana"/>
          <w:b/>
          <w:i/>
          <w:szCs w:val="20"/>
        </w:rPr>
        <w:t>$1</w:t>
      </w:r>
      <w:r w:rsidR="642DA37B" w:rsidRPr="00F13F51">
        <w:rPr>
          <w:rFonts w:eastAsia="Verdana" w:cs="Verdana"/>
          <w:b/>
          <w:i/>
          <w:szCs w:val="20"/>
        </w:rPr>
        <w:t xml:space="preserve"> million</w:t>
      </w:r>
      <w:r w:rsidR="008522B4" w:rsidRPr="00F13F51">
        <w:rPr>
          <w:rFonts w:eastAsia="Verdana" w:cs="Verdana"/>
          <w:b/>
          <w:i/>
          <w:szCs w:val="20"/>
        </w:rPr>
        <w:t>;</w:t>
      </w:r>
      <w:r w:rsidR="642DA37B" w:rsidRPr="00F13F51">
        <w:rPr>
          <w:rFonts w:eastAsia="Verdana" w:cs="Verdana"/>
          <w:b/>
          <w:i/>
          <w:szCs w:val="20"/>
        </w:rPr>
        <w:t xml:space="preserve"> -$.2 million in 2022-23</w:t>
      </w:r>
      <w:r w:rsidR="642DA37B" w:rsidRPr="00F13F51">
        <w:rPr>
          <w:rFonts w:eastAsia="Verdana" w:cs="Verdana"/>
          <w:b/>
          <w:szCs w:val="20"/>
        </w:rPr>
        <w:t>)</w:t>
      </w:r>
      <w:r w:rsidR="001E064B">
        <w:rPr>
          <w:rFonts w:eastAsia="Verdana" w:cs="Verdana"/>
          <w:b/>
          <w:szCs w:val="20"/>
        </w:rPr>
        <w:t>.</w:t>
      </w:r>
    </w:p>
    <w:p w14:paraId="56EA5A82" w14:textId="3D10F26C" w:rsidR="1C25AFBE" w:rsidRPr="001E064B" w:rsidRDefault="0026289A" w:rsidP="0026289A">
      <w:pPr>
        <w:pStyle w:val="ListNumber"/>
        <w:numPr>
          <w:ilvl w:val="0"/>
          <w:numId w:val="0"/>
        </w:numPr>
        <w:tabs>
          <w:tab w:val="left" w:pos="567"/>
          <w:tab w:val="left" w:pos="851"/>
        </w:tabs>
        <w:contextualSpacing w:val="0"/>
        <w:rPr>
          <w:rFonts w:eastAsia="Verdana" w:cs="Verdana"/>
          <w:b/>
          <w:bCs/>
          <w:color w:val="auto"/>
          <w:sz w:val="19"/>
          <w:szCs w:val="19"/>
        </w:rPr>
      </w:pPr>
      <w:r>
        <w:rPr>
          <w:rFonts w:eastAsia="Verdana" w:cs="Verdana"/>
          <w:b/>
          <w:szCs w:val="20"/>
        </w:rPr>
        <w:t xml:space="preserve">(5) </w:t>
      </w:r>
      <w:r w:rsidR="008522B4" w:rsidRPr="00F13F51">
        <w:rPr>
          <w:rFonts w:eastAsia="Verdana" w:cs="Verdana"/>
          <w:b/>
          <w:szCs w:val="20"/>
        </w:rPr>
        <w:t xml:space="preserve">Providing </w:t>
      </w:r>
      <w:r w:rsidR="5EE9BE60" w:rsidRPr="00F13F51">
        <w:rPr>
          <w:rFonts w:eastAsia="Verdana" w:cs="Verdana"/>
          <w:b/>
          <w:szCs w:val="20"/>
        </w:rPr>
        <w:t>funding to support Aboriginal and Torres St</w:t>
      </w:r>
      <w:r w:rsidR="49236829" w:rsidRPr="00F13F51">
        <w:rPr>
          <w:rFonts w:eastAsia="Verdana" w:cs="Verdana"/>
          <w:b/>
          <w:szCs w:val="20"/>
        </w:rPr>
        <w:t>rai</w:t>
      </w:r>
      <w:r w:rsidR="5EE9BE60" w:rsidRPr="00F13F51">
        <w:rPr>
          <w:rFonts w:eastAsia="Verdana" w:cs="Verdana"/>
          <w:b/>
          <w:szCs w:val="20"/>
        </w:rPr>
        <w:t xml:space="preserve">t Islander peoples and communities to </w:t>
      </w:r>
      <w:r w:rsidR="024D8165" w:rsidRPr="00F13F51">
        <w:rPr>
          <w:rFonts w:eastAsia="Verdana" w:cs="Verdana"/>
          <w:b/>
          <w:szCs w:val="20"/>
        </w:rPr>
        <w:t>parti</w:t>
      </w:r>
      <w:r w:rsidR="793EEE7D" w:rsidRPr="00F13F51">
        <w:rPr>
          <w:rFonts w:eastAsia="Verdana" w:cs="Verdana"/>
          <w:b/>
          <w:szCs w:val="20"/>
        </w:rPr>
        <w:t>ci</w:t>
      </w:r>
      <w:r w:rsidR="024D8165" w:rsidRPr="00F13F51">
        <w:rPr>
          <w:rFonts w:eastAsia="Verdana" w:cs="Verdana"/>
          <w:b/>
          <w:szCs w:val="20"/>
        </w:rPr>
        <w:t>pate in whole-of c</w:t>
      </w:r>
      <w:r w:rsidR="024D8165" w:rsidRPr="00E104F0">
        <w:rPr>
          <w:rFonts w:eastAsia="Verdana" w:cs="Verdana"/>
          <w:b/>
          <w:bCs/>
          <w:color w:val="auto"/>
          <w:sz w:val="19"/>
          <w:szCs w:val="19"/>
        </w:rPr>
        <w:t xml:space="preserve">ommunity </w:t>
      </w:r>
      <w:r w:rsidR="40176BF3" w:rsidRPr="00E104F0">
        <w:rPr>
          <w:rFonts w:eastAsia="Verdana" w:cs="Verdana"/>
          <w:b/>
          <w:bCs/>
          <w:color w:val="auto"/>
          <w:sz w:val="19"/>
          <w:szCs w:val="19"/>
        </w:rPr>
        <w:t>response</w:t>
      </w:r>
      <w:r w:rsidR="024D8165" w:rsidRPr="00E104F0">
        <w:rPr>
          <w:rFonts w:eastAsia="Verdana" w:cs="Verdana"/>
          <w:b/>
          <w:bCs/>
          <w:color w:val="auto"/>
          <w:sz w:val="19"/>
          <w:szCs w:val="19"/>
        </w:rPr>
        <w:t xml:space="preserve"> to building climate resilience </w:t>
      </w:r>
      <w:r w:rsidR="024D8165" w:rsidRPr="003779BE">
        <w:rPr>
          <w:rFonts w:eastAsia="Verdana" w:cs="Verdana"/>
          <w:b/>
          <w:bCs/>
          <w:color w:val="auto"/>
          <w:sz w:val="19"/>
          <w:szCs w:val="19"/>
        </w:rPr>
        <w:t xml:space="preserve">and to </w:t>
      </w:r>
      <w:r w:rsidR="343AA346" w:rsidRPr="003779BE">
        <w:rPr>
          <w:rFonts w:eastAsia="Verdana" w:cs="Verdana"/>
          <w:b/>
          <w:bCs/>
          <w:color w:val="auto"/>
          <w:sz w:val="19"/>
          <w:szCs w:val="19"/>
        </w:rPr>
        <w:t xml:space="preserve">better </w:t>
      </w:r>
      <w:r w:rsidR="5EE9BE60" w:rsidRPr="003779BE">
        <w:rPr>
          <w:rFonts w:eastAsia="Verdana" w:cs="Verdana"/>
          <w:b/>
          <w:bCs/>
          <w:color w:val="auto"/>
          <w:sz w:val="19"/>
          <w:szCs w:val="19"/>
        </w:rPr>
        <w:t xml:space="preserve">prepare for, </w:t>
      </w:r>
      <w:r w:rsidR="023BA80F" w:rsidRPr="003779BE">
        <w:rPr>
          <w:rFonts w:eastAsia="Verdana" w:cs="Verdana"/>
          <w:b/>
          <w:bCs/>
          <w:color w:val="auto"/>
          <w:sz w:val="19"/>
          <w:szCs w:val="19"/>
        </w:rPr>
        <w:t>respond</w:t>
      </w:r>
      <w:r w:rsidR="5EE9BE60" w:rsidRPr="003779BE">
        <w:rPr>
          <w:rFonts w:eastAsia="Verdana" w:cs="Verdana"/>
          <w:b/>
          <w:bCs/>
          <w:color w:val="auto"/>
          <w:sz w:val="19"/>
          <w:szCs w:val="19"/>
        </w:rPr>
        <w:t xml:space="preserve"> and recover from natural </w:t>
      </w:r>
      <w:r w:rsidR="00B97371" w:rsidRPr="003779BE">
        <w:rPr>
          <w:rFonts w:eastAsia="Verdana" w:cs="Verdana"/>
          <w:b/>
          <w:bCs/>
          <w:color w:val="auto"/>
          <w:sz w:val="19"/>
          <w:szCs w:val="19"/>
        </w:rPr>
        <w:t>disasters that</w:t>
      </w:r>
      <w:r w:rsidR="6A160859" w:rsidRPr="003779BE">
        <w:rPr>
          <w:rFonts w:eastAsia="Verdana" w:cs="Verdana"/>
          <w:b/>
          <w:bCs/>
          <w:color w:val="auto"/>
          <w:sz w:val="19"/>
          <w:szCs w:val="19"/>
        </w:rPr>
        <w:t xml:space="preserve"> build on </w:t>
      </w:r>
      <w:r w:rsidR="6A85519C" w:rsidRPr="003779BE">
        <w:rPr>
          <w:rFonts w:eastAsia="Verdana" w:cs="Verdana"/>
          <w:b/>
          <w:bCs/>
          <w:color w:val="auto"/>
          <w:sz w:val="19"/>
          <w:szCs w:val="19"/>
        </w:rPr>
        <w:t>traditional</w:t>
      </w:r>
      <w:r w:rsidR="6A160859" w:rsidRPr="003779BE">
        <w:rPr>
          <w:rFonts w:eastAsia="Verdana" w:cs="Verdana"/>
          <w:b/>
          <w:bCs/>
          <w:color w:val="auto"/>
          <w:sz w:val="19"/>
          <w:szCs w:val="19"/>
        </w:rPr>
        <w:t xml:space="preserve"> and local </w:t>
      </w:r>
      <w:r w:rsidR="0905531B" w:rsidRPr="003779BE">
        <w:rPr>
          <w:rFonts w:eastAsia="Verdana" w:cs="Verdana"/>
          <w:b/>
          <w:bCs/>
          <w:color w:val="auto"/>
          <w:sz w:val="19"/>
          <w:szCs w:val="19"/>
        </w:rPr>
        <w:t>knowledge</w:t>
      </w:r>
      <w:r w:rsidR="6A160859" w:rsidRPr="003779BE">
        <w:rPr>
          <w:rFonts w:eastAsia="Verdana" w:cs="Verdana"/>
          <w:b/>
          <w:bCs/>
          <w:color w:val="auto"/>
          <w:sz w:val="19"/>
          <w:szCs w:val="19"/>
        </w:rPr>
        <w:t xml:space="preserve"> </w:t>
      </w:r>
      <w:r w:rsidR="6D5EC332" w:rsidRPr="003779BE">
        <w:rPr>
          <w:rFonts w:eastAsia="Verdana" w:cs="Verdana"/>
          <w:b/>
          <w:bCs/>
          <w:color w:val="auto"/>
          <w:sz w:val="19"/>
          <w:szCs w:val="19"/>
        </w:rPr>
        <w:t>Support</w:t>
      </w:r>
      <w:r w:rsidR="008522B4" w:rsidRPr="003779BE">
        <w:rPr>
          <w:rFonts w:eastAsia="Verdana" w:cs="Verdana"/>
          <w:b/>
          <w:bCs/>
          <w:color w:val="auto"/>
          <w:sz w:val="19"/>
          <w:szCs w:val="19"/>
        </w:rPr>
        <w:t xml:space="preserve"> </w:t>
      </w:r>
      <w:r w:rsidR="008522B4" w:rsidRPr="003779BE">
        <w:rPr>
          <w:b/>
        </w:rPr>
        <w:t>(</w:t>
      </w:r>
      <w:r w:rsidR="1C25AFBE" w:rsidRPr="003779BE">
        <w:rPr>
          <w:b/>
          <w:i/>
        </w:rPr>
        <w:t>-</w:t>
      </w:r>
      <w:r w:rsidR="1C25AFBE" w:rsidRPr="003779BE">
        <w:rPr>
          <w:b/>
          <w:bCs/>
          <w:i/>
          <w:iCs/>
        </w:rPr>
        <w:t>$</w:t>
      </w:r>
      <w:r w:rsidR="003779BE" w:rsidRPr="003779BE">
        <w:rPr>
          <w:b/>
          <w:bCs/>
          <w:i/>
          <w:iCs/>
        </w:rPr>
        <w:t xml:space="preserve">25 </w:t>
      </w:r>
      <w:r w:rsidR="1C25AFBE" w:rsidRPr="003779BE">
        <w:rPr>
          <w:b/>
          <w:bCs/>
          <w:i/>
          <w:iCs/>
        </w:rPr>
        <w:t>million</w:t>
      </w:r>
      <w:r w:rsidR="003C73EF" w:rsidRPr="003779BE">
        <w:rPr>
          <w:b/>
          <w:bCs/>
          <w:i/>
          <w:iCs/>
        </w:rPr>
        <w:t xml:space="preserve">; </w:t>
      </w:r>
      <w:r w:rsidR="1C25AFBE" w:rsidRPr="003779BE">
        <w:rPr>
          <w:b/>
          <w:bCs/>
          <w:i/>
          <w:iCs/>
        </w:rPr>
        <w:t>-$</w:t>
      </w:r>
      <w:r w:rsidR="003779BE" w:rsidRPr="003779BE">
        <w:rPr>
          <w:b/>
          <w:bCs/>
          <w:i/>
          <w:iCs/>
        </w:rPr>
        <w:t>25</w:t>
      </w:r>
      <w:r w:rsidR="1C25AFBE" w:rsidRPr="003779BE">
        <w:rPr>
          <w:b/>
          <w:bCs/>
          <w:i/>
          <w:iCs/>
        </w:rPr>
        <w:t xml:space="preserve"> million in 2022-23</w:t>
      </w:r>
      <w:r w:rsidR="1C25AFBE" w:rsidRPr="003779BE">
        <w:rPr>
          <w:b/>
          <w:bCs/>
          <w:iCs/>
        </w:rPr>
        <w:t>)</w:t>
      </w:r>
    </w:p>
    <w:p w14:paraId="7D0019E9" w14:textId="652AFBF6" w:rsidR="008F4662" w:rsidRPr="00F13F51" w:rsidRDefault="008522B4" w:rsidP="00F13F51">
      <w:pPr>
        <w:pStyle w:val="ListNumber"/>
        <w:numPr>
          <w:ilvl w:val="0"/>
          <w:numId w:val="0"/>
        </w:numPr>
        <w:ind w:left="360" w:hanging="360"/>
        <w:rPr>
          <w:b/>
          <w:szCs w:val="20"/>
        </w:rPr>
      </w:pPr>
      <w:r w:rsidRPr="00F13F51">
        <w:rPr>
          <w:b/>
          <w:color w:val="C00000"/>
        </w:rPr>
        <w:t>Budget impact:</w:t>
      </w:r>
      <w:r w:rsidRPr="00E104F0">
        <w:rPr>
          <w:b/>
        </w:rPr>
        <w:t xml:space="preserve"> </w:t>
      </w:r>
      <w:r w:rsidRPr="00F13F51">
        <w:rPr>
          <w:rFonts w:eastAsiaTheme="minorEastAsia"/>
          <w:b/>
          <w:bCs/>
          <w:i/>
          <w:szCs w:val="20"/>
        </w:rPr>
        <w:t>-$</w:t>
      </w:r>
      <w:r w:rsidR="003C73EF">
        <w:rPr>
          <w:rFonts w:eastAsiaTheme="minorEastAsia"/>
          <w:b/>
          <w:bCs/>
          <w:i/>
          <w:szCs w:val="20"/>
        </w:rPr>
        <w:t>3</w:t>
      </w:r>
      <w:r w:rsidR="003779BE">
        <w:rPr>
          <w:rFonts w:eastAsiaTheme="minorEastAsia"/>
          <w:b/>
          <w:bCs/>
          <w:i/>
          <w:szCs w:val="20"/>
        </w:rPr>
        <w:t>45</w:t>
      </w:r>
      <w:r w:rsidRPr="00F13F51">
        <w:rPr>
          <w:rFonts w:eastAsiaTheme="minorEastAsia"/>
          <w:b/>
          <w:bCs/>
          <w:i/>
          <w:szCs w:val="20"/>
        </w:rPr>
        <w:t xml:space="preserve"> million (-$</w:t>
      </w:r>
      <w:r w:rsidR="003779BE">
        <w:rPr>
          <w:rFonts w:eastAsiaTheme="minorEastAsia"/>
          <w:b/>
          <w:bCs/>
          <w:i/>
          <w:szCs w:val="20"/>
        </w:rPr>
        <w:t>375</w:t>
      </w:r>
      <w:r w:rsidRPr="00F13F51">
        <w:rPr>
          <w:rFonts w:eastAsiaTheme="minorEastAsia"/>
          <w:b/>
          <w:bCs/>
          <w:i/>
          <w:szCs w:val="20"/>
        </w:rPr>
        <w:t xml:space="preserve"> million in 2022-23)</w:t>
      </w:r>
    </w:p>
    <w:p w14:paraId="3DB1D6F1" w14:textId="1831F338" w:rsidR="30DC3B8D" w:rsidRDefault="30DC3B8D" w:rsidP="003520E9">
      <w:pPr>
        <w:pStyle w:val="Heading2"/>
        <w:rPr>
          <w:rFonts w:eastAsia="Palatino Linotype"/>
        </w:rPr>
      </w:pPr>
      <w:bookmarkStart w:id="47" w:name="_Toc63685941"/>
      <w:r w:rsidRPr="7B33A330">
        <w:rPr>
          <w:rFonts w:eastAsia="Palatino Linotype"/>
        </w:rPr>
        <w:lastRenderedPageBreak/>
        <w:t>Better meet the needs of people impacted by natural disasters</w:t>
      </w:r>
      <w:bookmarkEnd w:id="47"/>
    </w:p>
    <w:p w14:paraId="7F97FF68" w14:textId="358D16C0" w:rsidR="2C07A9FD" w:rsidRDefault="2C07A9FD" w:rsidP="7B33A330">
      <w:pPr>
        <w:rPr>
          <w:rFonts w:eastAsia="Verdana" w:cs="Verdana"/>
          <w:sz w:val="19"/>
          <w:szCs w:val="19"/>
        </w:rPr>
      </w:pPr>
      <w:r>
        <w:t xml:space="preserve">Feedback from </w:t>
      </w:r>
      <w:r w:rsidR="045080E6">
        <w:t xml:space="preserve">community sector organisations </w:t>
      </w:r>
      <w:r>
        <w:t>on the ground</w:t>
      </w:r>
      <w:r w:rsidR="5A5C6A8E">
        <w:t xml:space="preserve"> </w:t>
      </w:r>
      <w:r w:rsidR="0C05ABEC">
        <w:t xml:space="preserve">during the 2019/2020 bushfires, </w:t>
      </w:r>
      <w:r w:rsidR="5A5C6A8E">
        <w:t>suggested the needs of people impacted by the bushfires w</w:t>
      </w:r>
      <w:r w:rsidR="00E13A04">
        <w:t>ere not being m</w:t>
      </w:r>
      <w:r w:rsidR="5A5C6A8E">
        <w:t>et in term</w:t>
      </w:r>
      <w:r w:rsidR="1015496A">
        <w:t xml:space="preserve">s of types of support needed, </w:t>
      </w:r>
      <w:r w:rsidR="5A5C6A8E">
        <w:t xml:space="preserve">quantum </w:t>
      </w:r>
      <w:r w:rsidR="4954CC1D">
        <w:t xml:space="preserve">of support, </w:t>
      </w:r>
      <w:r w:rsidR="5A5C6A8E">
        <w:t>timeliness</w:t>
      </w:r>
      <w:r w:rsidR="1BDA11EE">
        <w:t xml:space="preserve">, and ease of access. </w:t>
      </w:r>
      <w:r w:rsidR="46289D78" w:rsidRPr="7B33A330">
        <w:rPr>
          <w:rFonts w:eastAsia="Verdana" w:cs="Verdana"/>
          <w:sz w:val="19"/>
          <w:szCs w:val="19"/>
        </w:rPr>
        <w:t xml:space="preserve">Scientists tells us we can expect more frequent and severe extreme weather events in the future, which will present significant challenges for more and more people and communities. </w:t>
      </w:r>
      <w:r w:rsidR="1BEEF758" w:rsidRPr="7B33A330">
        <w:rPr>
          <w:rFonts w:eastAsia="Verdana" w:cs="Verdana"/>
          <w:sz w:val="19"/>
          <w:szCs w:val="19"/>
        </w:rPr>
        <w:t>It's</w:t>
      </w:r>
      <w:r w:rsidR="46289D78" w:rsidRPr="7B33A330">
        <w:rPr>
          <w:rFonts w:eastAsia="Verdana" w:cs="Verdana"/>
          <w:sz w:val="19"/>
          <w:szCs w:val="19"/>
        </w:rPr>
        <w:t xml:space="preserve"> important we have adequate support </w:t>
      </w:r>
      <w:r w:rsidR="03DA87DE" w:rsidRPr="7B33A330">
        <w:rPr>
          <w:rFonts w:eastAsia="Verdana" w:cs="Verdana"/>
          <w:sz w:val="19"/>
          <w:szCs w:val="19"/>
        </w:rPr>
        <w:t xml:space="preserve">measures </w:t>
      </w:r>
      <w:r w:rsidR="46289D78" w:rsidRPr="7B33A330">
        <w:rPr>
          <w:rFonts w:eastAsia="Verdana" w:cs="Verdana"/>
          <w:sz w:val="19"/>
          <w:szCs w:val="19"/>
        </w:rPr>
        <w:t>and process</w:t>
      </w:r>
      <w:r w:rsidR="00E13A04">
        <w:rPr>
          <w:rFonts w:eastAsia="Verdana" w:cs="Verdana"/>
          <w:sz w:val="19"/>
          <w:szCs w:val="19"/>
        </w:rPr>
        <w:t>es</w:t>
      </w:r>
      <w:r w:rsidR="46289D78" w:rsidRPr="7B33A330">
        <w:rPr>
          <w:rFonts w:eastAsia="Verdana" w:cs="Verdana"/>
          <w:sz w:val="19"/>
          <w:szCs w:val="19"/>
        </w:rPr>
        <w:t xml:space="preserve"> in place</w:t>
      </w:r>
      <w:r w:rsidR="395B70B0" w:rsidRPr="7B33A330">
        <w:rPr>
          <w:rFonts w:eastAsia="Verdana" w:cs="Verdana"/>
          <w:sz w:val="19"/>
          <w:szCs w:val="19"/>
        </w:rPr>
        <w:t xml:space="preserve"> to reduce trauma and facilitate a speedy recovery</w:t>
      </w:r>
      <w:r w:rsidR="006104B1">
        <w:rPr>
          <w:rFonts w:eastAsia="Verdana" w:cs="Verdana"/>
          <w:sz w:val="19"/>
          <w:szCs w:val="19"/>
        </w:rPr>
        <w:t>, including:</w:t>
      </w:r>
    </w:p>
    <w:p w14:paraId="212A5EB0" w14:textId="66C64245" w:rsidR="006104B1" w:rsidRPr="00BD3CB4" w:rsidRDefault="006104B1" w:rsidP="00846818">
      <w:pPr>
        <w:pStyle w:val="ListParagraph"/>
        <w:numPr>
          <w:ilvl w:val="0"/>
          <w:numId w:val="33"/>
        </w:numPr>
        <w:spacing w:after="160" w:line="259" w:lineRule="auto"/>
        <w:ind w:left="360" w:hanging="357"/>
        <w:contextualSpacing w:val="0"/>
        <w:rPr>
          <w:sz w:val="19"/>
          <w:szCs w:val="19"/>
        </w:rPr>
      </w:pPr>
      <w:r w:rsidRPr="00F13F51">
        <w:rPr>
          <w:b/>
        </w:rPr>
        <w:t>Increase to the disaster recovery payment</w:t>
      </w:r>
      <w:r w:rsidR="00666340">
        <w:t>:</w:t>
      </w:r>
      <w:r w:rsidRPr="00AF5190">
        <w:t xml:space="preserve"> While ACOSS welcomed the Government’s announcement on 15 January 2020 to increase the Disaster Recovery Payment for children, the Disaster Recovery Payment for adults remains seriously inadequate, particularly for people with low incomes and few resources from which to draw. We recommend an urgent increase to this payment, which has remained unchanged since 2006. We also recommend that these payme</w:t>
      </w:r>
      <w:r w:rsidRPr="0066563E">
        <w:t>nts be indexed in line with wage growth annually.</w:t>
      </w:r>
    </w:p>
    <w:p w14:paraId="717F4DF1" w14:textId="716074DC" w:rsidR="006104B1" w:rsidRPr="00BD3CB4" w:rsidRDefault="006104B1" w:rsidP="00846818">
      <w:pPr>
        <w:pStyle w:val="ListParagraph"/>
        <w:numPr>
          <w:ilvl w:val="0"/>
          <w:numId w:val="33"/>
        </w:numPr>
        <w:spacing w:after="160" w:line="259" w:lineRule="auto"/>
        <w:ind w:left="360" w:hanging="357"/>
        <w:contextualSpacing w:val="0"/>
        <w:rPr>
          <w:sz w:val="19"/>
          <w:szCs w:val="19"/>
        </w:rPr>
      </w:pPr>
      <w:r w:rsidRPr="00F13F51">
        <w:rPr>
          <w:b/>
        </w:rPr>
        <w:t>Increase the amount and duration of the Disaster Recovery Allowance</w:t>
      </w:r>
      <w:r w:rsidR="00666340">
        <w:t xml:space="preserve">: </w:t>
      </w:r>
      <w:r w:rsidRPr="00AF5190">
        <w:t>ACOSS welcomed the Prime Minister’s ann</w:t>
      </w:r>
      <w:r w:rsidRPr="0066563E">
        <w:t>ouncement in early January 2020 that the Disaster Recovery Allowance will not be taxable</w:t>
      </w:r>
      <w:r w:rsidRPr="00AF5190">
        <w:t xml:space="preserve">. </w:t>
      </w:r>
      <w:r>
        <w:t>However</w:t>
      </w:r>
      <w:r w:rsidRPr="00AF5190">
        <w:t>, the allowance, paid at the Newstart level (or Youth Allowance for young people), is inadequate to cover basic living costs</w:t>
      </w:r>
      <w:r>
        <w:t xml:space="preserve"> and should be increased as per </w:t>
      </w:r>
      <w:r w:rsidRPr="00F13F51">
        <w:t xml:space="preserve">recommendation </w:t>
      </w:r>
      <w:r w:rsidR="00666340" w:rsidRPr="00F13F51">
        <w:t>1</w:t>
      </w:r>
      <w:r w:rsidR="001E064B">
        <w:t xml:space="preserve"> </w:t>
      </w:r>
      <w:r w:rsidRPr="00F13F51">
        <w:t>outlined in chapter 2</w:t>
      </w:r>
      <w:r w:rsidRPr="00E104F0">
        <w:t>.</w:t>
      </w:r>
      <w:r w:rsidR="00666340" w:rsidRPr="00E104F0">
        <w:t xml:space="preserve"> </w:t>
      </w:r>
      <w:r w:rsidRPr="00E104F0">
        <w:t>M</w:t>
      </w:r>
      <w:r w:rsidRPr="001C35E2">
        <w:t>any people who have lost their paid work will</w:t>
      </w:r>
      <w:r w:rsidRPr="00AF5190">
        <w:t xml:space="preserve"> need more than 13 weeks of assistance</w:t>
      </w:r>
      <w:r>
        <w:t xml:space="preserve">, </w:t>
      </w:r>
      <w:r w:rsidR="002F52E5">
        <w:t xml:space="preserve">and </w:t>
      </w:r>
      <w:r>
        <w:t>we recommend the time frame be increased</w:t>
      </w:r>
      <w:r w:rsidRPr="00AF5190">
        <w:rPr>
          <w:sz w:val="22"/>
        </w:rPr>
        <w:t>.</w:t>
      </w:r>
    </w:p>
    <w:p w14:paraId="3BDE05BF" w14:textId="77777777" w:rsidR="006104B1" w:rsidRPr="00BD3CB4" w:rsidRDefault="006104B1" w:rsidP="00846818">
      <w:pPr>
        <w:pStyle w:val="ListParagraph"/>
        <w:numPr>
          <w:ilvl w:val="0"/>
          <w:numId w:val="33"/>
        </w:numPr>
        <w:spacing w:after="160" w:line="259" w:lineRule="auto"/>
        <w:ind w:left="360" w:hanging="357"/>
        <w:contextualSpacing w:val="0"/>
        <w:rPr>
          <w:sz w:val="19"/>
          <w:szCs w:val="19"/>
        </w:rPr>
      </w:pPr>
      <w:r w:rsidRPr="00F13F51">
        <w:rPr>
          <w:b/>
        </w:rPr>
        <w:t>Commonwealth Rent Assistance</w:t>
      </w:r>
      <w:r w:rsidRPr="7B33A330">
        <w:t xml:space="preserve"> should be made available for people eligible for the Disaster Recovery Allowance who are renting privately for the period of recovery</w:t>
      </w:r>
      <w:r w:rsidRPr="7B33A330">
        <w:rPr>
          <w:sz w:val="22"/>
        </w:rPr>
        <w:t>.</w:t>
      </w:r>
      <w:r w:rsidRPr="7B33A330">
        <w:rPr>
          <w:rStyle w:val="FootnoteReference"/>
          <w:rFonts w:eastAsia="Verdana" w:cs="Verdana"/>
          <w:sz w:val="22"/>
        </w:rPr>
        <w:footnoteReference w:id="37"/>
      </w:r>
    </w:p>
    <w:p w14:paraId="4F8F3924" w14:textId="693313ED" w:rsidR="006104B1" w:rsidRPr="00BD3CB4" w:rsidRDefault="006104B1" w:rsidP="00846818">
      <w:pPr>
        <w:pStyle w:val="ListParagraph"/>
        <w:numPr>
          <w:ilvl w:val="0"/>
          <w:numId w:val="33"/>
        </w:numPr>
        <w:spacing w:after="160" w:line="259" w:lineRule="auto"/>
        <w:ind w:left="360" w:hanging="357"/>
        <w:contextualSpacing w:val="0"/>
        <w:rPr>
          <w:szCs w:val="22"/>
        </w:rPr>
      </w:pPr>
      <w:r w:rsidRPr="00F13F51">
        <w:rPr>
          <w:b/>
        </w:rPr>
        <w:t>Food relief</w:t>
      </w:r>
      <w:r w:rsidRPr="00682224">
        <w:t xml:space="preserve"> is critical for </w:t>
      </w:r>
      <w:r w:rsidR="002F52E5">
        <w:t>individuals</w:t>
      </w:r>
      <w:r w:rsidRPr="00682224">
        <w:t>, families and communities affected by bushfires. ACOSS</w:t>
      </w:r>
      <w:r w:rsidRPr="004C0633">
        <w:t xml:space="preserve"> recommends allocating additional funding to food relief community sector organisations to respond to the surge during natural disasters. For </w:t>
      </w:r>
      <w:r w:rsidR="00515F9E" w:rsidRPr="004C0633">
        <w:t>example,</w:t>
      </w:r>
      <w:r w:rsidRPr="004C0633">
        <w:t xml:space="preserve"> ACOSS called for an additional $30 million during the 2019/2020 summer bushfires.</w:t>
      </w:r>
      <w:r w:rsidRPr="0066563E">
        <w:t xml:space="preserve"> </w:t>
      </w:r>
    </w:p>
    <w:p w14:paraId="4490023A" w14:textId="63B50A7E" w:rsidR="006104B1" w:rsidRDefault="006104B1" w:rsidP="00846818">
      <w:pPr>
        <w:pStyle w:val="ListParagraph"/>
        <w:numPr>
          <w:ilvl w:val="0"/>
          <w:numId w:val="33"/>
        </w:numPr>
        <w:spacing w:after="160" w:line="259" w:lineRule="auto"/>
        <w:ind w:left="360" w:hanging="357"/>
        <w:contextualSpacing w:val="0"/>
      </w:pPr>
      <w:r>
        <w:t xml:space="preserve">It is important that people can </w:t>
      </w:r>
      <w:r w:rsidRPr="00F13F51">
        <w:rPr>
          <w:b/>
        </w:rPr>
        <w:t>access payments and supports</w:t>
      </w:r>
      <w:r>
        <w:t xml:space="preserve"> without unnecessary bureaucracy. Centrelink and Services Australia should exercise leniency and flexibility in the administration of recovery and crisis payments to ensure people in need receive them, including where </w:t>
      </w:r>
      <w:r w:rsidR="00666340">
        <w:t xml:space="preserve">they </w:t>
      </w:r>
      <w:r>
        <w:t xml:space="preserve">cannot readily provide documentation because they have lost their home or do not have access to their home. </w:t>
      </w:r>
    </w:p>
    <w:p w14:paraId="63B25757" w14:textId="77777777" w:rsidR="006104B1" w:rsidRDefault="006104B1" w:rsidP="00846818">
      <w:pPr>
        <w:pStyle w:val="ListParagraph"/>
        <w:numPr>
          <w:ilvl w:val="0"/>
          <w:numId w:val="33"/>
        </w:numPr>
        <w:spacing w:after="160" w:line="259" w:lineRule="auto"/>
        <w:ind w:left="360" w:hanging="357"/>
        <w:contextualSpacing w:val="0"/>
      </w:pPr>
      <w:r>
        <w:t xml:space="preserve">Governments and community leaders should work together to </w:t>
      </w:r>
      <w:r w:rsidRPr="00F13F51">
        <w:rPr>
          <w:b/>
        </w:rPr>
        <w:t>streamline provision of financial assistance</w:t>
      </w:r>
      <w:r>
        <w:t xml:space="preserve"> as part of the recovery. This should include collaboration to remove the need for people to lodge separate applications with the same information to different levels of government, with adequate privacy protections. Local coordination will be essential to increase accuracy of the range of supports, financial and other assistance available, as will coordination at all levels of government to create a ‘no wrong door’ approach. A person should be able to access all relevant levels of government and other assistance regardless of which level of government they contact in the first instance.</w:t>
      </w:r>
    </w:p>
    <w:p w14:paraId="4BCD9080" w14:textId="77777777" w:rsidR="006104B1" w:rsidRDefault="006104B1" w:rsidP="00846818">
      <w:pPr>
        <w:pStyle w:val="ListParagraph"/>
        <w:numPr>
          <w:ilvl w:val="0"/>
          <w:numId w:val="33"/>
        </w:numPr>
        <w:spacing w:after="160" w:line="259" w:lineRule="auto"/>
        <w:ind w:left="360" w:hanging="357"/>
        <w:contextualSpacing w:val="0"/>
      </w:pPr>
      <w:r w:rsidRPr="00F13F51">
        <w:rPr>
          <w:b/>
        </w:rPr>
        <w:lastRenderedPageBreak/>
        <w:t>Mobile recovery centres and outreach clinics</w:t>
      </w:r>
      <w:r w:rsidRPr="7B33A330">
        <w:t xml:space="preserve"> that operate after hours should be expanded in regional and rural areas to ensure that individuals from smaller communities can access the support they need. This outreach should include representation from the relevant Commonwealth and state agencies, with the support of community service organisations.</w:t>
      </w:r>
    </w:p>
    <w:p w14:paraId="282D6DEC" w14:textId="77777777" w:rsidR="006104B1" w:rsidRDefault="006104B1" w:rsidP="00846818">
      <w:pPr>
        <w:pStyle w:val="ListParagraph"/>
        <w:numPr>
          <w:ilvl w:val="0"/>
          <w:numId w:val="33"/>
        </w:numPr>
        <w:spacing w:after="160" w:line="259" w:lineRule="auto"/>
        <w:ind w:left="360" w:hanging="357"/>
        <w:contextualSpacing w:val="0"/>
      </w:pPr>
      <w:r w:rsidRPr="0066563E">
        <w:t xml:space="preserve">Many families and communities face the terrible loss of a loved one as a result of natural disasters. Given that these families are likely to be placed in a very difficult financial situation (e.g., many may have lost property, income, etc.) we propose that the Federal Government include </w:t>
      </w:r>
      <w:r w:rsidRPr="00F13F51">
        <w:rPr>
          <w:b/>
        </w:rPr>
        <w:t>funeral costs</w:t>
      </w:r>
      <w:r w:rsidRPr="0066563E">
        <w:t xml:space="preserve"> (which average over $7,000) as part of its response to natural disasters. This support should be provided to complement other assistance provided by NGOs.</w:t>
      </w:r>
    </w:p>
    <w:p w14:paraId="71DEAE07" w14:textId="77777777" w:rsidR="006104B1" w:rsidRDefault="006104B1" w:rsidP="00846818">
      <w:pPr>
        <w:pStyle w:val="ListParagraph"/>
        <w:numPr>
          <w:ilvl w:val="0"/>
          <w:numId w:val="33"/>
        </w:numPr>
        <w:spacing w:after="160" w:line="259" w:lineRule="auto"/>
        <w:ind w:left="360" w:hanging="357"/>
        <w:contextualSpacing w:val="0"/>
      </w:pPr>
      <w:r w:rsidRPr="00682224">
        <w:t xml:space="preserve">Governments should establish a </w:t>
      </w:r>
      <w:r w:rsidRPr="00F13F51">
        <w:rPr>
          <w:b/>
        </w:rPr>
        <w:t>searchable register of local, state and federal government land or properties suitable for short to medium-term housing</w:t>
      </w:r>
      <w:r w:rsidRPr="004C0633">
        <w:t xml:space="preserve"> to enable families to remain within their community as they recover.</w:t>
      </w:r>
    </w:p>
    <w:p w14:paraId="06C744B2" w14:textId="350FB912" w:rsidR="006104B1" w:rsidRPr="00682224" w:rsidRDefault="006104B1" w:rsidP="00846818">
      <w:pPr>
        <w:pStyle w:val="ListParagraph"/>
        <w:numPr>
          <w:ilvl w:val="0"/>
          <w:numId w:val="33"/>
        </w:numPr>
        <w:spacing w:after="160" w:line="259" w:lineRule="auto"/>
        <w:ind w:left="360" w:hanging="357"/>
      </w:pPr>
      <w:r w:rsidRPr="00682224">
        <w:t>Natural disasters can impact on health and wellbeing and can lead to an increase in domestic violence, substance use disorders, and mental health concerns. The health and wellbeing impacts can occur during the natural disaster or take months to emerge. Dem</w:t>
      </w:r>
      <w:r w:rsidRPr="004C0633">
        <w:t>and for social service supports significantly increase, however there are often inadequate funds made available to meet the surge in demand. To address these gaps we recommend that</w:t>
      </w:r>
      <w:r w:rsidRPr="00BD3CB4">
        <w:rPr>
          <w:bCs w:val="0"/>
          <w:szCs w:val="22"/>
        </w:rPr>
        <w:t xml:space="preserve"> </w:t>
      </w:r>
      <w:r w:rsidR="00666340" w:rsidRPr="00F13F51">
        <w:rPr>
          <w:b/>
          <w:bCs w:val="0"/>
          <w:szCs w:val="22"/>
        </w:rPr>
        <w:t xml:space="preserve">additional </w:t>
      </w:r>
      <w:r w:rsidRPr="00F13F51">
        <w:rPr>
          <w:b/>
          <w:bCs w:val="0"/>
          <w:szCs w:val="22"/>
        </w:rPr>
        <w:t>funding to meet demand for social support services</w:t>
      </w:r>
      <w:r w:rsidRPr="00BD3CB4">
        <w:rPr>
          <w:bCs w:val="0"/>
          <w:szCs w:val="22"/>
        </w:rPr>
        <w:t xml:space="preserve"> post disaster</w:t>
      </w:r>
      <w:r w:rsidR="00666340">
        <w:rPr>
          <w:bCs w:val="0"/>
          <w:szCs w:val="22"/>
        </w:rPr>
        <w:t>. In doing so, governments should</w:t>
      </w:r>
      <w:r w:rsidRPr="00682224">
        <w:t>:</w:t>
      </w:r>
    </w:p>
    <w:p w14:paraId="25A327C6" w14:textId="5187954B" w:rsidR="006104B1" w:rsidRDefault="00666340" w:rsidP="00846818">
      <w:pPr>
        <w:pStyle w:val="ListParagraph"/>
        <w:numPr>
          <w:ilvl w:val="0"/>
          <w:numId w:val="32"/>
        </w:numPr>
        <w:spacing w:after="160" w:line="259" w:lineRule="auto"/>
        <w:ind w:left="720" w:hanging="357"/>
        <w:rPr>
          <w:rFonts w:asciiTheme="minorHAnsi" w:eastAsiaTheme="minorEastAsia" w:hAnsiTheme="minorHAnsi"/>
        </w:rPr>
      </w:pPr>
      <w:r>
        <w:t>e</w:t>
      </w:r>
      <w:r w:rsidRPr="7B33A330">
        <w:t xml:space="preserve">nsure </w:t>
      </w:r>
      <w:r w:rsidR="006104B1" w:rsidRPr="7B33A330">
        <w:t>that funding and resources are provided to meet an expected increased demand for legal and social support services</w:t>
      </w:r>
      <w:r>
        <w:t>;</w:t>
      </w:r>
      <w:r w:rsidRPr="7B33A330">
        <w:t xml:space="preserve">  </w:t>
      </w:r>
    </w:p>
    <w:p w14:paraId="7F3998DD" w14:textId="597745DF" w:rsidR="006104B1" w:rsidRDefault="00666340" w:rsidP="00846818">
      <w:pPr>
        <w:pStyle w:val="ListParagraph"/>
        <w:numPr>
          <w:ilvl w:val="0"/>
          <w:numId w:val="32"/>
        </w:numPr>
        <w:spacing w:after="160" w:line="259" w:lineRule="auto"/>
        <w:ind w:left="720" w:hanging="357"/>
        <w:rPr>
          <w:rFonts w:asciiTheme="minorHAnsi" w:eastAsiaTheme="minorEastAsia" w:hAnsiTheme="minorHAnsi"/>
        </w:rPr>
      </w:pPr>
      <w:r>
        <w:t>e</w:t>
      </w:r>
      <w:r w:rsidRPr="7B33A330">
        <w:t xml:space="preserve">nsure </w:t>
      </w:r>
      <w:r w:rsidR="006104B1" w:rsidRPr="7B33A330">
        <w:t>that adequate mental health support is available to disaster affected communities in the short, medium and long term</w:t>
      </w:r>
      <w:r>
        <w:t>;</w:t>
      </w:r>
      <w:r w:rsidRPr="7B33A330">
        <w:t xml:space="preserve"> </w:t>
      </w:r>
    </w:p>
    <w:p w14:paraId="5FAA507E" w14:textId="21DDF008" w:rsidR="006104B1" w:rsidRDefault="00666340" w:rsidP="00846818">
      <w:pPr>
        <w:pStyle w:val="ListParagraph"/>
        <w:numPr>
          <w:ilvl w:val="0"/>
          <w:numId w:val="32"/>
        </w:numPr>
        <w:spacing w:after="160" w:line="259" w:lineRule="auto"/>
        <w:ind w:left="720" w:hanging="357"/>
        <w:rPr>
          <w:rFonts w:asciiTheme="minorHAnsi" w:eastAsiaTheme="minorEastAsia" w:hAnsiTheme="minorHAnsi"/>
        </w:rPr>
      </w:pPr>
      <w:r>
        <w:t>i</w:t>
      </w:r>
      <w:r w:rsidRPr="7B33A330">
        <w:t xml:space="preserve">ncrease </w:t>
      </w:r>
      <w:r w:rsidR="006104B1" w:rsidRPr="7B33A330">
        <w:t>funding for specialist domestic and family violence services, particularly in the short to long-term recovery period after a disaster</w:t>
      </w:r>
      <w:r>
        <w:t>;</w:t>
      </w:r>
      <w:r w:rsidR="00E23A40">
        <w:t xml:space="preserve"> and</w:t>
      </w:r>
    </w:p>
    <w:p w14:paraId="23DED581" w14:textId="26058A28" w:rsidR="006104B1" w:rsidRPr="00BD3CB4" w:rsidRDefault="00666340" w:rsidP="00846818">
      <w:pPr>
        <w:pStyle w:val="ListParagraph"/>
        <w:numPr>
          <w:ilvl w:val="0"/>
          <w:numId w:val="32"/>
        </w:numPr>
        <w:spacing w:after="160" w:line="259" w:lineRule="auto"/>
        <w:ind w:left="720" w:hanging="357"/>
        <w:contextualSpacing w:val="0"/>
        <w:rPr>
          <w:rFonts w:asciiTheme="minorHAnsi" w:eastAsiaTheme="minorEastAsia" w:hAnsiTheme="minorHAnsi"/>
        </w:rPr>
      </w:pPr>
      <w:proofErr w:type="gramStart"/>
      <w:r>
        <w:t>ensure</w:t>
      </w:r>
      <w:proofErr w:type="gramEnd"/>
      <w:r>
        <w:t xml:space="preserve"> a</w:t>
      </w:r>
      <w:r w:rsidR="006104B1" w:rsidRPr="7B33A330">
        <w:t xml:space="preserve">dditional support </w:t>
      </w:r>
      <w:r>
        <w:t>is</w:t>
      </w:r>
      <w:r w:rsidRPr="7B33A330">
        <w:t xml:space="preserve"> </w:t>
      </w:r>
      <w:r w:rsidR="006104B1" w:rsidRPr="7B33A330">
        <w:t>tailored and responsive to community needs, particula</w:t>
      </w:r>
      <w:r w:rsidR="006104B1">
        <w:t>rly in regional and rural areas.</w:t>
      </w:r>
    </w:p>
    <w:p w14:paraId="36B186A3" w14:textId="77777777" w:rsidR="006104B1" w:rsidRPr="00682224" w:rsidRDefault="006104B1" w:rsidP="00846818">
      <w:pPr>
        <w:pStyle w:val="ListParagraph"/>
        <w:numPr>
          <w:ilvl w:val="0"/>
          <w:numId w:val="33"/>
        </w:numPr>
        <w:spacing w:after="160" w:line="259" w:lineRule="auto"/>
        <w:ind w:left="360" w:hanging="357"/>
        <w:contextualSpacing w:val="0"/>
        <w:rPr>
          <w:rFonts w:asciiTheme="minorHAnsi" w:eastAsiaTheme="minorEastAsia" w:hAnsiTheme="minorHAnsi"/>
        </w:rPr>
      </w:pPr>
      <w:r w:rsidRPr="00F13F51">
        <w:rPr>
          <w:b/>
        </w:rPr>
        <w:t>Resource community service organisations to build resilience of their clients</w:t>
      </w:r>
      <w:r w:rsidRPr="00682224">
        <w:t xml:space="preserve"> including d</w:t>
      </w:r>
      <w:r w:rsidRPr="00BD3CB4">
        <w:t>eliver</w:t>
      </w:r>
      <w:r w:rsidRPr="00BD3CB4">
        <w:rPr>
          <w:szCs w:val="22"/>
        </w:rPr>
        <w:t>ing</w:t>
      </w:r>
      <w:r w:rsidRPr="00BD3CB4">
        <w:t xml:space="preserve"> the emergency RediPlan (personal emergency pl</w:t>
      </w:r>
      <w:r w:rsidRPr="00BD3CB4">
        <w:rPr>
          <w:szCs w:val="22"/>
        </w:rPr>
        <w:t>an) to community sector clients</w:t>
      </w:r>
      <w:r w:rsidRPr="00BD3CB4">
        <w:rPr>
          <w:rStyle w:val="FootnoteReference"/>
          <w:rFonts w:eastAsia="Verdana" w:cs="Verdana"/>
          <w:color w:val="auto"/>
        </w:rPr>
        <w:footnoteReference w:id="38"/>
      </w:r>
      <w:r w:rsidRPr="00BD3CB4">
        <w:rPr>
          <w:szCs w:val="22"/>
        </w:rPr>
        <w:t xml:space="preserve"> and </w:t>
      </w:r>
      <w:r w:rsidRPr="00682224">
        <w:t>to i</w:t>
      </w:r>
      <w:r w:rsidRPr="00BD3CB4">
        <w:rPr>
          <w:szCs w:val="22"/>
        </w:rPr>
        <w:t>mplement plans to ensure vulnerable people are protected during emergencies.</w:t>
      </w:r>
      <w:r w:rsidRPr="00BD3CB4">
        <w:rPr>
          <w:color w:val="FF0000"/>
          <w:sz w:val="24"/>
          <w:szCs w:val="24"/>
        </w:rPr>
        <w:t xml:space="preserve"> </w:t>
      </w:r>
      <w:r w:rsidRPr="00682224">
        <w:t xml:space="preserve"> </w:t>
      </w:r>
    </w:p>
    <w:p w14:paraId="66705E71" w14:textId="3D91DE59" w:rsidR="003C73EF" w:rsidRDefault="00985429" w:rsidP="000F350C">
      <w:pPr>
        <w:rPr>
          <w:rFonts w:eastAsia="Verdana" w:cs="Verdana"/>
          <w:b/>
          <w:bCs/>
          <w:szCs w:val="20"/>
        </w:rPr>
      </w:pPr>
      <w:r>
        <w:rPr>
          <w:rFonts w:eastAsia="Verdana" w:cs="Verdana"/>
          <w:b/>
          <w:bCs/>
          <w:color w:val="C00000"/>
          <w:sz w:val="19"/>
          <w:szCs w:val="19"/>
        </w:rPr>
        <w:t xml:space="preserve">Recommendation </w:t>
      </w:r>
      <w:r w:rsidR="003C73EF">
        <w:rPr>
          <w:rFonts w:eastAsia="Verdana" w:cs="Verdana"/>
          <w:b/>
          <w:bCs/>
          <w:color w:val="C00000"/>
          <w:sz w:val="19"/>
          <w:szCs w:val="19"/>
        </w:rPr>
        <w:t>2</w:t>
      </w:r>
      <w:r w:rsidR="001E064B">
        <w:rPr>
          <w:rFonts w:eastAsia="Verdana" w:cs="Verdana"/>
          <w:b/>
          <w:bCs/>
          <w:color w:val="C00000"/>
          <w:sz w:val="19"/>
          <w:szCs w:val="19"/>
        </w:rPr>
        <w:t>5</w:t>
      </w:r>
      <w:r>
        <w:rPr>
          <w:rFonts w:eastAsia="Verdana" w:cs="Verdana"/>
          <w:b/>
          <w:bCs/>
          <w:color w:val="C00000"/>
          <w:sz w:val="19"/>
          <w:szCs w:val="19"/>
        </w:rPr>
        <w:t>:</w:t>
      </w:r>
      <w:r w:rsidR="30DC3B8D" w:rsidRPr="7B33A330">
        <w:rPr>
          <w:rFonts w:eastAsia="Verdana" w:cs="Verdana"/>
          <w:b/>
          <w:bCs/>
          <w:szCs w:val="20"/>
        </w:rPr>
        <w:t xml:space="preserve"> </w:t>
      </w:r>
      <w:r w:rsidR="003C73EF">
        <w:rPr>
          <w:rFonts w:eastAsia="Verdana" w:cs="Verdana"/>
          <w:b/>
          <w:bCs/>
          <w:szCs w:val="20"/>
        </w:rPr>
        <w:t>Better meet the needs of people impacted by natural disasters by:</w:t>
      </w:r>
    </w:p>
    <w:p w14:paraId="5985EE5A" w14:textId="77777777" w:rsidR="0026289A" w:rsidRDefault="0026289A" w:rsidP="0026289A">
      <w:pPr>
        <w:tabs>
          <w:tab w:val="left" w:pos="567"/>
        </w:tabs>
        <w:rPr>
          <w:rFonts w:eastAsia="Verdana" w:cs="Verdana"/>
          <w:b/>
          <w:color w:val="auto"/>
        </w:rPr>
      </w:pPr>
      <w:r>
        <w:rPr>
          <w:rFonts w:eastAsia="Verdana" w:cs="Verdana"/>
          <w:b/>
          <w:color w:val="auto"/>
        </w:rPr>
        <w:t xml:space="preserve">(1) </w:t>
      </w:r>
      <w:r w:rsidR="003C73EF" w:rsidRPr="0026289A">
        <w:rPr>
          <w:rFonts w:eastAsia="Verdana" w:cs="Verdana"/>
          <w:b/>
          <w:color w:val="auto"/>
        </w:rPr>
        <w:t xml:space="preserve">Increasing </w:t>
      </w:r>
      <w:r w:rsidR="30DC3B8D" w:rsidRPr="0026289A">
        <w:rPr>
          <w:rFonts w:eastAsia="Verdana" w:cs="Verdana"/>
          <w:b/>
          <w:color w:val="auto"/>
        </w:rPr>
        <w:t xml:space="preserve">the Australian Government Disaster Recovery Payment from $1,000 to $3,000, and from $800 per child to $1,000 per child. </w:t>
      </w:r>
    </w:p>
    <w:p w14:paraId="06CB0391" w14:textId="739BF90B" w:rsidR="30DC3B8D" w:rsidRPr="0026289A" w:rsidRDefault="0026289A" w:rsidP="0026289A">
      <w:pPr>
        <w:tabs>
          <w:tab w:val="left" w:pos="567"/>
        </w:tabs>
        <w:rPr>
          <w:rFonts w:eastAsia="Verdana" w:cs="Verdana"/>
          <w:b/>
          <w:color w:val="auto"/>
        </w:rPr>
      </w:pPr>
      <w:r>
        <w:rPr>
          <w:rFonts w:eastAsia="Verdana" w:cs="Verdana"/>
          <w:b/>
          <w:color w:val="auto"/>
        </w:rPr>
        <w:t xml:space="preserve">(2) </w:t>
      </w:r>
      <w:r w:rsidR="00E23A40" w:rsidRPr="0026289A">
        <w:rPr>
          <w:rFonts w:eastAsia="Verdana" w:cs="Verdana"/>
          <w:b/>
          <w:color w:val="auto"/>
        </w:rPr>
        <w:t xml:space="preserve">Increase </w:t>
      </w:r>
      <w:r w:rsidR="30DC3B8D" w:rsidRPr="0026289A">
        <w:rPr>
          <w:rFonts w:eastAsia="Verdana" w:cs="Verdana"/>
          <w:b/>
          <w:color w:val="auto"/>
        </w:rPr>
        <w:t xml:space="preserve">the </w:t>
      </w:r>
      <w:r w:rsidR="000F350C" w:rsidRPr="0026289A">
        <w:rPr>
          <w:rFonts w:eastAsia="Verdana" w:cs="Verdana"/>
          <w:b/>
          <w:color w:val="auto"/>
        </w:rPr>
        <w:t xml:space="preserve">amount and duration of </w:t>
      </w:r>
      <w:r w:rsidR="30DC3B8D" w:rsidRPr="0026289A">
        <w:rPr>
          <w:rFonts w:eastAsia="Verdana" w:cs="Verdana"/>
          <w:b/>
          <w:color w:val="auto"/>
        </w:rPr>
        <w:t xml:space="preserve">Disaster Recovery Allowance. </w:t>
      </w:r>
    </w:p>
    <w:p w14:paraId="363F0EFA" w14:textId="712B9741" w:rsidR="6C63D598" w:rsidRPr="0026289A" w:rsidRDefault="0026289A" w:rsidP="0026289A">
      <w:pPr>
        <w:tabs>
          <w:tab w:val="left" w:pos="567"/>
        </w:tabs>
        <w:rPr>
          <w:rFonts w:eastAsia="Verdana" w:cs="Verdana"/>
          <w:b/>
          <w:color w:val="auto"/>
        </w:rPr>
      </w:pPr>
      <w:r>
        <w:rPr>
          <w:rFonts w:eastAsia="Verdana" w:cs="Verdana"/>
          <w:b/>
          <w:color w:val="auto"/>
        </w:rPr>
        <w:t xml:space="preserve">(3) </w:t>
      </w:r>
      <w:r w:rsidR="003C73EF" w:rsidRPr="0026289A">
        <w:rPr>
          <w:rFonts w:eastAsia="Verdana" w:cs="Verdana"/>
          <w:b/>
          <w:color w:val="auto"/>
        </w:rPr>
        <w:t>Providing</w:t>
      </w:r>
      <w:r w:rsidR="6C63D598" w:rsidRPr="0026289A">
        <w:rPr>
          <w:rFonts w:eastAsia="Verdana" w:cs="Verdana"/>
          <w:b/>
          <w:color w:val="auto"/>
        </w:rPr>
        <w:t xml:space="preserve"> </w:t>
      </w:r>
      <w:r w:rsidR="30DC3B8D" w:rsidRPr="0026289A">
        <w:rPr>
          <w:rFonts w:eastAsia="Verdana" w:cs="Verdana"/>
          <w:b/>
          <w:color w:val="auto"/>
        </w:rPr>
        <w:t xml:space="preserve">Rent Assistance </w:t>
      </w:r>
      <w:r w:rsidR="003C73EF" w:rsidRPr="0026289A">
        <w:rPr>
          <w:rFonts w:eastAsia="Verdana" w:cs="Verdana"/>
          <w:b/>
          <w:color w:val="auto"/>
        </w:rPr>
        <w:t xml:space="preserve">to </w:t>
      </w:r>
      <w:r w:rsidR="30DC3B8D" w:rsidRPr="0026289A">
        <w:rPr>
          <w:rFonts w:eastAsia="Verdana" w:cs="Verdana"/>
          <w:b/>
          <w:color w:val="auto"/>
        </w:rPr>
        <w:t>people on Disaster</w:t>
      </w:r>
      <w:r w:rsidR="23A74ED7" w:rsidRPr="0026289A">
        <w:rPr>
          <w:rFonts w:eastAsia="Verdana" w:cs="Verdana"/>
          <w:b/>
          <w:color w:val="auto"/>
        </w:rPr>
        <w:t xml:space="preserve"> </w:t>
      </w:r>
      <w:r w:rsidR="30DC3B8D" w:rsidRPr="0026289A">
        <w:rPr>
          <w:rFonts w:eastAsia="Verdana" w:cs="Verdana"/>
          <w:b/>
          <w:color w:val="auto"/>
        </w:rPr>
        <w:t>Recove</w:t>
      </w:r>
      <w:r w:rsidR="0470EE5E" w:rsidRPr="0026289A">
        <w:rPr>
          <w:rFonts w:eastAsia="Verdana" w:cs="Verdana"/>
          <w:b/>
          <w:color w:val="auto"/>
        </w:rPr>
        <w:t xml:space="preserve">ry. </w:t>
      </w:r>
    </w:p>
    <w:p w14:paraId="4560E2D6" w14:textId="5D3BE347" w:rsidR="00985429" w:rsidRPr="0026289A" w:rsidRDefault="0026289A" w:rsidP="0026289A">
      <w:pPr>
        <w:tabs>
          <w:tab w:val="left" w:pos="567"/>
        </w:tabs>
        <w:rPr>
          <w:rFonts w:eastAsia="Verdana" w:cs="Verdana"/>
          <w:b/>
          <w:color w:val="auto"/>
        </w:rPr>
      </w:pPr>
      <w:r>
        <w:rPr>
          <w:rFonts w:eastAsia="Verdana" w:cs="Verdana"/>
          <w:b/>
          <w:color w:val="auto"/>
        </w:rPr>
        <w:t xml:space="preserve">(4) </w:t>
      </w:r>
      <w:r w:rsidR="003C73EF" w:rsidRPr="0026289A">
        <w:rPr>
          <w:rFonts w:eastAsia="Verdana" w:cs="Verdana"/>
          <w:b/>
          <w:color w:val="auto"/>
        </w:rPr>
        <w:t>Increasing</w:t>
      </w:r>
      <w:r w:rsidR="30DC3B8D" w:rsidRPr="0026289A">
        <w:rPr>
          <w:rFonts w:eastAsia="Verdana" w:cs="Verdana"/>
          <w:b/>
          <w:color w:val="auto"/>
        </w:rPr>
        <w:t xml:space="preserve"> funding for food relief</w:t>
      </w:r>
      <w:r w:rsidR="28AD5133" w:rsidRPr="0026289A">
        <w:rPr>
          <w:rFonts w:eastAsia="Verdana" w:cs="Verdana"/>
          <w:b/>
          <w:color w:val="auto"/>
        </w:rPr>
        <w:t xml:space="preserve">. </w:t>
      </w:r>
    </w:p>
    <w:p w14:paraId="56422EAD" w14:textId="29CE75A4" w:rsidR="796C7965" w:rsidRPr="0026289A" w:rsidRDefault="0026289A" w:rsidP="0026289A">
      <w:pPr>
        <w:tabs>
          <w:tab w:val="left" w:pos="567"/>
        </w:tabs>
        <w:rPr>
          <w:rFonts w:eastAsiaTheme="minorEastAsia"/>
          <w:b/>
          <w:color w:val="auto"/>
        </w:rPr>
      </w:pPr>
      <w:r>
        <w:rPr>
          <w:rFonts w:eastAsia="Verdana" w:cs="Verdana"/>
          <w:b/>
          <w:color w:val="auto"/>
        </w:rPr>
        <w:t xml:space="preserve">(5) </w:t>
      </w:r>
      <w:r w:rsidR="003C73EF" w:rsidRPr="0026289A">
        <w:rPr>
          <w:rFonts w:eastAsia="Verdana" w:cs="Verdana"/>
          <w:b/>
          <w:color w:val="auto"/>
        </w:rPr>
        <w:t>Conducting a review</w:t>
      </w:r>
      <w:r w:rsidR="68B2CA6C" w:rsidRPr="0026289A">
        <w:rPr>
          <w:rFonts w:eastAsia="Verdana" w:cs="Verdana"/>
          <w:b/>
          <w:color w:val="auto"/>
        </w:rPr>
        <w:t xml:space="preserve"> to s</w:t>
      </w:r>
      <w:r w:rsidR="30DC3B8D" w:rsidRPr="0026289A">
        <w:rPr>
          <w:rFonts w:eastAsia="Verdana" w:cs="Verdana"/>
          <w:b/>
          <w:color w:val="auto"/>
        </w:rPr>
        <w:t>treamline Government payment processes so that help gets to people on the ground quickly</w:t>
      </w:r>
      <w:r w:rsidR="00E23A40" w:rsidRPr="0026289A">
        <w:rPr>
          <w:rFonts w:eastAsia="Verdana" w:cs="Verdana"/>
          <w:b/>
          <w:color w:val="auto"/>
        </w:rPr>
        <w:t xml:space="preserve"> </w:t>
      </w:r>
      <w:r w:rsidR="003C73EF" w:rsidRPr="0026289A">
        <w:rPr>
          <w:rFonts w:eastAsia="Verdana" w:cs="Verdana"/>
          <w:b/>
          <w:color w:val="auto"/>
        </w:rPr>
        <w:t>(</w:t>
      </w:r>
      <w:r w:rsidR="5BDC8A09" w:rsidRPr="0026289A">
        <w:rPr>
          <w:rFonts w:eastAsiaTheme="minorEastAsia"/>
          <w:b/>
          <w:i/>
          <w:color w:val="auto"/>
        </w:rPr>
        <w:t>-</w:t>
      </w:r>
      <w:r w:rsidR="796C7965" w:rsidRPr="0026289A">
        <w:rPr>
          <w:rFonts w:eastAsiaTheme="minorEastAsia"/>
          <w:b/>
          <w:i/>
          <w:color w:val="auto"/>
        </w:rPr>
        <w:t>$</w:t>
      </w:r>
      <w:r w:rsidR="5F2E3E7D" w:rsidRPr="0026289A">
        <w:rPr>
          <w:rFonts w:eastAsiaTheme="minorEastAsia"/>
          <w:b/>
          <w:i/>
          <w:color w:val="auto"/>
        </w:rPr>
        <w:t>.8</w:t>
      </w:r>
      <w:r w:rsidR="796C7965" w:rsidRPr="0026289A">
        <w:rPr>
          <w:rFonts w:eastAsiaTheme="minorEastAsia"/>
          <w:b/>
          <w:i/>
          <w:color w:val="auto"/>
        </w:rPr>
        <w:t xml:space="preserve"> million</w:t>
      </w:r>
      <w:r w:rsidR="003C73EF" w:rsidRPr="0026289A">
        <w:rPr>
          <w:rFonts w:eastAsiaTheme="minorEastAsia"/>
          <w:b/>
          <w:color w:val="auto"/>
        </w:rPr>
        <w:t>)</w:t>
      </w:r>
      <w:r w:rsidR="00E23A40" w:rsidRPr="0026289A">
        <w:rPr>
          <w:rFonts w:eastAsiaTheme="minorEastAsia"/>
          <w:b/>
          <w:color w:val="auto"/>
        </w:rPr>
        <w:t>.</w:t>
      </w:r>
    </w:p>
    <w:p w14:paraId="57E9DA8F" w14:textId="19622B36" w:rsidR="16E85B29" w:rsidRPr="0026289A" w:rsidRDefault="0026289A" w:rsidP="0026289A">
      <w:pPr>
        <w:tabs>
          <w:tab w:val="left" w:pos="567"/>
        </w:tabs>
        <w:rPr>
          <w:rFonts w:eastAsiaTheme="minorEastAsia"/>
          <w:b/>
          <w:color w:val="auto"/>
        </w:rPr>
      </w:pPr>
      <w:r>
        <w:rPr>
          <w:rFonts w:eastAsia="Verdana" w:cs="Verdana"/>
          <w:b/>
          <w:color w:val="auto"/>
        </w:rPr>
        <w:t xml:space="preserve">(6) </w:t>
      </w:r>
      <w:r w:rsidR="003C73EF" w:rsidRPr="0026289A">
        <w:rPr>
          <w:rFonts w:eastAsia="Verdana" w:cs="Verdana"/>
          <w:b/>
          <w:color w:val="auto"/>
        </w:rPr>
        <w:t>Conducting a r</w:t>
      </w:r>
      <w:r w:rsidR="0D838122" w:rsidRPr="0026289A">
        <w:rPr>
          <w:rFonts w:eastAsia="Verdana" w:cs="Verdana"/>
          <w:b/>
          <w:color w:val="auto"/>
        </w:rPr>
        <w:t>eview to s</w:t>
      </w:r>
      <w:r w:rsidR="30DC3B8D" w:rsidRPr="0026289A">
        <w:rPr>
          <w:rFonts w:eastAsia="Verdana" w:cs="Verdana"/>
          <w:b/>
          <w:color w:val="auto"/>
        </w:rPr>
        <w:t>treamline coordination of governments and community disaster recovery assistance</w:t>
      </w:r>
      <w:r w:rsidR="00E23A40" w:rsidRPr="0026289A">
        <w:rPr>
          <w:rFonts w:eastAsia="Verdana" w:cs="Verdana"/>
          <w:b/>
          <w:color w:val="auto"/>
        </w:rPr>
        <w:t xml:space="preserve"> </w:t>
      </w:r>
      <w:r w:rsidR="003C73EF" w:rsidRPr="0026289A">
        <w:rPr>
          <w:rFonts w:eastAsiaTheme="minorEastAsia"/>
          <w:b/>
          <w:color w:val="auto"/>
        </w:rPr>
        <w:t>(</w:t>
      </w:r>
      <w:r w:rsidR="7F5799C2" w:rsidRPr="0026289A">
        <w:rPr>
          <w:rFonts w:eastAsiaTheme="minorEastAsia"/>
          <w:b/>
          <w:i/>
          <w:color w:val="auto"/>
        </w:rPr>
        <w:t>-</w:t>
      </w:r>
      <w:r w:rsidR="16E85B29" w:rsidRPr="0026289A">
        <w:rPr>
          <w:rFonts w:eastAsiaTheme="minorEastAsia"/>
          <w:b/>
          <w:i/>
          <w:color w:val="auto"/>
        </w:rPr>
        <w:t>$1.2 million</w:t>
      </w:r>
      <w:r w:rsidR="003C73EF" w:rsidRPr="0026289A">
        <w:rPr>
          <w:rFonts w:eastAsiaTheme="minorEastAsia"/>
          <w:b/>
          <w:color w:val="auto"/>
        </w:rPr>
        <w:t>)</w:t>
      </w:r>
      <w:r w:rsidR="00E23A40" w:rsidRPr="0026289A">
        <w:rPr>
          <w:rFonts w:eastAsiaTheme="minorEastAsia"/>
          <w:b/>
          <w:color w:val="auto"/>
        </w:rPr>
        <w:t>.</w:t>
      </w:r>
    </w:p>
    <w:p w14:paraId="3EA7E6DF" w14:textId="63C264BA" w:rsidR="1B41DD17" w:rsidRPr="0026289A" w:rsidRDefault="0026289A" w:rsidP="0026289A">
      <w:pPr>
        <w:tabs>
          <w:tab w:val="left" w:pos="567"/>
        </w:tabs>
        <w:rPr>
          <w:rFonts w:eastAsia="Verdana" w:cs="Verdana"/>
          <w:b/>
          <w:color w:val="auto"/>
        </w:rPr>
      </w:pPr>
      <w:r>
        <w:rPr>
          <w:rFonts w:eastAsia="Verdana" w:cs="Verdana"/>
          <w:b/>
          <w:color w:val="auto"/>
        </w:rPr>
        <w:lastRenderedPageBreak/>
        <w:t xml:space="preserve">(7) </w:t>
      </w:r>
      <w:r w:rsidR="003C73EF" w:rsidRPr="0026289A">
        <w:rPr>
          <w:rFonts w:eastAsia="Verdana" w:cs="Verdana"/>
          <w:b/>
          <w:color w:val="auto"/>
        </w:rPr>
        <w:t>Expanding</w:t>
      </w:r>
      <w:r w:rsidR="0006088A">
        <w:rPr>
          <w:rFonts w:eastAsia="Verdana" w:cs="Verdana"/>
          <w:b/>
          <w:color w:val="auto"/>
        </w:rPr>
        <w:t xml:space="preserve"> m</w:t>
      </w:r>
      <w:r w:rsidR="30DC3B8D" w:rsidRPr="0026289A">
        <w:rPr>
          <w:rFonts w:eastAsia="Verdana" w:cs="Verdana"/>
          <w:b/>
          <w:color w:val="auto"/>
        </w:rPr>
        <w:t>obile recovery centres and outreach clinics</w:t>
      </w:r>
      <w:r w:rsidR="003C73EF" w:rsidRPr="0026289A">
        <w:rPr>
          <w:rFonts w:eastAsia="Verdana" w:cs="Verdana"/>
          <w:b/>
          <w:color w:val="auto"/>
        </w:rPr>
        <w:t>.</w:t>
      </w:r>
    </w:p>
    <w:p w14:paraId="53C298FE" w14:textId="7937B962" w:rsidR="523D343D" w:rsidRPr="0026289A" w:rsidRDefault="0026289A" w:rsidP="0026289A">
      <w:pPr>
        <w:tabs>
          <w:tab w:val="left" w:pos="567"/>
        </w:tabs>
        <w:rPr>
          <w:rFonts w:eastAsia="Verdana" w:cs="Verdana"/>
          <w:b/>
          <w:color w:val="auto"/>
        </w:rPr>
      </w:pPr>
      <w:r>
        <w:rPr>
          <w:rFonts w:eastAsia="Verdana" w:cs="Verdana"/>
          <w:b/>
          <w:color w:val="auto"/>
        </w:rPr>
        <w:t xml:space="preserve">(8) </w:t>
      </w:r>
      <w:r w:rsidR="003C73EF" w:rsidRPr="0026289A">
        <w:rPr>
          <w:rFonts w:eastAsia="Verdana" w:cs="Verdana"/>
          <w:b/>
          <w:color w:val="auto"/>
        </w:rPr>
        <w:t>Covering</w:t>
      </w:r>
      <w:r w:rsidR="30DC3B8D" w:rsidRPr="0026289A">
        <w:rPr>
          <w:rFonts w:eastAsia="Verdana" w:cs="Verdana"/>
          <w:b/>
          <w:color w:val="auto"/>
        </w:rPr>
        <w:t xml:space="preserve"> funeral costs for people who have lost their lives in a natural disaster</w:t>
      </w:r>
      <w:r w:rsidR="003C73EF" w:rsidRPr="0026289A">
        <w:rPr>
          <w:rFonts w:eastAsia="Verdana" w:cs="Verdana"/>
          <w:b/>
          <w:color w:val="auto"/>
        </w:rPr>
        <w:t>.</w:t>
      </w:r>
    </w:p>
    <w:p w14:paraId="1D8AAE7E" w14:textId="5FEA3C71" w:rsidR="2CAEC225" w:rsidRPr="0026289A" w:rsidRDefault="0026289A" w:rsidP="0026289A">
      <w:pPr>
        <w:tabs>
          <w:tab w:val="left" w:pos="567"/>
        </w:tabs>
        <w:rPr>
          <w:rFonts w:eastAsiaTheme="minorEastAsia"/>
          <w:b/>
          <w:color w:val="auto"/>
        </w:rPr>
      </w:pPr>
      <w:r>
        <w:rPr>
          <w:rFonts w:eastAsia="Verdana" w:cs="Verdana"/>
          <w:b/>
          <w:color w:val="auto"/>
        </w:rPr>
        <w:t xml:space="preserve">(9) </w:t>
      </w:r>
      <w:r w:rsidR="003C73EF" w:rsidRPr="0026289A">
        <w:rPr>
          <w:rFonts w:eastAsia="Verdana" w:cs="Verdana"/>
          <w:b/>
          <w:color w:val="auto"/>
        </w:rPr>
        <w:t>Assisting</w:t>
      </w:r>
      <w:r w:rsidR="30DC3B8D" w:rsidRPr="0026289A">
        <w:rPr>
          <w:rFonts w:eastAsia="Verdana" w:cs="Verdana"/>
          <w:b/>
          <w:color w:val="auto"/>
        </w:rPr>
        <w:t xml:space="preserve"> to identify short-term accommodation</w:t>
      </w:r>
      <w:r w:rsidR="5B56416F" w:rsidRPr="0026289A">
        <w:rPr>
          <w:rFonts w:eastAsia="Verdana" w:cs="Verdana"/>
          <w:b/>
          <w:color w:val="auto"/>
        </w:rPr>
        <w:t xml:space="preserve"> </w:t>
      </w:r>
      <w:r w:rsidR="003C73EF" w:rsidRPr="0026289A">
        <w:rPr>
          <w:rFonts w:eastAsiaTheme="minorEastAsia"/>
          <w:b/>
          <w:color w:val="auto"/>
        </w:rPr>
        <w:t>(</w:t>
      </w:r>
      <w:r w:rsidR="2CAEC225" w:rsidRPr="0026289A">
        <w:rPr>
          <w:rFonts w:eastAsiaTheme="minorEastAsia"/>
          <w:b/>
          <w:i/>
          <w:color w:val="auto"/>
        </w:rPr>
        <w:t>-$1 million</w:t>
      </w:r>
      <w:r w:rsidR="003C73EF" w:rsidRPr="0026289A">
        <w:rPr>
          <w:rFonts w:eastAsiaTheme="minorEastAsia"/>
          <w:b/>
          <w:i/>
          <w:color w:val="auto"/>
        </w:rPr>
        <w:t xml:space="preserve">; </w:t>
      </w:r>
      <w:r w:rsidR="17D1A016" w:rsidRPr="0026289A">
        <w:rPr>
          <w:rFonts w:eastAsiaTheme="minorEastAsia"/>
          <w:b/>
          <w:i/>
          <w:color w:val="auto"/>
        </w:rPr>
        <w:t>-$.1 million in 2022-23</w:t>
      </w:r>
      <w:r w:rsidR="17D1A016" w:rsidRPr="0026289A">
        <w:rPr>
          <w:rFonts w:eastAsiaTheme="minorEastAsia"/>
          <w:b/>
          <w:color w:val="auto"/>
        </w:rPr>
        <w:t>)</w:t>
      </w:r>
      <w:r w:rsidR="00E23A40" w:rsidRPr="0026289A">
        <w:rPr>
          <w:rFonts w:eastAsiaTheme="minorEastAsia"/>
          <w:b/>
          <w:color w:val="auto"/>
        </w:rPr>
        <w:t>.</w:t>
      </w:r>
    </w:p>
    <w:p w14:paraId="596158D8" w14:textId="1ADCCD12" w:rsidR="00E23A40" w:rsidRPr="0026289A" w:rsidRDefault="0026289A" w:rsidP="0026289A">
      <w:pPr>
        <w:tabs>
          <w:tab w:val="left" w:pos="567"/>
        </w:tabs>
        <w:rPr>
          <w:rFonts w:eastAsia="Verdana" w:cs="Verdana"/>
          <w:b/>
          <w:color w:val="auto"/>
        </w:rPr>
      </w:pPr>
      <w:r>
        <w:rPr>
          <w:rFonts w:eastAsia="Verdana" w:cs="Verdana"/>
          <w:b/>
          <w:color w:val="auto"/>
        </w:rPr>
        <w:t xml:space="preserve">(10) </w:t>
      </w:r>
      <w:r w:rsidR="30DC3B8D" w:rsidRPr="0026289A">
        <w:rPr>
          <w:rFonts w:eastAsia="Verdana" w:cs="Verdana"/>
          <w:b/>
          <w:color w:val="auto"/>
        </w:rPr>
        <w:t>Additional funding to meet demand for social support services post disaster</w:t>
      </w:r>
      <w:r w:rsidR="003C73EF" w:rsidRPr="0026289A">
        <w:rPr>
          <w:rFonts w:eastAsia="Verdana" w:cs="Verdana"/>
          <w:b/>
          <w:color w:val="auto"/>
        </w:rPr>
        <w:t>.</w:t>
      </w:r>
    </w:p>
    <w:p w14:paraId="298CB874" w14:textId="4331495A" w:rsidR="00506278" w:rsidRDefault="0026289A" w:rsidP="0026289A">
      <w:pPr>
        <w:tabs>
          <w:tab w:val="left" w:pos="567"/>
        </w:tabs>
        <w:rPr>
          <w:rFonts w:eastAsia="Verdana" w:cs="Verdana"/>
          <w:b/>
          <w:color w:val="auto"/>
        </w:rPr>
      </w:pPr>
      <w:r>
        <w:rPr>
          <w:rFonts w:eastAsia="Verdana" w:cs="Verdana"/>
          <w:b/>
          <w:color w:val="auto"/>
        </w:rPr>
        <w:t xml:space="preserve">(11) </w:t>
      </w:r>
      <w:r w:rsidR="003C73EF" w:rsidRPr="0026289A">
        <w:rPr>
          <w:rFonts w:eastAsia="Verdana" w:cs="Verdana"/>
          <w:b/>
          <w:color w:val="auto"/>
        </w:rPr>
        <w:t>Resourcing</w:t>
      </w:r>
      <w:r w:rsidR="433327B7" w:rsidRPr="0026289A">
        <w:rPr>
          <w:rFonts w:eastAsia="Verdana" w:cs="Verdana"/>
          <w:b/>
          <w:color w:val="auto"/>
        </w:rPr>
        <w:t xml:space="preserve"> community service organisations to build resilience of their clients</w:t>
      </w:r>
      <w:r w:rsidR="003C73EF" w:rsidRPr="0026289A">
        <w:rPr>
          <w:rFonts w:eastAsia="Verdana" w:cs="Verdana"/>
          <w:b/>
          <w:color w:val="auto"/>
        </w:rPr>
        <w:t>. (-$175 million; -$180 million in 2022-23)</w:t>
      </w:r>
      <w:r w:rsidR="003C73EF" w:rsidRPr="00E23A40">
        <w:rPr>
          <w:rStyle w:val="FootnoteReference"/>
          <w:b/>
          <w:bCs/>
          <w:iCs/>
          <w:color w:val="auto"/>
          <w:sz w:val="19"/>
          <w:szCs w:val="19"/>
        </w:rPr>
        <w:footnoteReference w:id="39"/>
      </w:r>
    </w:p>
    <w:p w14:paraId="513DA3A0" w14:textId="77777777" w:rsidR="000C6B7B" w:rsidRPr="0026289A" w:rsidRDefault="000C6B7B" w:rsidP="0026289A">
      <w:pPr>
        <w:tabs>
          <w:tab w:val="left" w:pos="567"/>
        </w:tabs>
        <w:rPr>
          <w:rFonts w:eastAsia="Verdana" w:cs="Verdana"/>
          <w:b/>
          <w:color w:val="auto"/>
        </w:rPr>
      </w:pPr>
    </w:p>
    <w:p w14:paraId="5F7B4C76" w14:textId="401B7E62" w:rsidR="78BF7833" w:rsidRDefault="78BF7833" w:rsidP="003520E9">
      <w:pPr>
        <w:pStyle w:val="Heading2"/>
      </w:pPr>
      <w:bookmarkStart w:id="48" w:name="_Toc63685942"/>
      <w:r>
        <w:t>Strengthen resilience of community</w:t>
      </w:r>
      <w:r w:rsidR="600498A0">
        <w:t xml:space="preserve"> sector</w:t>
      </w:r>
      <w:r>
        <w:t xml:space="preserve"> organisations</w:t>
      </w:r>
      <w:bookmarkEnd w:id="48"/>
    </w:p>
    <w:p w14:paraId="017ADE06" w14:textId="14F4B9EB" w:rsidR="78BF7833" w:rsidRDefault="78BF7833" w:rsidP="7B33A330">
      <w:pPr>
        <w:rPr>
          <w:rFonts w:eastAsia="Verdana" w:cs="Verdana"/>
          <w:szCs w:val="20"/>
        </w:rPr>
      </w:pPr>
      <w:r w:rsidRPr="7B33A330">
        <w:rPr>
          <w:rFonts w:eastAsia="Verdana" w:cs="Verdana"/>
          <w:szCs w:val="20"/>
        </w:rPr>
        <w:t xml:space="preserve">Community sector organisations </w:t>
      </w:r>
      <w:r w:rsidR="1A33634D" w:rsidRPr="7B33A330">
        <w:rPr>
          <w:rFonts w:eastAsia="Verdana" w:cs="Verdana"/>
          <w:szCs w:val="20"/>
        </w:rPr>
        <w:t xml:space="preserve">(CSOs) </w:t>
      </w:r>
      <w:r w:rsidRPr="7B33A330">
        <w:rPr>
          <w:rFonts w:eastAsia="Verdana" w:cs="Verdana"/>
          <w:szCs w:val="20"/>
        </w:rPr>
        <w:t>play a critical role in disaster</w:t>
      </w:r>
      <w:r w:rsidR="356E6489" w:rsidRPr="7B33A330">
        <w:rPr>
          <w:rFonts w:eastAsia="Verdana" w:cs="Verdana"/>
          <w:szCs w:val="20"/>
        </w:rPr>
        <w:t xml:space="preserve"> preparedness, response and recovery</w:t>
      </w:r>
      <w:r w:rsidRPr="7B33A330">
        <w:rPr>
          <w:rFonts w:eastAsia="Verdana" w:cs="Verdana"/>
          <w:szCs w:val="20"/>
        </w:rPr>
        <w:t xml:space="preserve">, especially </w:t>
      </w:r>
      <w:r w:rsidR="2F37472E" w:rsidRPr="7B33A330">
        <w:rPr>
          <w:rFonts w:eastAsia="Verdana" w:cs="Verdana"/>
          <w:szCs w:val="20"/>
        </w:rPr>
        <w:t>in supp</w:t>
      </w:r>
      <w:r w:rsidRPr="7B33A330">
        <w:rPr>
          <w:rFonts w:eastAsia="Verdana" w:cs="Verdana"/>
          <w:szCs w:val="20"/>
        </w:rPr>
        <w:t>or</w:t>
      </w:r>
      <w:r w:rsidR="2F37472E" w:rsidRPr="7B33A330">
        <w:rPr>
          <w:rFonts w:eastAsia="Verdana" w:cs="Verdana"/>
          <w:szCs w:val="20"/>
        </w:rPr>
        <w:t xml:space="preserve">ting the needs of </w:t>
      </w:r>
      <w:r w:rsidRPr="7B33A330">
        <w:rPr>
          <w:rFonts w:eastAsia="Verdana" w:cs="Verdana"/>
          <w:szCs w:val="20"/>
        </w:rPr>
        <w:t>vulnerable people</w:t>
      </w:r>
      <w:r w:rsidR="6BA6D00A" w:rsidRPr="7B33A330">
        <w:rPr>
          <w:rFonts w:eastAsia="Verdana" w:cs="Verdana"/>
          <w:szCs w:val="20"/>
        </w:rPr>
        <w:t>. B</w:t>
      </w:r>
      <w:r w:rsidRPr="7B33A330">
        <w:rPr>
          <w:rFonts w:eastAsia="Verdana" w:cs="Verdana"/>
          <w:szCs w:val="20"/>
        </w:rPr>
        <w:t xml:space="preserve">ut </w:t>
      </w:r>
      <w:r w:rsidR="2878AB9B" w:rsidRPr="7B33A330">
        <w:rPr>
          <w:rFonts w:eastAsia="Verdana" w:cs="Verdana"/>
          <w:szCs w:val="20"/>
        </w:rPr>
        <w:t xml:space="preserve">CSOs </w:t>
      </w:r>
      <w:r w:rsidRPr="7B33A330">
        <w:rPr>
          <w:rFonts w:eastAsia="Verdana" w:cs="Verdana"/>
          <w:szCs w:val="20"/>
        </w:rPr>
        <w:t xml:space="preserve">are themselves highly vulnerable to </w:t>
      </w:r>
      <w:r w:rsidR="75872523" w:rsidRPr="7B33A330">
        <w:rPr>
          <w:rFonts w:eastAsia="Verdana" w:cs="Verdana"/>
          <w:szCs w:val="20"/>
        </w:rPr>
        <w:t>disasters</w:t>
      </w:r>
      <w:r w:rsidRPr="7B33A330">
        <w:rPr>
          <w:rFonts w:eastAsia="Verdana" w:cs="Verdana"/>
          <w:szCs w:val="20"/>
        </w:rPr>
        <w:t xml:space="preserve">. </w:t>
      </w:r>
    </w:p>
    <w:p w14:paraId="028DB5DB" w14:textId="0D839F4A" w:rsidR="0074049C" w:rsidRDefault="3ECE5274" w:rsidP="7B33A330">
      <w:pPr>
        <w:rPr>
          <w:rFonts w:eastAsia="Verdana" w:cs="Verdana"/>
          <w:szCs w:val="20"/>
        </w:rPr>
      </w:pPr>
      <w:r w:rsidRPr="7B33A330">
        <w:rPr>
          <w:rFonts w:eastAsia="Verdana" w:cs="Verdana"/>
          <w:szCs w:val="20"/>
        </w:rPr>
        <w:t xml:space="preserve">CSOs are embedded within their communities, deliver key services across local communities, have in-depth knowledge of local people, history, risks and vulnerabilities and are best placed to understand and identify their support needs. The services they provide are a critical feature of Australian society, complementing the income support system as well as health and education systems. As such, community service organisations comprise an essential component of the social infrastructure. </w:t>
      </w:r>
    </w:p>
    <w:p w14:paraId="49C1BE6D" w14:textId="118656E5" w:rsidR="3ECE5274" w:rsidRDefault="3ECE5274" w:rsidP="7B33A330">
      <w:pPr>
        <w:rPr>
          <w:rFonts w:eastAsia="Verdana" w:cs="Verdana"/>
          <w:szCs w:val="20"/>
        </w:rPr>
      </w:pPr>
      <w:r w:rsidRPr="7B33A330">
        <w:rPr>
          <w:rFonts w:eastAsia="Verdana" w:cs="Verdana"/>
          <w:szCs w:val="20"/>
        </w:rPr>
        <w:t>Indeed, for many people experiencing poverty, disadvantage and social exclusion, these organisations are often the primary source of connection to the broader community and form the basis of their resilience to everyday adversity as well as in times of crisis.</w:t>
      </w:r>
    </w:p>
    <w:p w14:paraId="3A993071" w14:textId="0F033682" w:rsidR="78BF7833" w:rsidRDefault="78BF7833" w:rsidP="7B33A330">
      <w:pPr>
        <w:rPr>
          <w:rFonts w:eastAsia="Verdana" w:cs="Verdana"/>
          <w:szCs w:val="20"/>
        </w:rPr>
      </w:pPr>
      <w:r w:rsidRPr="7B33A330">
        <w:rPr>
          <w:rFonts w:eastAsia="Verdana" w:cs="Verdana"/>
          <w:szCs w:val="20"/>
        </w:rPr>
        <w:t xml:space="preserve">Community organisations must be supported to improve organisational resilience </w:t>
      </w:r>
      <w:r w:rsidR="2015C78F" w:rsidRPr="7B33A330">
        <w:rPr>
          <w:rFonts w:eastAsia="Verdana" w:cs="Verdana"/>
          <w:szCs w:val="20"/>
        </w:rPr>
        <w:t xml:space="preserve">so they can </w:t>
      </w:r>
      <w:r w:rsidRPr="7B33A330">
        <w:rPr>
          <w:rFonts w:eastAsia="Verdana" w:cs="Verdana"/>
          <w:szCs w:val="20"/>
        </w:rPr>
        <w:t xml:space="preserve">continue to provide critical </w:t>
      </w:r>
      <w:r w:rsidR="3C2729C1" w:rsidRPr="7B33A330">
        <w:rPr>
          <w:rFonts w:eastAsia="Verdana" w:cs="Verdana"/>
          <w:szCs w:val="20"/>
        </w:rPr>
        <w:t xml:space="preserve">support </w:t>
      </w:r>
      <w:r w:rsidRPr="7B33A330">
        <w:rPr>
          <w:rFonts w:eastAsia="Verdana" w:cs="Verdana"/>
          <w:szCs w:val="20"/>
        </w:rPr>
        <w:t xml:space="preserve">to people and communities </w:t>
      </w:r>
      <w:r w:rsidR="58624F76" w:rsidRPr="7B33A330">
        <w:rPr>
          <w:rFonts w:eastAsia="Verdana" w:cs="Verdana"/>
          <w:szCs w:val="20"/>
        </w:rPr>
        <w:t>b</w:t>
      </w:r>
      <w:r w:rsidR="00C0F5CD" w:rsidRPr="7B33A330">
        <w:rPr>
          <w:rFonts w:eastAsia="Verdana" w:cs="Verdana"/>
          <w:szCs w:val="20"/>
        </w:rPr>
        <w:t xml:space="preserve">etter </w:t>
      </w:r>
      <w:r w:rsidR="517EB74E" w:rsidRPr="7B33A330">
        <w:rPr>
          <w:rFonts w:eastAsia="Verdana" w:cs="Verdana"/>
          <w:szCs w:val="20"/>
        </w:rPr>
        <w:t>prepar</w:t>
      </w:r>
      <w:r w:rsidR="3E5347D9" w:rsidRPr="7B33A330">
        <w:rPr>
          <w:rFonts w:eastAsia="Verdana" w:cs="Verdana"/>
          <w:szCs w:val="20"/>
        </w:rPr>
        <w:t>e</w:t>
      </w:r>
      <w:r w:rsidR="517EB74E" w:rsidRPr="7B33A330">
        <w:rPr>
          <w:rFonts w:eastAsia="Verdana" w:cs="Verdana"/>
          <w:szCs w:val="20"/>
        </w:rPr>
        <w:t>, respond and recover from natural disasters</w:t>
      </w:r>
      <w:r w:rsidRPr="7B33A330">
        <w:rPr>
          <w:rFonts w:eastAsia="Verdana" w:cs="Verdana"/>
          <w:szCs w:val="20"/>
        </w:rPr>
        <w:t>.</w:t>
      </w:r>
    </w:p>
    <w:p w14:paraId="7C201BE3" w14:textId="66F11783" w:rsidR="392AC67D" w:rsidRDefault="392AC67D" w:rsidP="7B33A330">
      <w:pPr>
        <w:rPr>
          <w:rFonts w:eastAsia="Verdana" w:cs="Verdana"/>
          <w:color w:val="auto"/>
          <w:szCs w:val="20"/>
        </w:rPr>
      </w:pPr>
      <w:r w:rsidRPr="7B33A330">
        <w:rPr>
          <w:rFonts w:eastAsia="Verdana" w:cs="Verdana"/>
          <w:color w:val="auto"/>
          <w:szCs w:val="20"/>
        </w:rPr>
        <w:t>T</w:t>
      </w:r>
      <w:r w:rsidR="0D7D4EDF" w:rsidRPr="7B33A330">
        <w:rPr>
          <w:rFonts w:eastAsia="Verdana" w:cs="Verdana"/>
          <w:color w:val="auto"/>
          <w:szCs w:val="20"/>
        </w:rPr>
        <w:t xml:space="preserve">he </w:t>
      </w:r>
      <w:r w:rsidR="00D167CF">
        <w:rPr>
          <w:rFonts w:eastAsia="Verdana" w:cs="Verdana"/>
          <w:color w:val="auto"/>
          <w:szCs w:val="20"/>
        </w:rPr>
        <w:t>F</w:t>
      </w:r>
      <w:r w:rsidR="00D167CF" w:rsidRPr="7B33A330">
        <w:rPr>
          <w:rFonts w:eastAsia="Verdana" w:cs="Verdana"/>
          <w:color w:val="auto"/>
          <w:szCs w:val="20"/>
        </w:rPr>
        <w:t xml:space="preserve">ederal </w:t>
      </w:r>
      <w:r w:rsidR="00D167CF">
        <w:rPr>
          <w:rFonts w:eastAsia="Verdana" w:cs="Verdana"/>
          <w:color w:val="auto"/>
          <w:szCs w:val="20"/>
        </w:rPr>
        <w:t>G</w:t>
      </w:r>
      <w:r w:rsidR="00D167CF" w:rsidRPr="7B33A330">
        <w:rPr>
          <w:rFonts w:eastAsia="Verdana" w:cs="Verdana"/>
          <w:color w:val="auto"/>
          <w:szCs w:val="20"/>
        </w:rPr>
        <w:t xml:space="preserve">overnment </w:t>
      </w:r>
      <w:r w:rsidR="00D167CF">
        <w:rPr>
          <w:rFonts w:eastAsia="Verdana" w:cs="Verdana"/>
          <w:color w:val="auto"/>
          <w:szCs w:val="20"/>
        </w:rPr>
        <w:t xml:space="preserve">should </w:t>
      </w:r>
      <w:r w:rsidR="0D7D4EDF" w:rsidRPr="7B33A330">
        <w:rPr>
          <w:rFonts w:eastAsia="Verdana" w:cs="Verdana"/>
          <w:color w:val="auto"/>
          <w:szCs w:val="20"/>
        </w:rPr>
        <w:t>provide resources to support community sector organisations to adapt to climate change, be better prepared for emergencies and disasters, and ensure continuity of care for vulnerable people, including:</w:t>
      </w:r>
    </w:p>
    <w:p w14:paraId="7EE9B9EA" w14:textId="2B60D28E" w:rsidR="00D167CF" w:rsidRDefault="00D167CF" w:rsidP="00846818">
      <w:pPr>
        <w:pStyle w:val="Heading4"/>
        <w:keepNext w:val="0"/>
        <w:numPr>
          <w:ilvl w:val="0"/>
          <w:numId w:val="39"/>
        </w:numPr>
        <w:spacing w:before="0" w:after="160"/>
        <w:ind w:left="357" w:hanging="357"/>
        <w:rPr>
          <w:rFonts w:ascii="Verdana" w:eastAsia="Verdana" w:hAnsi="Verdana" w:cs="Verdana"/>
          <w:b w:val="0"/>
          <w:color w:val="auto"/>
          <w:sz w:val="20"/>
          <w:szCs w:val="20"/>
        </w:rPr>
      </w:pPr>
      <w:r>
        <w:rPr>
          <w:rFonts w:ascii="Verdana" w:eastAsia="Verdana" w:hAnsi="Verdana" w:cs="Verdana"/>
          <w:b w:val="0"/>
          <w:color w:val="auto"/>
          <w:sz w:val="20"/>
          <w:szCs w:val="20"/>
        </w:rPr>
        <w:t>Supporting</w:t>
      </w:r>
      <w:r w:rsidRPr="00F13F51">
        <w:rPr>
          <w:rFonts w:ascii="Verdana" w:eastAsia="Verdana" w:hAnsi="Verdana" w:cs="Verdana"/>
          <w:b w:val="0"/>
          <w:color w:val="auto"/>
          <w:sz w:val="20"/>
          <w:szCs w:val="20"/>
        </w:rPr>
        <w:t xml:space="preserve"> community sector organisations to undertake </w:t>
      </w:r>
      <w:r w:rsidRPr="00E104F0">
        <w:rPr>
          <w:rFonts w:ascii="Verdana" w:eastAsia="Verdana" w:hAnsi="Verdana" w:cs="Verdana"/>
          <w:color w:val="auto"/>
          <w:sz w:val="20"/>
          <w:szCs w:val="20"/>
        </w:rPr>
        <w:t>sector specific risk assessments and implement disaster management and service continuity plans</w:t>
      </w:r>
      <w:r w:rsidRPr="00F13F51">
        <w:rPr>
          <w:rFonts w:ascii="Verdana" w:eastAsia="Verdana" w:hAnsi="Verdana" w:cs="Verdana"/>
          <w:b w:val="0"/>
          <w:color w:val="auto"/>
          <w:sz w:val="20"/>
          <w:szCs w:val="20"/>
        </w:rPr>
        <w:t xml:space="preserve">. </w:t>
      </w:r>
      <w:r>
        <w:rPr>
          <w:rFonts w:ascii="Verdana" w:eastAsia="Verdana" w:hAnsi="Verdana" w:cs="Verdana"/>
          <w:b w:val="0"/>
          <w:color w:val="auto"/>
          <w:sz w:val="20"/>
          <w:szCs w:val="20"/>
        </w:rPr>
        <w:t>This should i</w:t>
      </w:r>
      <w:r w:rsidRPr="0074049C">
        <w:rPr>
          <w:rFonts w:ascii="Verdana" w:eastAsia="Verdana" w:hAnsi="Verdana" w:cs="Verdana"/>
          <w:b w:val="0"/>
          <w:color w:val="auto"/>
          <w:sz w:val="20"/>
          <w:szCs w:val="20"/>
        </w:rPr>
        <w:t>nclude financial support for social sector peaks to strengthen the community sector specific disaster management tool, establish a community of practice and provide training to community sector organisations to implement.</w:t>
      </w:r>
      <w:r w:rsidRPr="0074049C">
        <w:rPr>
          <w:rStyle w:val="FootnoteReference"/>
          <w:rFonts w:ascii="Verdana" w:eastAsia="Verdana" w:hAnsi="Verdana" w:cs="Verdana"/>
          <w:b w:val="0"/>
          <w:color w:val="auto"/>
          <w:sz w:val="20"/>
          <w:szCs w:val="20"/>
        </w:rPr>
        <w:footnoteReference w:id="40"/>
      </w:r>
    </w:p>
    <w:p w14:paraId="46554AE0" w14:textId="3205C2E5" w:rsidR="00D167CF" w:rsidRDefault="00D167CF" w:rsidP="00846818">
      <w:pPr>
        <w:pStyle w:val="Heading4"/>
        <w:numPr>
          <w:ilvl w:val="0"/>
          <w:numId w:val="39"/>
        </w:numPr>
        <w:spacing w:before="0" w:after="160"/>
        <w:rPr>
          <w:rFonts w:ascii="Verdana" w:eastAsia="Verdana" w:hAnsi="Verdana" w:cs="Verdana"/>
          <w:b w:val="0"/>
          <w:color w:val="000000" w:themeColor="text1"/>
          <w:sz w:val="20"/>
          <w:szCs w:val="20"/>
        </w:rPr>
      </w:pPr>
      <w:r w:rsidRPr="00F13F51">
        <w:rPr>
          <w:rFonts w:ascii="Verdana" w:eastAsia="Verdana" w:hAnsi="Verdana" w:cs="Verdana"/>
          <w:b w:val="0"/>
          <w:color w:val="000000" w:themeColor="text1"/>
          <w:sz w:val="20"/>
          <w:szCs w:val="20"/>
        </w:rPr>
        <w:lastRenderedPageBreak/>
        <w:t xml:space="preserve">Creating an </w:t>
      </w:r>
      <w:r w:rsidRPr="00F13F51">
        <w:rPr>
          <w:rFonts w:ascii="Verdana" w:eastAsia="Verdana" w:hAnsi="Verdana" w:cs="Verdana"/>
          <w:color w:val="000000" w:themeColor="text1"/>
          <w:sz w:val="20"/>
          <w:szCs w:val="20"/>
        </w:rPr>
        <w:t>ongoing Disaster Management Grants Scheme</w:t>
      </w:r>
      <w:r w:rsidRPr="00F13F51">
        <w:rPr>
          <w:rFonts w:ascii="Verdana" w:eastAsia="Verdana" w:hAnsi="Verdana" w:cs="Verdana"/>
          <w:b w:val="0"/>
          <w:color w:val="000000" w:themeColor="text1"/>
          <w:sz w:val="20"/>
          <w:szCs w:val="20"/>
        </w:rPr>
        <w:t xml:space="preserve"> for </w:t>
      </w:r>
      <w:r>
        <w:rPr>
          <w:rFonts w:ascii="Verdana" w:eastAsia="Verdana" w:hAnsi="Verdana" w:cs="Verdana"/>
          <w:b w:val="0"/>
          <w:color w:val="000000" w:themeColor="text1"/>
          <w:sz w:val="20"/>
          <w:szCs w:val="20"/>
        </w:rPr>
        <w:t>CSOs</w:t>
      </w:r>
      <w:r w:rsidRPr="00F13F51">
        <w:rPr>
          <w:rFonts w:ascii="Verdana" w:eastAsia="Verdana" w:hAnsi="Verdana" w:cs="Verdana"/>
          <w:b w:val="0"/>
          <w:color w:val="000000" w:themeColor="text1"/>
          <w:sz w:val="20"/>
          <w:szCs w:val="20"/>
        </w:rPr>
        <w:t>.</w:t>
      </w:r>
      <w:r>
        <w:rPr>
          <w:rFonts w:ascii="Verdana" w:eastAsia="Verdana" w:hAnsi="Verdana" w:cs="Verdana"/>
          <w:b w:val="0"/>
          <w:color w:val="000000" w:themeColor="text1"/>
          <w:sz w:val="20"/>
          <w:szCs w:val="20"/>
        </w:rPr>
        <w:t xml:space="preserve"> </w:t>
      </w:r>
      <w:r w:rsidRPr="7B33A330">
        <w:rPr>
          <w:rFonts w:ascii="Verdana" w:eastAsia="Verdana" w:hAnsi="Verdana" w:cs="Verdana"/>
          <w:b w:val="0"/>
          <w:color w:val="000000" w:themeColor="text1"/>
          <w:sz w:val="20"/>
          <w:szCs w:val="20"/>
        </w:rPr>
        <w:t>The grants scheme would support CSOs participation in local, state and territory and national processes, as appropriate, to be better prepared for emergencies and disasters, to ensure continuity of care for people who face vulnerabilities, and to adapt to the effects of extreme weather events and the climate crisis. The proposed Disaster Management Grants Scheme for CSOs would offer rolling grants for the following purposes:</w:t>
      </w:r>
    </w:p>
    <w:p w14:paraId="4CDF12E0" w14:textId="51264E43" w:rsidR="00D167CF" w:rsidRPr="00F13F51" w:rsidRDefault="00D167CF" w:rsidP="00846818">
      <w:pPr>
        <w:pStyle w:val="Heading4"/>
        <w:numPr>
          <w:ilvl w:val="1"/>
          <w:numId w:val="39"/>
        </w:numPr>
        <w:tabs>
          <w:tab w:val="left" w:pos="851"/>
        </w:tabs>
        <w:spacing w:before="0" w:after="160"/>
        <w:ind w:left="850" w:hanging="357"/>
        <w:contextualSpacing/>
        <w:rPr>
          <w:rFonts w:ascii="Verdana" w:eastAsia="Verdana" w:hAnsi="Verdana" w:cs="Verdana"/>
          <w:b w:val="0"/>
          <w:color w:val="000000" w:themeColor="text1"/>
          <w:sz w:val="20"/>
          <w:szCs w:val="20"/>
        </w:rPr>
      </w:pPr>
      <w:proofErr w:type="gramStart"/>
      <w:r w:rsidRPr="00F13F51">
        <w:rPr>
          <w:rFonts w:ascii="Verdana" w:eastAsia="Verdana" w:hAnsi="Verdana" w:cs="Verdana"/>
          <w:b w:val="0"/>
          <w:color w:val="000000" w:themeColor="text1"/>
          <w:sz w:val="20"/>
          <w:szCs w:val="20"/>
        </w:rPr>
        <w:t>to</w:t>
      </w:r>
      <w:proofErr w:type="gramEnd"/>
      <w:r w:rsidRPr="00F13F51">
        <w:rPr>
          <w:rFonts w:ascii="Verdana" w:eastAsia="Verdana" w:hAnsi="Verdana" w:cs="Verdana"/>
          <w:b w:val="0"/>
          <w:color w:val="000000" w:themeColor="text1"/>
          <w:sz w:val="20"/>
          <w:szCs w:val="20"/>
        </w:rPr>
        <w:t xml:space="preserve"> participate in planning, response and recovery at appropriate levels; </w:t>
      </w:r>
    </w:p>
    <w:p w14:paraId="24E4094C" w14:textId="32955EEC" w:rsidR="00D167CF" w:rsidRPr="00F13F51" w:rsidRDefault="00D167CF" w:rsidP="00846818">
      <w:pPr>
        <w:pStyle w:val="Heading4"/>
        <w:numPr>
          <w:ilvl w:val="1"/>
          <w:numId w:val="39"/>
        </w:numPr>
        <w:tabs>
          <w:tab w:val="left" w:pos="851"/>
        </w:tabs>
        <w:spacing w:before="0" w:after="160"/>
        <w:ind w:left="850" w:hanging="357"/>
        <w:contextualSpacing/>
        <w:rPr>
          <w:rFonts w:ascii="Verdana" w:eastAsia="Verdana" w:hAnsi="Verdana" w:cs="Verdana"/>
          <w:b w:val="0"/>
          <w:color w:val="000000" w:themeColor="text1"/>
          <w:sz w:val="20"/>
          <w:szCs w:val="20"/>
        </w:rPr>
      </w:pPr>
      <w:proofErr w:type="gramStart"/>
      <w:r w:rsidRPr="00F13F51">
        <w:rPr>
          <w:rFonts w:ascii="Verdana" w:eastAsia="Verdana" w:hAnsi="Verdana" w:cs="Verdana"/>
          <w:b w:val="0"/>
          <w:color w:val="000000" w:themeColor="text1"/>
          <w:sz w:val="20"/>
          <w:szCs w:val="20"/>
        </w:rPr>
        <w:t>to</w:t>
      </w:r>
      <w:proofErr w:type="gramEnd"/>
      <w:r w:rsidRPr="00F13F51">
        <w:rPr>
          <w:rFonts w:ascii="Verdana" w:eastAsia="Verdana" w:hAnsi="Verdana" w:cs="Verdana"/>
          <w:b w:val="0"/>
          <w:color w:val="000000" w:themeColor="text1"/>
          <w:sz w:val="20"/>
          <w:szCs w:val="20"/>
        </w:rPr>
        <w:t xml:space="preserve"> undertake extreme weather preparedness and response training for staff, volunteers, and local communities; </w:t>
      </w:r>
    </w:p>
    <w:p w14:paraId="5B456DFE" w14:textId="0A9EB94D" w:rsidR="00D167CF" w:rsidRPr="00F13F51" w:rsidRDefault="00D167CF" w:rsidP="00846818">
      <w:pPr>
        <w:pStyle w:val="Heading4"/>
        <w:numPr>
          <w:ilvl w:val="1"/>
          <w:numId w:val="39"/>
        </w:numPr>
        <w:tabs>
          <w:tab w:val="left" w:pos="851"/>
        </w:tabs>
        <w:spacing w:before="0" w:after="160"/>
        <w:ind w:left="850" w:hanging="357"/>
        <w:contextualSpacing/>
        <w:rPr>
          <w:rFonts w:ascii="Verdana" w:eastAsia="Verdana" w:hAnsi="Verdana" w:cs="Verdana"/>
          <w:b w:val="0"/>
          <w:color w:val="000000" w:themeColor="text1"/>
          <w:sz w:val="20"/>
          <w:szCs w:val="20"/>
        </w:rPr>
      </w:pPr>
      <w:proofErr w:type="gramStart"/>
      <w:r w:rsidRPr="00F13F51">
        <w:rPr>
          <w:rFonts w:ascii="Verdana" w:eastAsia="Verdana" w:hAnsi="Verdana" w:cs="Verdana"/>
          <w:b w:val="0"/>
          <w:color w:val="000000" w:themeColor="text1"/>
          <w:sz w:val="20"/>
          <w:szCs w:val="20"/>
        </w:rPr>
        <w:t>to</w:t>
      </w:r>
      <w:proofErr w:type="gramEnd"/>
      <w:r w:rsidRPr="00F13F51">
        <w:rPr>
          <w:rFonts w:ascii="Verdana" w:eastAsia="Verdana" w:hAnsi="Verdana" w:cs="Verdana"/>
          <w:b w:val="0"/>
          <w:color w:val="000000" w:themeColor="text1"/>
          <w:sz w:val="20"/>
          <w:szCs w:val="20"/>
        </w:rPr>
        <w:t xml:space="preserve"> undertake sector specific risk assessments and implement disaster management and service continuity plans; and</w:t>
      </w:r>
    </w:p>
    <w:p w14:paraId="11998AC2" w14:textId="2E883530" w:rsidR="00D167CF" w:rsidRPr="00F13F51" w:rsidRDefault="00D167CF" w:rsidP="00846818">
      <w:pPr>
        <w:pStyle w:val="Heading4"/>
        <w:numPr>
          <w:ilvl w:val="1"/>
          <w:numId w:val="39"/>
        </w:numPr>
        <w:tabs>
          <w:tab w:val="left" w:pos="851"/>
        </w:tabs>
        <w:spacing w:before="0" w:after="160"/>
        <w:ind w:left="851"/>
        <w:rPr>
          <w:rFonts w:ascii="Verdana" w:eastAsia="Verdana" w:hAnsi="Verdana" w:cs="Verdana"/>
          <w:b w:val="0"/>
          <w:color w:val="000000" w:themeColor="text1"/>
          <w:sz w:val="20"/>
          <w:szCs w:val="20"/>
        </w:rPr>
      </w:pPr>
      <w:r w:rsidRPr="00F13F51">
        <w:rPr>
          <w:rFonts w:ascii="Verdana" w:eastAsia="Verdana" w:hAnsi="Verdana" w:cs="Verdana"/>
          <w:b w:val="0"/>
          <w:color w:val="000000" w:themeColor="text1"/>
          <w:sz w:val="20"/>
          <w:szCs w:val="20"/>
        </w:rPr>
        <w:t>to undertake adaptation and preparedness benchmarking specific to community service provisions that enable organisations, their funding agencies and insurers to plot progress towards risk reduction, resilience and adaptive capacity.</w:t>
      </w:r>
    </w:p>
    <w:p w14:paraId="59EA67D9" w14:textId="0B9A8BA5" w:rsidR="00D167CF" w:rsidRDefault="00D167CF" w:rsidP="00846818">
      <w:pPr>
        <w:pStyle w:val="Heading4"/>
        <w:numPr>
          <w:ilvl w:val="0"/>
          <w:numId w:val="39"/>
        </w:numPr>
        <w:spacing w:before="0" w:after="160"/>
        <w:rPr>
          <w:rFonts w:ascii="Verdana" w:eastAsia="Verdana" w:hAnsi="Verdana" w:cs="Verdana"/>
          <w:b w:val="0"/>
          <w:color w:val="auto"/>
          <w:sz w:val="20"/>
          <w:szCs w:val="20"/>
        </w:rPr>
      </w:pPr>
      <w:r w:rsidRPr="00F13F51">
        <w:rPr>
          <w:rFonts w:ascii="Verdana" w:eastAsia="Verdana" w:hAnsi="Verdana" w:cs="Verdana"/>
          <w:b w:val="0"/>
          <w:color w:val="auto"/>
          <w:sz w:val="20"/>
          <w:szCs w:val="20"/>
        </w:rPr>
        <w:t xml:space="preserve">Providing a </w:t>
      </w:r>
      <w:r w:rsidRPr="005855C0">
        <w:rPr>
          <w:rFonts w:ascii="Verdana" w:eastAsia="Verdana" w:hAnsi="Verdana" w:cs="Verdana"/>
          <w:color w:val="auto"/>
          <w:sz w:val="20"/>
          <w:szCs w:val="20"/>
        </w:rPr>
        <w:t>contingency</w:t>
      </w:r>
      <w:r w:rsidRPr="00E104F0">
        <w:rPr>
          <w:rFonts w:ascii="Verdana" w:eastAsia="Verdana" w:hAnsi="Verdana" w:cs="Verdana"/>
          <w:color w:val="auto"/>
          <w:sz w:val="20"/>
          <w:szCs w:val="20"/>
        </w:rPr>
        <w:t xml:space="preserve"> fund and ensure contracts for service delivery provide greater flexibility</w:t>
      </w:r>
      <w:r w:rsidRPr="00F13F51">
        <w:rPr>
          <w:rFonts w:ascii="Verdana" w:eastAsia="Verdana" w:hAnsi="Verdana" w:cs="Verdana"/>
          <w:b w:val="0"/>
          <w:color w:val="auto"/>
          <w:sz w:val="20"/>
          <w:szCs w:val="20"/>
        </w:rPr>
        <w:t xml:space="preserve"> to </w:t>
      </w:r>
      <w:r>
        <w:rPr>
          <w:rFonts w:ascii="Verdana" w:eastAsia="Verdana" w:hAnsi="Verdana" w:cs="Verdana"/>
          <w:b w:val="0"/>
          <w:color w:val="auto"/>
          <w:sz w:val="20"/>
          <w:szCs w:val="20"/>
        </w:rPr>
        <w:t>CSOs</w:t>
      </w:r>
      <w:r w:rsidRPr="00F13F51">
        <w:rPr>
          <w:rFonts w:ascii="Verdana" w:eastAsia="Verdana" w:hAnsi="Verdana" w:cs="Verdana"/>
          <w:b w:val="0"/>
          <w:color w:val="auto"/>
          <w:sz w:val="20"/>
          <w:szCs w:val="20"/>
        </w:rPr>
        <w:t xml:space="preserve"> and enable them to participate effectively in disaster response and recovery efforts. </w:t>
      </w:r>
      <w:r w:rsidRPr="7B33A330">
        <w:rPr>
          <w:rFonts w:ascii="Verdana" w:eastAsia="Verdana" w:hAnsi="Verdana" w:cs="Verdana"/>
          <w:b w:val="0"/>
          <w:color w:val="auto"/>
          <w:sz w:val="20"/>
          <w:szCs w:val="20"/>
        </w:rPr>
        <w:t>Specifically, they should include provisions and additional funding that:</w:t>
      </w:r>
    </w:p>
    <w:p w14:paraId="109ED404" w14:textId="51C0E9A7" w:rsidR="00D167CF" w:rsidRPr="00F13F51" w:rsidRDefault="00D167CF" w:rsidP="00846818">
      <w:pPr>
        <w:pStyle w:val="Heading4"/>
        <w:numPr>
          <w:ilvl w:val="1"/>
          <w:numId w:val="39"/>
        </w:numPr>
        <w:tabs>
          <w:tab w:val="left" w:pos="851"/>
        </w:tabs>
        <w:spacing w:before="0" w:after="160"/>
        <w:ind w:left="850" w:hanging="357"/>
        <w:contextualSpacing/>
        <w:rPr>
          <w:rFonts w:ascii="Verdana" w:eastAsia="Verdana" w:hAnsi="Verdana" w:cs="Verdana"/>
          <w:b w:val="0"/>
          <w:color w:val="000000" w:themeColor="text1"/>
          <w:sz w:val="20"/>
          <w:szCs w:val="20"/>
        </w:rPr>
      </w:pPr>
      <w:proofErr w:type="gramStart"/>
      <w:r>
        <w:rPr>
          <w:rFonts w:ascii="Verdana" w:eastAsia="Verdana" w:hAnsi="Verdana" w:cs="Verdana"/>
          <w:b w:val="0"/>
          <w:color w:val="000000" w:themeColor="text1"/>
          <w:sz w:val="20"/>
          <w:szCs w:val="20"/>
        </w:rPr>
        <w:t>e</w:t>
      </w:r>
      <w:r w:rsidRPr="00F13F51">
        <w:rPr>
          <w:rFonts w:ascii="Verdana" w:eastAsia="Verdana" w:hAnsi="Verdana" w:cs="Verdana"/>
          <w:b w:val="0"/>
          <w:color w:val="000000" w:themeColor="text1"/>
          <w:sz w:val="20"/>
          <w:szCs w:val="20"/>
        </w:rPr>
        <w:t>nable</w:t>
      </w:r>
      <w:proofErr w:type="gramEnd"/>
      <w:r w:rsidRPr="00F13F51">
        <w:rPr>
          <w:rFonts w:ascii="Verdana" w:eastAsia="Verdana" w:hAnsi="Verdana" w:cs="Verdana"/>
          <w:b w:val="0"/>
          <w:color w:val="000000" w:themeColor="text1"/>
          <w:sz w:val="20"/>
          <w:szCs w:val="20"/>
        </w:rPr>
        <w:t xml:space="preserve"> </w:t>
      </w:r>
      <w:r>
        <w:rPr>
          <w:rFonts w:ascii="Verdana" w:eastAsia="Verdana" w:hAnsi="Verdana" w:cs="Verdana"/>
          <w:b w:val="0"/>
          <w:color w:val="000000" w:themeColor="text1"/>
          <w:sz w:val="20"/>
          <w:szCs w:val="20"/>
        </w:rPr>
        <w:t>CSOs</w:t>
      </w:r>
      <w:r w:rsidRPr="00F13F51">
        <w:rPr>
          <w:rFonts w:ascii="Verdana" w:eastAsia="Verdana" w:hAnsi="Verdana" w:cs="Verdana"/>
          <w:b w:val="0"/>
          <w:color w:val="000000" w:themeColor="text1"/>
          <w:sz w:val="20"/>
          <w:szCs w:val="20"/>
        </w:rPr>
        <w:t xml:space="preserve"> to manage surge capacity to meet the increased demand for services placed upon community sector organisations following an emergency;</w:t>
      </w:r>
    </w:p>
    <w:p w14:paraId="38384B4F" w14:textId="0D6A5DB3" w:rsidR="00D167CF" w:rsidRPr="00F13F51" w:rsidRDefault="00D167CF" w:rsidP="00846818">
      <w:pPr>
        <w:pStyle w:val="Heading4"/>
        <w:numPr>
          <w:ilvl w:val="1"/>
          <w:numId w:val="39"/>
        </w:numPr>
        <w:tabs>
          <w:tab w:val="left" w:pos="851"/>
        </w:tabs>
        <w:spacing w:before="0" w:after="160"/>
        <w:ind w:left="850" w:hanging="357"/>
        <w:contextualSpacing/>
        <w:rPr>
          <w:rFonts w:ascii="Verdana" w:eastAsia="Verdana" w:hAnsi="Verdana" w:cs="Verdana"/>
          <w:b w:val="0"/>
          <w:color w:val="000000" w:themeColor="text1"/>
          <w:sz w:val="20"/>
          <w:szCs w:val="20"/>
        </w:rPr>
      </w:pPr>
      <w:proofErr w:type="gramStart"/>
      <w:r>
        <w:rPr>
          <w:rFonts w:ascii="Verdana" w:eastAsia="Verdana" w:hAnsi="Verdana" w:cs="Verdana"/>
          <w:b w:val="0"/>
          <w:color w:val="000000" w:themeColor="text1"/>
          <w:sz w:val="20"/>
          <w:szCs w:val="20"/>
        </w:rPr>
        <w:t>e</w:t>
      </w:r>
      <w:r w:rsidRPr="00F13F51">
        <w:rPr>
          <w:rFonts w:ascii="Verdana" w:eastAsia="Verdana" w:hAnsi="Verdana" w:cs="Verdana"/>
          <w:b w:val="0"/>
          <w:color w:val="000000" w:themeColor="text1"/>
          <w:sz w:val="20"/>
          <w:szCs w:val="20"/>
        </w:rPr>
        <w:t>nsure</w:t>
      </w:r>
      <w:proofErr w:type="gramEnd"/>
      <w:r w:rsidRPr="00F13F51">
        <w:rPr>
          <w:rFonts w:ascii="Verdana" w:eastAsia="Verdana" w:hAnsi="Verdana" w:cs="Verdana"/>
          <w:b w:val="0"/>
          <w:color w:val="000000" w:themeColor="text1"/>
          <w:sz w:val="20"/>
          <w:szCs w:val="20"/>
        </w:rPr>
        <w:t xml:space="preserve"> timely compensation for their contributions to response and recovery efforts; and</w:t>
      </w:r>
    </w:p>
    <w:p w14:paraId="07739498" w14:textId="64A7D7F5" w:rsidR="00D167CF" w:rsidRDefault="00D167CF" w:rsidP="00846818">
      <w:pPr>
        <w:pStyle w:val="Heading4"/>
        <w:numPr>
          <w:ilvl w:val="1"/>
          <w:numId w:val="39"/>
        </w:numPr>
        <w:tabs>
          <w:tab w:val="left" w:pos="851"/>
        </w:tabs>
        <w:spacing w:before="0" w:after="160"/>
        <w:ind w:left="851"/>
        <w:rPr>
          <w:rFonts w:ascii="Verdana" w:eastAsia="Verdana" w:hAnsi="Verdana" w:cs="Verdana"/>
          <w:b w:val="0"/>
          <w:color w:val="000000" w:themeColor="text1"/>
          <w:sz w:val="20"/>
          <w:szCs w:val="20"/>
        </w:rPr>
      </w:pPr>
      <w:proofErr w:type="gramStart"/>
      <w:r>
        <w:rPr>
          <w:rFonts w:ascii="Verdana" w:eastAsia="Verdana" w:hAnsi="Verdana" w:cs="Verdana"/>
          <w:b w:val="0"/>
          <w:color w:val="000000" w:themeColor="text1"/>
          <w:sz w:val="20"/>
          <w:szCs w:val="20"/>
        </w:rPr>
        <w:t>e</w:t>
      </w:r>
      <w:r w:rsidRPr="00F13F51">
        <w:rPr>
          <w:rFonts w:ascii="Verdana" w:eastAsia="Verdana" w:hAnsi="Verdana" w:cs="Verdana"/>
          <w:b w:val="0"/>
          <w:color w:val="000000" w:themeColor="text1"/>
          <w:sz w:val="20"/>
          <w:szCs w:val="20"/>
        </w:rPr>
        <w:t>nsure</w:t>
      </w:r>
      <w:proofErr w:type="gramEnd"/>
      <w:r w:rsidRPr="00F13F51">
        <w:rPr>
          <w:rFonts w:ascii="Verdana" w:eastAsia="Verdana" w:hAnsi="Verdana" w:cs="Verdana"/>
          <w:b w:val="0"/>
          <w:color w:val="000000" w:themeColor="text1"/>
          <w:sz w:val="20"/>
          <w:szCs w:val="20"/>
        </w:rPr>
        <w:t xml:space="preserve"> they are not penalised for failing to meet contractual obligations due to their participation in disaster response and recovery; </w:t>
      </w:r>
    </w:p>
    <w:p w14:paraId="66DF4BFF" w14:textId="7CF3EBB6" w:rsidR="00020FFB" w:rsidRPr="0006088A" w:rsidRDefault="00DD2325" w:rsidP="0006088A">
      <w:pPr>
        <w:pStyle w:val="Heading4"/>
        <w:rPr>
          <w:rFonts w:ascii="Verdana" w:eastAsia="Verdana" w:hAnsi="Verdana" w:cs="Verdana"/>
          <w:color w:val="auto"/>
          <w:sz w:val="20"/>
          <w:szCs w:val="20"/>
        </w:rPr>
      </w:pPr>
      <w:r>
        <w:rPr>
          <w:rFonts w:ascii="Verdana" w:eastAsia="Verdana" w:hAnsi="Verdana" w:cs="Verdana"/>
          <w:bCs/>
          <w:iCs w:val="0"/>
          <w:color w:val="C00000"/>
          <w:sz w:val="20"/>
          <w:szCs w:val="20"/>
        </w:rPr>
        <w:t xml:space="preserve">Recommendation </w:t>
      </w:r>
      <w:r w:rsidR="00D167CF">
        <w:rPr>
          <w:rFonts w:ascii="Verdana" w:eastAsia="Verdana" w:hAnsi="Verdana" w:cs="Verdana"/>
          <w:bCs/>
          <w:iCs w:val="0"/>
          <w:color w:val="C00000"/>
          <w:sz w:val="20"/>
          <w:szCs w:val="20"/>
        </w:rPr>
        <w:t>2</w:t>
      </w:r>
      <w:r w:rsidR="00E23A40">
        <w:rPr>
          <w:rFonts w:ascii="Verdana" w:eastAsia="Verdana" w:hAnsi="Verdana" w:cs="Verdana"/>
          <w:bCs/>
          <w:iCs w:val="0"/>
          <w:color w:val="C00000"/>
          <w:sz w:val="20"/>
          <w:szCs w:val="20"/>
        </w:rPr>
        <w:t>6</w:t>
      </w:r>
      <w:r w:rsidR="0074049C">
        <w:rPr>
          <w:rFonts w:ascii="Verdana" w:eastAsia="Verdana" w:hAnsi="Verdana" w:cs="Verdana"/>
          <w:bCs/>
          <w:iCs w:val="0"/>
          <w:color w:val="C00000"/>
          <w:sz w:val="20"/>
          <w:szCs w:val="20"/>
        </w:rPr>
        <w:t>:</w:t>
      </w:r>
      <w:r w:rsidR="046286CF" w:rsidRPr="0074049C">
        <w:rPr>
          <w:rFonts w:ascii="Verdana" w:eastAsia="Verdana" w:hAnsi="Verdana" w:cs="Verdana"/>
          <w:b w:val="0"/>
          <w:color w:val="auto"/>
          <w:sz w:val="20"/>
          <w:szCs w:val="20"/>
        </w:rPr>
        <w:t xml:space="preserve"> </w:t>
      </w:r>
      <w:r w:rsidR="00D167CF">
        <w:rPr>
          <w:rFonts w:ascii="Verdana" w:eastAsia="Verdana" w:hAnsi="Verdana" w:cs="Verdana"/>
          <w:color w:val="auto"/>
          <w:sz w:val="20"/>
          <w:szCs w:val="20"/>
        </w:rPr>
        <w:t>Strengthen resilience of community sector organisations by:</w:t>
      </w:r>
      <w:r w:rsidR="0006088A">
        <w:rPr>
          <w:rFonts w:ascii="Verdana" w:eastAsia="Verdana" w:hAnsi="Verdana" w:cs="Verdana"/>
          <w:color w:val="auto"/>
          <w:sz w:val="20"/>
          <w:szCs w:val="20"/>
        </w:rPr>
        <w:br/>
      </w:r>
    </w:p>
    <w:p w14:paraId="16854B85" w14:textId="7A4DBEE0" w:rsidR="473E2C52" w:rsidRPr="005855C0" w:rsidRDefault="0026289A" w:rsidP="0026289A">
      <w:pPr>
        <w:pStyle w:val="ListNumber"/>
        <w:numPr>
          <w:ilvl w:val="0"/>
          <w:numId w:val="0"/>
        </w:numPr>
        <w:tabs>
          <w:tab w:val="left" w:pos="567"/>
        </w:tabs>
        <w:contextualSpacing w:val="0"/>
        <w:rPr>
          <w:b/>
          <w:color w:val="auto"/>
        </w:rPr>
      </w:pPr>
      <w:r>
        <w:rPr>
          <w:rFonts w:eastAsia="Verdana" w:cs="Verdana"/>
          <w:b/>
          <w:color w:val="auto"/>
        </w:rPr>
        <w:t xml:space="preserve">(1) </w:t>
      </w:r>
      <w:r w:rsidR="0D7D4EDF" w:rsidRPr="00F13F51">
        <w:rPr>
          <w:rFonts w:eastAsia="Verdana" w:cs="Verdana"/>
          <w:b/>
          <w:color w:val="auto"/>
        </w:rPr>
        <w:t>Support</w:t>
      </w:r>
      <w:r w:rsidR="00D167CF" w:rsidRPr="00F13F51">
        <w:rPr>
          <w:rFonts w:eastAsia="Verdana" w:cs="Verdana"/>
          <w:b/>
          <w:color w:val="auto"/>
        </w:rPr>
        <w:t>ing</w:t>
      </w:r>
      <w:r w:rsidR="0D7D4EDF" w:rsidRPr="00F13F51">
        <w:rPr>
          <w:rFonts w:eastAsia="Verdana" w:cs="Verdana"/>
          <w:b/>
          <w:color w:val="auto"/>
        </w:rPr>
        <w:t xml:space="preserve"> community sector organisations to undertake sector specific risk assessments and implement disaster management and service continuity plans</w:t>
      </w:r>
      <w:r w:rsidR="00E23A40">
        <w:rPr>
          <w:rFonts w:eastAsia="Verdana" w:cs="Verdana"/>
          <w:b/>
          <w:color w:val="auto"/>
        </w:rPr>
        <w:t>.</w:t>
      </w:r>
      <w:r w:rsidR="00D167CF" w:rsidRPr="00F13F51">
        <w:rPr>
          <w:rFonts w:eastAsia="Verdana" w:cs="Verdana"/>
          <w:b/>
          <w:color w:val="auto"/>
        </w:rPr>
        <w:t xml:space="preserve"> </w:t>
      </w:r>
      <w:r w:rsidR="00E23A40">
        <w:rPr>
          <w:rFonts w:eastAsia="Verdana" w:cs="Verdana"/>
          <w:b/>
          <w:color w:val="auto"/>
          <w:szCs w:val="20"/>
        </w:rPr>
        <w:t>This should i</w:t>
      </w:r>
      <w:r w:rsidR="00E23A40" w:rsidRPr="0074049C">
        <w:rPr>
          <w:rFonts w:eastAsia="Verdana" w:cs="Verdana"/>
          <w:b/>
          <w:color w:val="auto"/>
          <w:szCs w:val="20"/>
        </w:rPr>
        <w:t>nclude financial support for social sector peaks to strengthen the community sector specific disaster management tool, establish a community of practice and provide training to community sector organisations to implement</w:t>
      </w:r>
      <w:r w:rsidR="00D167CF" w:rsidRPr="00F13F51">
        <w:rPr>
          <w:rFonts w:eastAsia="Verdana" w:cs="Verdana"/>
          <w:b/>
          <w:color w:val="auto"/>
        </w:rPr>
        <w:t xml:space="preserve"> </w:t>
      </w:r>
      <w:r w:rsidR="00D167CF" w:rsidRPr="00F13F51">
        <w:rPr>
          <w:rFonts w:eastAsia="Verdana" w:cs="Verdana"/>
          <w:b/>
          <w:bCs/>
          <w:color w:val="auto"/>
          <w:szCs w:val="20"/>
        </w:rPr>
        <w:t>(</w:t>
      </w:r>
      <w:r w:rsidR="00D167CF" w:rsidRPr="00F13F51">
        <w:rPr>
          <w:rFonts w:eastAsia="Verdana" w:cs="Verdana"/>
          <w:b/>
          <w:bCs/>
          <w:i/>
          <w:color w:val="auto"/>
          <w:szCs w:val="20"/>
        </w:rPr>
        <w:t>-</w:t>
      </w:r>
      <w:r w:rsidR="473E2C52" w:rsidRPr="00F13F51">
        <w:rPr>
          <w:rFonts w:eastAsiaTheme="minorEastAsia"/>
          <w:b/>
          <w:bCs/>
          <w:i/>
          <w:color w:val="auto"/>
          <w:szCs w:val="20"/>
        </w:rPr>
        <w:t>$1 million</w:t>
      </w:r>
      <w:r w:rsidR="00D167CF" w:rsidRPr="00F13F51">
        <w:rPr>
          <w:rFonts w:eastAsiaTheme="minorEastAsia"/>
          <w:b/>
          <w:bCs/>
          <w:i/>
          <w:color w:val="auto"/>
          <w:szCs w:val="20"/>
        </w:rPr>
        <w:t>;</w:t>
      </w:r>
      <w:r w:rsidR="473E2C52" w:rsidRPr="00F13F51">
        <w:rPr>
          <w:rFonts w:eastAsiaTheme="minorEastAsia"/>
          <w:b/>
          <w:bCs/>
          <w:i/>
          <w:color w:val="auto"/>
          <w:szCs w:val="20"/>
        </w:rPr>
        <w:t xml:space="preserve"> </w:t>
      </w:r>
      <w:r w:rsidR="00D167CF" w:rsidRPr="00F13F51">
        <w:rPr>
          <w:rFonts w:eastAsiaTheme="minorEastAsia"/>
          <w:b/>
          <w:bCs/>
          <w:i/>
          <w:color w:val="auto"/>
          <w:szCs w:val="20"/>
        </w:rPr>
        <w:t>-</w:t>
      </w:r>
      <w:r w:rsidR="473E2C52" w:rsidRPr="00F13F51">
        <w:rPr>
          <w:rFonts w:eastAsiaTheme="minorEastAsia"/>
          <w:b/>
          <w:bCs/>
          <w:i/>
          <w:color w:val="auto"/>
          <w:szCs w:val="20"/>
        </w:rPr>
        <w:t>$1 million in 2022-23</w:t>
      </w:r>
      <w:r w:rsidR="473E2C52" w:rsidRPr="00F13F51">
        <w:rPr>
          <w:rFonts w:eastAsiaTheme="minorEastAsia"/>
          <w:b/>
          <w:bCs/>
          <w:color w:val="auto"/>
          <w:szCs w:val="20"/>
        </w:rPr>
        <w:t>)</w:t>
      </w:r>
      <w:r w:rsidR="00E23A40">
        <w:rPr>
          <w:rFonts w:eastAsiaTheme="minorEastAsia"/>
          <w:b/>
          <w:bCs/>
          <w:color w:val="auto"/>
          <w:szCs w:val="20"/>
        </w:rPr>
        <w:t>.</w:t>
      </w:r>
    </w:p>
    <w:p w14:paraId="01DF7D26" w14:textId="4B6C9371" w:rsidR="67A1BD88" w:rsidRPr="005855C0" w:rsidRDefault="0026289A" w:rsidP="0026289A">
      <w:pPr>
        <w:pStyle w:val="ListNumber"/>
        <w:numPr>
          <w:ilvl w:val="0"/>
          <w:numId w:val="0"/>
        </w:numPr>
        <w:tabs>
          <w:tab w:val="left" w:pos="567"/>
        </w:tabs>
        <w:contextualSpacing w:val="0"/>
        <w:rPr>
          <w:rFonts w:eastAsiaTheme="minorEastAsia"/>
          <w:b/>
          <w:bCs/>
          <w:color w:val="auto"/>
          <w:szCs w:val="20"/>
        </w:rPr>
      </w:pPr>
      <w:r>
        <w:rPr>
          <w:rFonts w:eastAsia="Verdana" w:cs="Verdana"/>
          <w:b/>
          <w:bCs/>
          <w:iCs/>
          <w:color w:val="auto"/>
          <w:szCs w:val="20"/>
        </w:rPr>
        <w:t xml:space="preserve">(2) </w:t>
      </w:r>
      <w:r w:rsidR="00D167CF" w:rsidRPr="00E23A40">
        <w:rPr>
          <w:rFonts w:eastAsia="Verdana" w:cs="Verdana"/>
          <w:b/>
          <w:bCs/>
          <w:iCs/>
          <w:color w:val="auto"/>
          <w:szCs w:val="20"/>
        </w:rPr>
        <w:t>Creating</w:t>
      </w:r>
      <w:r w:rsidR="15541D01" w:rsidRPr="00E23A40">
        <w:rPr>
          <w:rFonts w:eastAsia="Verdana" w:cs="Verdana"/>
          <w:b/>
          <w:bCs/>
          <w:color w:val="auto"/>
          <w:szCs w:val="20"/>
        </w:rPr>
        <w:t xml:space="preserve"> an ongoing Disaster Management Grants Scheme for Community Sector Organisations</w:t>
      </w:r>
      <w:r w:rsidR="29B8AFC2" w:rsidRPr="005855C0">
        <w:rPr>
          <w:rFonts w:eastAsia="Verdana" w:cs="Verdana"/>
          <w:bCs/>
          <w:color w:val="auto"/>
          <w:szCs w:val="20"/>
        </w:rPr>
        <w:t xml:space="preserve"> </w:t>
      </w:r>
      <w:r w:rsidR="00D167CF" w:rsidRPr="00F13F51">
        <w:rPr>
          <w:rFonts w:eastAsia="Verdana" w:cs="Verdana"/>
          <w:b/>
          <w:bCs/>
          <w:color w:val="auto"/>
          <w:szCs w:val="20"/>
        </w:rPr>
        <w:t>(-</w:t>
      </w:r>
      <w:r w:rsidR="67A1BD88" w:rsidRPr="00F13F51">
        <w:rPr>
          <w:rFonts w:eastAsiaTheme="minorEastAsia"/>
          <w:b/>
          <w:bCs/>
          <w:i/>
          <w:color w:val="auto"/>
          <w:szCs w:val="20"/>
        </w:rPr>
        <w:t>$</w:t>
      </w:r>
      <w:r w:rsidR="0CEB3E89" w:rsidRPr="00F13F51">
        <w:rPr>
          <w:rFonts w:eastAsiaTheme="minorEastAsia"/>
          <w:b/>
          <w:bCs/>
          <w:i/>
          <w:color w:val="auto"/>
          <w:szCs w:val="20"/>
        </w:rPr>
        <w:t>2</w:t>
      </w:r>
      <w:r w:rsidR="1041F73C" w:rsidRPr="00F13F51">
        <w:rPr>
          <w:rFonts w:eastAsiaTheme="minorEastAsia"/>
          <w:b/>
          <w:bCs/>
          <w:i/>
          <w:color w:val="auto"/>
          <w:szCs w:val="20"/>
        </w:rPr>
        <w:t>2</w:t>
      </w:r>
      <w:r w:rsidR="62841B0A" w:rsidRPr="00F13F51">
        <w:rPr>
          <w:rFonts w:eastAsiaTheme="minorEastAsia"/>
          <w:b/>
          <w:bCs/>
          <w:i/>
          <w:color w:val="auto"/>
          <w:szCs w:val="20"/>
        </w:rPr>
        <w:t>0</w:t>
      </w:r>
      <w:r w:rsidR="67A1BD88" w:rsidRPr="00F13F51">
        <w:rPr>
          <w:rFonts w:eastAsiaTheme="minorEastAsia"/>
          <w:b/>
          <w:bCs/>
          <w:i/>
          <w:color w:val="auto"/>
          <w:szCs w:val="20"/>
        </w:rPr>
        <w:t xml:space="preserve"> million</w:t>
      </w:r>
      <w:r w:rsidR="00D167CF" w:rsidRPr="00F13F51">
        <w:rPr>
          <w:rFonts w:eastAsiaTheme="minorEastAsia"/>
          <w:b/>
          <w:bCs/>
          <w:i/>
          <w:color w:val="auto"/>
          <w:szCs w:val="20"/>
        </w:rPr>
        <w:t>; -</w:t>
      </w:r>
      <w:r w:rsidR="67A1BD88" w:rsidRPr="00F13F51">
        <w:rPr>
          <w:rFonts w:eastAsiaTheme="minorEastAsia"/>
          <w:b/>
          <w:bCs/>
          <w:i/>
          <w:color w:val="auto"/>
          <w:szCs w:val="20"/>
        </w:rPr>
        <w:t>$</w:t>
      </w:r>
      <w:r w:rsidR="50D75B08" w:rsidRPr="00F13F51">
        <w:rPr>
          <w:rFonts w:eastAsiaTheme="minorEastAsia"/>
          <w:b/>
          <w:bCs/>
          <w:i/>
          <w:color w:val="auto"/>
          <w:szCs w:val="20"/>
        </w:rPr>
        <w:t>220</w:t>
      </w:r>
      <w:r w:rsidR="67A1BD88" w:rsidRPr="00F13F51">
        <w:rPr>
          <w:rFonts w:eastAsiaTheme="minorEastAsia"/>
          <w:b/>
          <w:bCs/>
          <w:i/>
          <w:color w:val="auto"/>
          <w:szCs w:val="20"/>
        </w:rPr>
        <w:t xml:space="preserve"> million in 2022-23)</w:t>
      </w:r>
      <w:r w:rsidR="67A1BD88" w:rsidRPr="00F13F51">
        <w:rPr>
          <w:rStyle w:val="FootnoteReference"/>
          <w:rFonts w:eastAsiaTheme="minorEastAsia"/>
          <w:b/>
          <w:bCs/>
          <w:color w:val="auto"/>
          <w:szCs w:val="20"/>
        </w:rPr>
        <w:footnoteReference w:id="41"/>
      </w:r>
    </w:p>
    <w:p w14:paraId="74638D9B" w14:textId="04DBF907" w:rsidR="2BF8558B" w:rsidRPr="005855C0" w:rsidRDefault="00515F9E" w:rsidP="0026289A">
      <w:pPr>
        <w:pStyle w:val="ListNumber"/>
        <w:numPr>
          <w:ilvl w:val="0"/>
          <w:numId w:val="0"/>
        </w:numPr>
        <w:tabs>
          <w:tab w:val="left" w:pos="567"/>
        </w:tabs>
        <w:contextualSpacing w:val="0"/>
        <w:rPr>
          <w:rFonts w:eastAsiaTheme="minorEastAsia"/>
          <w:b/>
          <w:bCs/>
          <w:szCs w:val="20"/>
        </w:rPr>
      </w:pPr>
      <w:r>
        <w:rPr>
          <w:rFonts w:eastAsia="Verdana" w:cs="Verdana"/>
          <w:b/>
          <w:bCs/>
          <w:iCs/>
          <w:color w:val="auto"/>
          <w:szCs w:val="20"/>
        </w:rPr>
        <w:t xml:space="preserve">(3) </w:t>
      </w:r>
      <w:r w:rsidRPr="00E23A40">
        <w:rPr>
          <w:rFonts w:eastAsia="Verdana" w:cs="Verdana"/>
          <w:b/>
          <w:bCs/>
          <w:iCs/>
          <w:color w:val="auto"/>
          <w:szCs w:val="20"/>
        </w:rPr>
        <w:t>Providing</w:t>
      </w:r>
      <w:r w:rsidRPr="00E23A40">
        <w:rPr>
          <w:rFonts w:eastAsia="Verdana" w:cs="Verdana"/>
          <w:b/>
          <w:bCs/>
          <w:color w:val="auto"/>
          <w:szCs w:val="20"/>
        </w:rPr>
        <w:t xml:space="preserve"> a contingency fund and ensure contracts for service delivery provide greater flexibility to community service organisations and enable them to participate effectively in disaster response and recovery efforts</w:t>
      </w:r>
      <w:r w:rsidRPr="005855C0">
        <w:rPr>
          <w:rFonts w:eastAsia="Verdana" w:cs="Verdana"/>
          <w:bCs/>
          <w:color w:val="auto"/>
          <w:szCs w:val="20"/>
        </w:rPr>
        <w:t xml:space="preserve"> </w:t>
      </w:r>
      <w:r w:rsidRPr="005855C0">
        <w:rPr>
          <w:rFonts w:eastAsia="Verdana" w:cs="Verdana"/>
          <w:b/>
          <w:color w:val="auto"/>
          <w:szCs w:val="20"/>
        </w:rPr>
        <w:t>(-</w:t>
      </w:r>
      <w:r w:rsidRPr="00F13F51">
        <w:rPr>
          <w:rFonts w:eastAsiaTheme="minorEastAsia"/>
          <w:b/>
          <w:bCs/>
          <w:i/>
          <w:color w:val="auto"/>
          <w:szCs w:val="20"/>
        </w:rPr>
        <w:t>$140 million; -$140 million in 2022-23)</w:t>
      </w:r>
      <w:r w:rsidRPr="00F13F51">
        <w:rPr>
          <w:rStyle w:val="FootnoteReference"/>
          <w:rFonts w:eastAsiaTheme="minorEastAsia"/>
          <w:b/>
          <w:bCs/>
          <w:color w:val="auto"/>
          <w:szCs w:val="20"/>
        </w:rPr>
        <w:footnoteReference w:id="42"/>
      </w:r>
    </w:p>
    <w:p w14:paraId="6923C984" w14:textId="73F36951" w:rsidR="7B33A330" w:rsidRPr="00F13F51" w:rsidRDefault="007E2711" w:rsidP="00F13F51">
      <w:pPr>
        <w:pStyle w:val="ListNumber"/>
        <w:numPr>
          <w:ilvl w:val="0"/>
          <w:numId w:val="0"/>
        </w:numPr>
        <w:ind w:left="360" w:hanging="360"/>
        <w:rPr>
          <w:b/>
          <w:szCs w:val="20"/>
        </w:rPr>
      </w:pPr>
      <w:r w:rsidRPr="00BD3CB4">
        <w:rPr>
          <w:b/>
          <w:color w:val="C00000"/>
        </w:rPr>
        <w:t>Budget impact:</w:t>
      </w:r>
      <w:r w:rsidRPr="00BD3CB4">
        <w:rPr>
          <w:b/>
        </w:rPr>
        <w:t xml:space="preserve"> </w:t>
      </w:r>
      <w:r w:rsidRPr="00BD3CB4">
        <w:rPr>
          <w:rFonts w:eastAsiaTheme="minorEastAsia"/>
          <w:b/>
          <w:bCs/>
          <w:i/>
          <w:szCs w:val="20"/>
        </w:rPr>
        <w:t>-$</w:t>
      </w:r>
      <w:r>
        <w:rPr>
          <w:rFonts w:eastAsiaTheme="minorEastAsia"/>
          <w:b/>
          <w:bCs/>
          <w:i/>
          <w:szCs w:val="20"/>
        </w:rPr>
        <w:t>540</w:t>
      </w:r>
      <w:r w:rsidRPr="00BD3CB4">
        <w:rPr>
          <w:rFonts w:eastAsiaTheme="minorEastAsia"/>
          <w:b/>
          <w:bCs/>
          <w:i/>
          <w:szCs w:val="20"/>
        </w:rPr>
        <w:t xml:space="preserve"> million (-$</w:t>
      </w:r>
      <w:r>
        <w:rPr>
          <w:rFonts w:eastAsiaTheme="minorEastAsia"/>
          <w:b/>
          <w:bCs/>
          <w:i/>
          <w:szCs w:val="20"/>
        </w:rPr>
        <w:t>540</w:t>
      </w:r>
      <w:r w:rsidRPr="00BD3CB4">
        <w:rPr>
          <w:rFonts w:eastAsiaTheme="minorEastAsia"/>
          <w:b/>
          <w:bCs/>
          <w:i/>
          <w:szCs w:val="20"/>
        </w:rPr>
        <w:t xml:space="preserve"> million in 2022-23)</w:t>
      </w:r>
    </w:p>
    <w:p w14:paraId="258D9CE3" w14:textId="2DB13B61" w:rsidR="0EE846A4" w:rsidRDefault="0EE846A4" w:rsidP="003520E9">
      <w:pPr>
        <w:pStyle w:val="Heading2"/>
      </w:pPr>
      <w:bookmarkStart w:id="49" w:name="_Toc63685943"/>
      <w:r>
        <w:lastRenderedPageBreak/>
        <w:t>Affordable, accessible insurance</w:t>
      </w:r>
      <w:bookmarkEnd w:id="49"/>
    </w:p>
    <w:p w14:paraId="12742681" w14:textId="713FF5DA" w:rsidR="0EE846A4" w:rsidRPr="00846818" w:rsidRDefault="0EE846A4" w:rsidP="7B33A330">
      <w:pPr>
        <w:spacing w:line="257" w:lineRule="auto"/>
        <w:rPr>
          <w:szCs w:val="20"/>
        </w:rPr>
      </w:pPr>
      <w:r w:rsidRPr="00846818">
        <w:rPr>
          <w:rFonts w:eastAsia="Verdana" w:cs="Verdana"/>
          <w:szCs w:val="20"/>
        </w:rPr>
        <w:t>As extreme weather and natural disaster events increase in Australia, insurance premiums are escalating and too many people, particularly people on low incomes, find themselves under-insured or not insured.</w:t>
      </w:r>
    </w:p>
    <w:p w14:paraId="113C782E" w14:textId="05ED479B" w:rsidR="007E2711" w:rsidRDefault="0074049C" w:rsidP="7B33A330">
      <w:pPr>
        <w:rPr>
          <w:rFonts w:eastAsia="Verdana" w:cs="Verdana"/>
          <w:b/>
          <w:bCs/>
          <w:szCs w:val="20"/>
        </w:rPr>
      </w:pPr>
      <w:r>
        <w:rPr>
          <w:rFonts w:eastAsia="Verdana" w:cs="Verdana"/>
          <w:b/>
          <w:bCs/>
          <w:color w:val="C00000"/>
          <w:szCs w:val="20"/>
        </w:rPr>
        <w:t>Re</w:t>
      </w:r>
      <w:r w:rsidR="00DD2325">
        <w:rPr>
          <w:rFonts w:eastAsia="Verdana" w:cs="Verdana"/>
          <w:b/>
          <w:bCs/>
          <w:color w:val="C00000"/>
          <w:szCs w:val="20"/>
        </w:rPr>
        <w:t xml:space="preserve">commendation </w:t>
      </w:r>
      <w:r w:rsidR="007E2711">
        <w:rPr>
          <w:rFonts w:eastAsia="Verdana" w:cs="Verdana"/>
          <w:b/>
          <w:bCs/>
          <w:color w:val="C00000"/>
          <w:szCs w:val="20"/>
        </w:rPr>
        <w:t>2</w:t>
      </w:r>
      <w:r w:rsidR="0026289A">
        <w:rPr>
          <w:rFonts w:eastAsia="Verdana" w:cs="Verdana"/>
          <w:b/>
          <w:bCs/>
          <w:color w:val="C00000"/>
          <w:szCs w:val="20"/>
        </w:rPr>
        <w:t>7</w:t>
      </w:r>
      <w:r>
        <w:rPr>
          <w:rFonts w:eastAsia="Verdana" w:cs="Verdana"/>
          <w:b/>
          <w:bCs/>
          <w:color w:val="C00000"/>
          <w:szCs w:val="20"/>
        </w:rPr>
        <w:t>:</w:t>
      </w:r>
      <w:r w:rsidR="0EE846A4" w:rsidRPr="0074049C">
        <w:rPr>
          <w:rFonts w:eastAsia="Verdana" w:cs="Verdana"/>
          <w:b/>
          <w:bCs/>
          <w:szCs w:val="20"/>
        </w:rPr>
        <w:t xml:space="preserve"> </w:t>
      </w:r>
      <w:r w:rsidR="007E2711">
        <w:rPr>
          <w:rFonts w:eastAsia="Verdana" w:cs="Verdana"/>
          <w:b/>
          <w:bCs/>
          <w:szCs w:val="20"/>
        </w:rPr>
        <w:t xml:space="preserve">To support affordable and accessible </w:t>
      </w:r>
      <w:r w:rsidR="00515F9E">
        <w:rPr>
          <w:rFonts w:eastAsia="Verdana" w:cs="Verdana"/>
          <w:b/>
          <w:bCs/>
          <w:szCs w:val="20"/>
        </w:rPr>
        <w:t>insurance</w:t>
      </w:r>
      <w:r w:rsidR="007E2711">
        <w:rPr>
          <w:rFonts w:eastAsia="Verdana" w:cs="Verdana"/>
          <w:b/>
          <w:bCs/>
          <w:szCs w:val="20"/>
        </w:rPr>
        <w:t>:</w:t>
      </w:r>
    </w:p>
    <w:p w14:paraId="662AECDD" w14:textId="3E45C7E6" w:rsidR="005855C0" w:rsidRPr="00846818" w:rsidRDefault="00846818" w:rsidP="00846818">
      <w:pPr>
        <w:tabs>
          <w:tab w:val="left" w:pos="567"/>
        </w:tabs>
        <w:rPr>
          <w:rFonts w:eastAsia="Verdana" w:cs="Verdana"/>
          <w:b/>
        </w:rPr>
      </w:pPr>
      <w:r>
        <w:rPr>
          <w:rFonts w:eastAsia="Verdana" w:cs="Verdana"/>
          <w:b/>
        </w:rPr>
        <w:t xml:space="preserve">(1) </w:t>
      </w:r>
      <w:r w:rsidR="007E2711" w:rsidRPr="00846818">
        <w:rPr>
          <w:rFonts w:eastAsia="Verdana" w:cs="Verdana"/>
          <w:b/>
        </w:rPr>
        <w:t>E</w:t>
      </w:r>
      <w:r w:rsidR="0EE846A4" w:rsidRPr="00846818">
        <w:rPr>
          <w:rFonts w:eastAsia="Verdana" w:cs="Verdana"/>
          <w:b/>
        </w:rPr>
        <w:t>stablish a review on insurance affordability in Australia, with regard to worsening impacts of climate change and rising levels of financial difficulties</w:t>
      </w:r>
      <w:r w:rsidR="007E2711" w:rsidRPr="00846818">
        <w:rPr>
          <w:rFonts w:eastAsia="Verdana" w:cs="Verdana"/>
          <w:b/>
        </w:rPr>
        <w:t>; and</w:t>
      </w:r>
      <w:r w:rsidR="0026289A" w:rsidRPr="00846818">
        <w:rPr>
          <w:rFonts w:eastAsia="Verdana" w:cs="Verdana"/>
          <w:b/>
        </w:rPr>
        <w:t xml:space="preserve"> </w:t>
      </w:r>
      <w:r w:rsidR="0EE846A4" w:rsidRPr="00846818">
        <w:rPr>
          <w:rFonts w:eastAsia="Verdana" w:cs="Verdana"/>
          <w:b/>
        </w:rPr>
        <w:t>options for ensuring insurance coverage for people on low incomes.</w:t>
      </w:r>
      <w:r w:rsidR="007E2711" w:rsidRPr="00846818">
        <w:rPr>
          <w:rFonts w:eastAsia="Verdana" w:cs="Verdana"/>
          <w:b/>
        </w:rPr>
        <w:t xml:space="preserve"> (</w:t>
      </w:r>
      <w:r w:rsidR="007E2711" w:rsidRPr="00846818">
        <w:rPr>
          <w:rFonts w:eastAsia="Verdana" w:cs="Verdana"/>
          <w:b/>
          <w:i/>
        </w:rPr>
        <w:t>-$1.5 million</w:t>
      </w:r>
      <w:r w:rsidR="007E2711" w:rsidRPr="00846818">
        <w:rPr>
          <w:rFonts w:eastAsia="Verdana" w:cs="Verdana"/>
          <w:b/>
        </w:rPr>
        <w:t>)</w:t>
      </w:r>
    </w:p>
    <w:p w14:paraId="63C04C25" w14:textId="66741019" w:rsidR="004173A5" w:rsidRPr="00846818" w:rsidRDefault="00846818" w:rsidP="00846818">
      <w:pPr>
        <w:tabs>
          <w:tab w:val="left" w:pos="567"/>
        </w:tabs>
        <w:rPr>
          <w:rFonts w:eastAsia="Verdana" w:cs="Verdana"/>
          <w:b/>
        </w:rPr>
      </w:pPr>
      <w:r>
        <w:rPr>
          <w:rFonts w:eastAsia="Verdana" w:cs="Verdana"/>
          <w:b/>
        </w:rPr>
        <w:t xml:space="preserve">(2) </w:t>
      </w:r>
      <w:r w:rsidR="007E2711" w:rsidRPr="00846818">
        <w:rPr>
          <w:rFonts w:eastAsia="Verdana" w:cs="Verdana"/>
          <w:b/>
        </w:rPr>
        <w:t>Support</w:t>
      </w:r>
      <w:r w:rsidR="0EE846A4" w:rsidRPr="00846818">
        <w:rPr>
          <w:rFonts w:eastAsia="Verdana" w:cs="Verdana"/>
          <w:b/>
        </w:rPr>
        <w:t xml:space="preserve"> expanding access to low-cost insurance for home contents and motor vehicles for people on low incomes. </w:t>
      </w:r>
    </w:p>
    <w:p w14:paraId="5EE2E203" w14:textId="78D7F8A6" w:rsidR="00FF007A" w:rsidRDefault="0026289A" w:rsidP="00FF007A">
      <w:pPr>
        <w:spacing w:line="257" w:lineRule="auto"/>
        <w:rPr>
          <w:rFonts w:eastAsia="Verdana" w:cs="Verdana"/>
          <w:b/>
          <w:szCs w:val="20"/>
        </w:rPr>
      </w:pPr>
      <w:r w:rsidRPr="0026289A">
        <w:rPr>
          <w:rFonts w:eastAsia="Verdana" w:cs="Verdana"/>
          <w:b/>
          <w:color w:val="C00000"/>
          <w:szCs w:val="20"/>
        </w:rPr>
        <w:t xml:space="preserve">Budget impact: </w:t>
      </w:r>
      <w:r w:rsidRPr="0026289A">
        <w:rPr>
          <w:rFonts w:eastAsia="Verdana" w:cs="Verdana"/>
          <w:b/>
          <w:szCs w:val="20"/>
        </w:rPr>
        <w:t>-$</w:t>
      </w:r>
      <w:r>
        <w:rPr>
          <w:rFonts w:eastAsia="Verdana" w:cs="Verdana"/>
          <w:b/>
          <w:szCs w:val="20"/>
        </w:rPr>
        <w:t>1.5</w:t>
      </w:r>
      <w:r w:rsidRPr="0026289A">
        <w:rPr>
          <w:rFonts w:eastAsia="Verdana" w:cs="Verdana"/>
          <w:b/>
          <w:szCs w:val="20"/>
        </w:rPr>
        <w:t xml:space="preserve"> million (-$</w:t>
      </w:r>
      <w:r>
        <w:rPr>
          <w:rFonts w:eastAsia="Verdana" w:cs="Verdana"/>
          <w:b/>
          <w:szCs w:val="20"/>
        </w:rPr>
        <w:t>0</w:t>
      </w:r>
      <w:r w:rsidRPr="0026289A">
        <w:rPr>
          <w:rFonts w:eastAsia="Verdana" w:cs="Verdana"/>
          <w:b/>
          <w:szCs w:val="20"/>
        </w:rPr>
        <w:t xml:space="preserve"> million in 2022-23)</w:t>
      </w:r>
    </w:p>
    <w:p w14:paraId="44BB1933" w14:textId="77777777" w:rsidR="000C6B7B" w:rsidRPr="00FF007A" w:rsidRDefault="000C6B7B" w:rsidP="00FF007A">
      <w:pPr>
        <w:spacing w:line="257" w:lineRule="auto"/>
        <w:rPr>
          <w:rFonts w:eastAsia="Verdana" w:cs="Verdana"/>
          <w:b/>
          <w:szCs w:val="20"/>
        </w:rPr>
      </w:pPr>
    </w:p>
    <w:p w14:paraId="368DBE36" w14:textId="5EFC0574" w:rsidR="48F637DB" w:rsidRDefault="665E27E1" w:rsidP="003520E9">
      <w:pPr>
        <w:pStyle w:val="Heading2"/>
      </w:pPr>
      <w:bookmarkStart w:id="50" w:name="_Toc63685944"/>
      <w:r>
        <w:t>Phase out fossil fuel subsidies</w:t>
      </w:r>
      <w:bookmarkEnd w:id="50"/>
    </w:p>
    <w:p w14:paraId="2B03615C" w14:textId="5388DB13" w:rsidR="665E27E1" w:rsidRDefault="00FE2905" w:rsidP="7B33A330">
      <w:pPr>
        <w:rPr>
          <w:rFonts w:eastAsia="Verdana" w:cs="Verdana"/>
          <w:szCs w:val="20"/>
        </w:rPr>
      </w:pPr>
      <w:r>
        <w:rPr>
          <w:rFonts w:eastAsia="Verdana" w:cs="Verdana"/>
          <w:szCs w:val="20"/>
        </w:rPr>
        <w:t>In Chapter 10</w:t>
      </w:r>
      <w:r w:rsidR="665E27E1" w:rsidRPr="7B33A330">
        <w:rPr>
          <w:rFonts w:eastAsia="Verdana" w:cs="Verdana"/>
          <w:szCs w:val="20"/>
        </w:rPr>
        <w:t xml:space="preserve"> (A fairer tax system that supports economic development) we advocate </w:t>
      </w:r>
      <w:r w:rsidR="007E2711">
        <w:rPr>
          <w:rFonts w:eastAsia="Verdana" w:cs="Verdana"/>
          <w:szCs w:val="20"/>
        </w:rPr>
        <w:t xml:space="preserve">for </w:t>
      </w:r>
      <w:r w:rsidR="665E27E1" w:rsidRPr="7B33A330">
        <w:rPr>
          <w:rFonts w:eastAsia="Verdana" w:cs="Verdana"/>
          <w:szCs w:val="20"/>
        </w:rPr>
        <w:t>the removal of fuel tax credits for off-road use except agriculture</w:t>
      </w:r>
      <w:r w:rsidR="5D76646B" w:rsidRPr="7B33A330">
        <w:rPr>
          <w:rFonts w:eastAsia="Verdana" w:cs="Verdana"/>
          <w:szCs w:val="20"/>
        </w:rPr>
        <w:t xml:space="preserve"> </w:t>
      </w:r>
      <w:r w:rsidRPr="00846818">
        <w:rPr>
          <w:rFonts w:eastAsia="Verdana" w:cs="Verdana"/>
          <w:szCs w:val="20"/>
        </w:rPr>
        <w:t xml:space="preserve">(see Recommendation </w:t>
      </w:r>
      <w:r w:rsidR="00846818" w:rsidRPr="00846818">
        <w:rPr>
          <w:rFonts w:eastAsia="Verdana" w:cs="Verdana"/>
          <w:szCs w:val="20"/>
        </w:rPr>
        <w:t>60</w:t>
      </w:r>
      <w:r w:rsidR="5D76646B" w:rsidRPr="00846818">
        <w:rPr>
          <w:rFonts w:eastAsia="Verdana" w:cs="Verdana"/>
          <w:szCs w:val="20"/>
        </w:rPr>
        <w:t>)</w:t>
      </w:r>
      <w:r w:rsidR="665E27E1" w:rsidRPr="00846818">
        <w:rPr>
          <w:rFonts w:eastAsia="Verdana" w:cs="Verdana"/>
          <w:szCs w:val="20"/>
        </w:rPr>
        <w:t>.</w:t>
      </w:r>
      <w:r w:rsidR="665E27E1" w:rsidRPr="7B33A330">
        <w:rPr>
          <w:rFonts w:eastAsia="Verdana" w:cs="Verdana"/>
          <w:szCs w:val="20"/>
        </w:rPr>
        <w:t xml:space="preserve"> These tax credits subsidise the production of carbon pollution – the very thing governments are spending public funds in other parts of the economy to prevent. </w:t>
      </w:r>
      <w:r w:rsidR="3C40460C" w:rsidRPr="7B33A330">
        <w:rPr>
          <w:rFonts w:eastAsia="Verdana" w:cs="Verdana"/>
          <w:szCs w:val="20"/>
        </w:rPr>
        <w:t>The subsidy also distort</w:t>
      </w:r>
      <w:r w:rsidR="00945D9C">
        <w:rPr>
          <w:rFonts w:eastAsia="Verdana" w:cs="Verdana"/>
          <w:szCs w:val="20"/>
        </w:rPr>
        <w:t>s</w:t>
      </w:r>
      <w:r w:rsidR="3C40460C" w:rsidRPr="7B33A330">
        <w:rPr>
          <w:rFonts w:eastAsia="Verdana" w:cs="Verdana"/>
          <w:szCs w:val="20"/>
        </w:rPr>
        <w:t xml:space="preserve"> the need for energy efficiency, fuel switching, or investment in other forms of renewable energy or transport.</w:t>
      </w:r>
    </w:p>
    <w:p w14:paraId="58AFFC25" w14:textId="1431C7EE" w:rsidR="665E27E1" w:rsidRDefault="665E27E1" w:rsidP="7B33A330">
      <w:pPr>
        <w:rPr>
          <w:rFonts w:eastAsia="Verdana" w:cs="Verdana"/>
          <w:szCs w:val="20"/>
        </w:rPr>
      </w:pPr>
      <w:r w:rsidRPr="7B33A330">
        <w:rPr>
          <w:rFonts w:eastAsia="Verdana" w:cs="Verdana"/>
          <w:szCs w:val="20"/>
        </w:rPr>
        <w:t xml:space="preserve">Revenue raised from removing fossil fuel subsidies </w:t>
      </w:r>
      <w:r w:rsidR="75E5017C" w:rsidRPr="7B33A330">
        <w:rPr>
          <w:rFonts w:eastAsia="Verdana" w:cs="Verdana"/>
          <w:szCs w:val="20"/>
        </w:rPr>
        <w:t>c</w:t>
      </w:r>
      <w:r w:rsidRPr="7B33A330">
        <w:rPr>
          <w:rFonts w:eastAsia="Verdana" w:cs="Verdana"/>
          <w:szCs w:val="20"/>
        </w:rPr>
        <w:t>ould fund ACOSS proposals to provide a just transition for workers and communities, assist low-income households to access affordable clean energy, and support climate resilience and adaptation measures for vulnerable people.</w:t>
      </w:r>
    </w:p>
    <w:p w14:paraId="05FC9D6A" w14:textId="42B11B16" w:rsidR="00506278" w:rsidRDefault="00506278">
      <w:r>
        <w:br w:type="page"/>
      </w:r>
    </w:p>
    <w:p w14:paraId="1F68FDFA" w14:textId="77777777" w:rsidR="7B33A330" w:rsidRDefault="7B33A330" w:rsidP="7B33A330">
      <w:pPr>
        <w:pStyle w:val="ListNumber"/>
        <w:numPr>
          <w:ilvl w:val="0"/>
          <w:numId w:val="0"/>
        </w:numPr>
      </w:pPr>
    </w:p>
    <w:p w14:paraId="39CA6B6A" w14:textId="5989B792" w:rsidR="1419E35D" w:rsidRDefault="000D0FCF" w:rsidP="004C47B2">
      <w:pPr>
        <w:pStyle w:val="Heading1"/>
      </w:pPr>
      <w:r>
        <w:t xml:space="preserve"> </w:t>
      </w:r>
      <w:bookmarkStart w:id="51" w:name="_Toc63685945"/>
      <w:r w:rsidR="1419E35D">
        <w:t xml:space="preserve">Make </w:t>
      </w:r>
      <w:r w:rsidR="12143494">
        <w:t xml:space="preserve">access to </w:t>
      </w:r>
      <w:r w:rsidR="1419E35D">
        <w:t xml:space="preserve">housing affordable for people </w:t>
      </w:r>
      <w:r w:rsidR="28415456">
        <w:t>with</w:t>
      </w:r>
      <w:r w:rsidR="4DF7D378">
        <w:t xml:space="preserve"> low</w:t>
      </w:r>
      <w:r w:rsidR="1419E35D">
        <w:t xml:space="preserve"> incomes</w:t>
      </w:r>
      <w:bookmarkEnd w:id="51"/>
    </w:p>
    <w:p w14:paraId="4780B7DA" w14:textId="2230A916" w:rsidR="7B33A330" w:rsidRDefault="7B33A330" w:rsidP="7B33A330"/>
    <w:p w14:paraId="56888BFF" w14:textId="7AE0B26A" w:rsidR="7B33A330" w:rsidRDefault="00977074" w:rsidP="000C6B7B">
      <w:pPr>
        <w:pStyle w:val="Heading2"/>
        <w:numPr>
          <w:ilvl w:val="0"/>
          <w:numId w:val="0"/>
        </w:numPr>
        <w:ind w:left="1276" w:hanging="916"/>
      </w:pPr>
      <w:bookmarkStart w:id="52" w:name="_Toc63685946"/>
      <w:r>
        <w:t>Summary</w:t>
      </w:r>
      <w:bookmarkEnd w:id="52"/>
    </w:p>
    <w:p w14:paraId="614FABBE" w14:textId="77777777" w:rsidR="001E1F7F" w:rsidRDefault="001E1F7F" w:rsidP="00F13F51">
      <w:pPr>
        <w:pStyle w:val="List3"/>
        <w:numPr>
          <w:ilvl w:val="0"/>
          <w:numId w:val="16"/>
        </w:numPr>
        <w:spacing w:line="256" w:lineRule="auto"/>
        <w:rPr>
          <w:rFonts w:asciiTheme="minorHAnsi" w:eastAsiaTheme="minorEastAsia" w:hAnsiTheme="minorHAnsi"/>
          <w:szCs w:val="20"/>
        </w:rPr>
      </w:pPr>
      <w:r>
        <w:t>For every dollar invested, direct public investment in social housing is estimated to boost GDP by $1.30. Importantly, housing construction can be undertaken more quickly than major road or rail projects.</w:t>
      </w:r>
    </w:p>
    <w:p w14:paraId="487C759C" w14:textId="77777777" w:rsidR="001E1F7F" w:rsidRDefault="001E1F7F" w:rsidP="00F13F51">
      <w:pPr>
        <w:pStyle w:val="List3"/>
        <w:numPr>
          <w:ilvl w:val="0"/>
          <w:numId w:val="16"/>
        </w:numPr>
        <w:spacing w:line="256" w:lineRule="auto"/>
        <w:rPr>
          <w:szCs w:val="20"/>
        </w:rPr>
      </w:pPr>
      <w:r>
        <w:t>A 20,000 dwelling, $7 billion social housing package should be rolled out over the next 3 years to reduce homelessness and kick-start housing constructions and growth in jobs and incomes.</w:t>
      </w:r>
    </w:p>
    <w:p w14:paraId="69B8B67D" w14:textId="77777777" w:rsidR="001E1F7F" w:rsidRDefault="001E1F7F" w:rsidP="00F13F51">
      <w:pPr>
        <w:pStyle w:val="List3"/>
        <w:numPr>
          <w:ilvl w:val="0"/>
          <w:numId w:val="16"/>
        </w:numPr>
        <w:spacing w:line="256" w:lineRule="auto"/>
        <w:rPr>
          <w:szCs w:val="20"/>
        </w:rPr>
      </w:pPr>
      <w:r>
        <w:t>Rent Assistance for private tenants with low incomes should be substantially increased to ease housing stress.</w:t>
      </w:r>
    </w:p>
    <w:p w14:paraId="6E3DCAED" w14:textId="73D760BC" w:rsidR="001E1F7F" w:rsidRDefault="001E1F7F" w:rsidP="00F13F51">
      <w:pPr>
        <w:pStyle w:val="List3"/>
        <w:numPr>
          <w:ilvl w:val="0"/>
          <w:numId w:val="16"/>
        </w:numPr>
        <w:spacing w:line="256" w:lineRule="auto"/>
        <w:rPr>
          <w:szCs w:val="20"/>
        </w:rPr>
      </w:pPr>
      <w:r>
        <w:t xml:space="preserve">Beyond </w:t>
      </w:r>
      <w:r w:rsidR="00C844B2">
        <w:t>this</w:t>
      </w:r>
      <w:r>
        <w:t xml:space="preserve"> short-term social housing boost, the government should develop a national affordable housing strategy in dialogue with other governments and stakeholders, and create a new incentive to encourage private investment in affordable rental housing.</w:t>
      </w:r>
    </w:p>
    <w:p w14:paraId="23779A58" w14:textId="2C0B101A" w:rsidR="000B50DA" w:rsidRDefault="001E1F7F" w:rsidP="00F13F51">
      <w:pPr>
        <w:pStyle w:val="List3"/>
        <w:numPr>
          <w:ilvl w:val="0"/>
          <w:numId w:val="16"/>
        </w:numPr>
        <w:rPr>
          <w:szCs w:val="20"/>
        </w:rPr>
      </w:pPr>
      <w:r>
        <w:t xml:space="preserve">Funding for remote housing and the Indigenous Community Housing sector nationally should be </w:t>
      </w:r>
      <w:r w:rsidR="00C844B2">
        <w:t>substantially increased.</w:t>
      </w:r>
    </w:p>
    <w:p w14:paraId="62167C77" w14:textId="77777777" w:rsidR="001E1F7F" w:rsidRPr="001E1F7F" w:rsidRDefault="001E1F7F" w:rsidP="001E1F7F">
      <w:pPr>
        <w:pStyle w:val="List3"/>
        <w:ind w:left="720" w:firstLine="0"/>
        <w:rPr>
          <w:szCs w:val="20"/>
        </w:rPr>
      </w:pPr>
    </w:p>
    <w:p w14:paraId="72ECC387" w14:textId="12FBD4F8" w:rsidR="7B33A330" w:rsidRPr="002227D8" w:rsidRDefault="15EDCFC8" w:rsidP="003520E9">
      <w:pPr>
        <w:pStyle w:val="Heading2"/>
      </w:pPr>
      <w:bookmarkStart w:id="53" w:name="_Toc63685947"/>
      <w:r w:rsidRPr="002227D8">
        <w:t>Build 20,000-30,000 social housing dwellings to reduce homelessness and generate over 15,000 jobs a year</w:t>
      </w:r>
      <w:bookmarkEnd w:id="53"/>
      <w:r w:rsidRPr="002227D8">
        <w:t xml:space="preserve">  </w:t>
      </w:r>
    </w:p>
    <w:p w14:paraId="4D4AC99B" w14:textId="77777777" w:rsidR="001E1F7F" w:rsidRPr="002227D8" w:rsidRDefault="001E1F7F" w:rsidP="001E1F7F">
      <w:r w:rsidRPr="002227D8">
        <w:t>The rise in homelessness is unacceptable in a nation as wealthy as Australia. Research indicates there is a national shortage of just over 400,000 homes that are affordable for people who are homeless or living on the lowest incomes (the lowest 20% by household income). Financially vulnerable people in social housing are less than half as likely to become homeless as a similar group renting privately. Over one-third of new tenants in social housing were previously homeless.</w:t>
      </w:r>
      <w:r w:rsidRPr="002227D8">
        <w:rPr>
          <w:rStyle w:val="FootnoteReference"/>
        </w:rPr>
        <w:footnoteReference w:id="43"/>
      </w:r>
      <w:r w:rsidRPr="002227D8">
        <w:t xml:space="preserve"> </w:t>
      </w:r>
    </w:p>
    <w:p w14:paraId="49252E47" w14:textId="77777777" w:rsidR="001E1F7F" w:rsidRPr="002227D8" w:rsidRDefault="001E1F7F" w:rsidP="001E1F7F">
      <w:r w:rsidRPr="002227D8">
        <w:t>Direct public investment in social housing is also a cost-effective way to boost growth in jobs and incomes. For every dollar invested, it is estimated to boost GDP by $1.30.</w:t>
      </w:r>
      <w:r w:rsidRPr="002227D8">
        <w:rPr>
          <w:rStyle w:val="FootnoteReference"/>
        </w:rPr>
        <w:footnoteReference w:id="44"/>
      </w:r>
      <w:r w:rsidRPr="002227D8">
        <w:t xml:space="preserve"> Importantly, housing construction can be undertaken more quickly than major road or rail projects.</w:t>
      </w:r>
    </w:p>
    <w:p w14:paraId="3FBEC018" w14:textId="627B0883" w:rsidR="75D4DF48" w:rsidRPr="002227D8" w:rsidRDefault="001E1F7F" w:rsidP="7B33A330">
      <w:r w:rsidRPr="002227D8">
        <w:t xml:space="preserve">ACOSS advocates a $7 billion direct Commonwealth investment, in partnership with States and Territories and community housing providers, to construct 20,000-30,000 social housing dwellings. Alternately, the Social Housing Acceleration and Renovation </w:t>
      </w:r>
      <w:r w:rsidRPr="002227D8">
        <w:lastRenderedPageBreak/>
        <w:t>Program (SHARP) proposal from the Community Housing Industry Association could be implemented.</w:t>
      </w:r>
      <w:r w:rsidRPr="002227D8">
        <w:rPr>
          <w:rStyle w:val="FootnoteReference"/>
        </w:rPr>
        <w:footnoteReference w:id="45"/>
      </w:r>
      <w:r w:rsidRPr="002227D8">
        <w:t xml:space="preserve"> This is expected to generate over 15,000 additional jobs each year. </w:t>
      </w:r>
      <w:r w:rsidR="25D87887" w:rsidRPr="002227D8">
        <w:t xml:space="preserve"> </w:t>
      </w:r>
    </w:p>
    <w:p w14:paraId="707FEA5C" w14:textId="6FD2A751" w:rsidR="04BC6A06" w:rsidRPr="002227D8" w:rsidRDefault="00DD2325" w:rsidP="7B33A330">
      <w:pPr>
        <w:pStyle w:val="Recommendation"/>
        <w:rPr>
          <w:color w:val="000000" w:themeColor="text1"/>
        </w:rPr>
      </w:pPr>
      <w:r w:rsidRPr="002227D8">
        <w:rPr>
          <w:color w:val="C00000"/>
        </w:rPr>
        <w:t xml:space="preserve">Recommendation </w:t>
      </w:r>
      <w:r w:rsidR="007E2711">
        <w:rPr>
          <w:color w:val="C00000"/>
        </w:rPr>
        <w:t>2</w:t>
      </w:r>
      <w:r w:rsidR="0026289A">
        <w:rPr>
          <w:color w:val="C00000"/>
        </w:rPr>
        <w:t>8</w:t>
      </w:r>
      <w:r w:rsidR="7F973EF9" w:rsidRPr="002227D8">
        <w:rPr>
          <w:color w:val="C00000"/>
        </w:rPr>
        <w:t>:</w:t>
      </w:r>
      <w:r w:rsidR="04BC6A06" w:rsidRPr="002227D8">
        <w:t xml:space="preserve"> </w:t>
      </w:r>
      <w:r w:rsidR="67C8A9D1" w:rsidRPr="002227D8">
        <w:rPr>
          <w:color w:val="000000" w:themeColor="text1"/>
        </w:rPr>
        <w:t>Build 20,000-30,000 social housing dwellings to reduce homelessness and generate over 15,000 jobs a year</w:t>
      </w:r>
    </w:p>
    <w:p w14:paraId="2503E9FB" w14:textId="45C394FD" w:rsidR="7B33A330" w:rsidRPr="002227D8" w:rsidRDefault="7B33A330" w:rsidP="7B33A330">
      <w:pPr>
        <w:pStyle w:val="Recommendation"/>
        <w:rPr>
          <w:color w:val="000000" w:themeColor="text1"/>
        </w:rPr>
      </w:pPr>
    </w:p>
    <w:p w14:paraId="0B55475A" w14:textId="6968DCB2" w:rsidR="000B50DA" w:rsidRPr="002227D8" w:rsidRDefault="0123AEC5" w:rsidP="7B33A330">
      <w:pPr>
        <w:pStyle w:val="Recommendation"/>
        <w:rPr>
          <w:color w:val="000000" w:themeColor="text1"/>
        </w:rPr>
      </w:pPr>
      <w:r w:rsidRPr="002227D8">
        <w:rPr>
          <w:color w:val="000000" w:themeColor="text1"/>
        </w:rPr>
        <w:t xml:space="preserve">(1) </w:t>
      </w:r>
      <w:r w:rsidR="3977670A" w:rsidRPr="002227D8">
        <w:rPr>
          <w:color w:val="000000" w:themeColor="text1"/>
        </w:rPr>
        <w:t>Capital funding of $7 billion over three years should be provided to State and Territory governments to facilitate construction of 20,000-30,000 social hous</w:t>
      </w:r>
      <w:r w:rsidR="5AAD0990" w:rsidRPr="002227D8">
        <w:rPr>
          <w:color w:val="000000" w:themeColor="text1"/>
        </w:rPr>
        <w:t>i</w:t>
      </w:r>
      <w:r w:rsidR="3977670A" w:rsidRPr="002227D8">
        <w:rPr>
          <w:color w:val="000000" w:themeColor="text1"/>
        </w:rPr>
        <w:t>ng dwelling</w:t>
      </w:r>
      <w:r w:rsidR="517E45C8" w:rsidRPr="002227D8">
        <w:rPr>
          <w:color w:val="000000" w:themeColor="text1"/>
        </w:rPr>
        <w:t>s</w:t>
      </w:r>
      <w:r w:rsidR="0E1298E9" w:rsidRPr="002227D8">
        <w:rPr>
          <w:color w:val="000000" w:themeColor="text1"/>
        </w:rPr>
        <w:t xml:space="preserve"> that meet accessibility and energy efficiency standards</w:t>
      </w:r>
      <w:r w:rsidR="3977670A" w:rsidRPr="002227D8">
        <w:rPr>
          <w:color w:val="000000" w:themeColor="text1"/>
        </w:rPr>
        <w:t>, with most construction occurring in the first two years</w:t>
      </w:r>
      <w:r w:rsidR="6CBF9158" w:rsidRPr="002227D8">
        <w:rPr>
          <w:color w:val="000000" w:themeColor="text1"/>
        </w:rPr>
        <w:t>.</w:t>
      </w:r>
    </w:p>
    <w:p w14:paraId="5720DD86" w14:textId="430EEC6D" w:rsidR="7B33A330" w:rsidRPr="002227D8" w:rsidRDefault="7B33A330" w:rsidP="7B33A330">
      <w:pPr>
        <w:pStyle w:val="ListNumber"/>
        <w:numPr>
          <w:ilvl w:val="0"/>
          <w:numId w:val="0"/>
        </w:numPr>
      </w:pPr>
    </w:p>
    <w:p w14:paraId="343F3385" w14:textId="60C2C6A2" w:rsidR="7B33A330" w:rsidRPr="002227D8" w:rsidRDefault="6CBF9158" w:rsidP="004173A5">
      <w:pPr>
        <w:pStyle w:val="ListNumber"/>
        <w:numPr>
          <w:ilvl w:val="0"/>
          <w:numId w:val="0"/>
        </w:numPr>
        <w:rPr>
          <w:b/>
          <w:bCs/>
        </w:rPr>
      </w:pPr>
      <w:r w:rsidRPr="002227D8">
        <w:rPr>
          <w:b/>
          <w:bCs/>
        </w:rPr>
        <w:t>(2) Alternately, the Social Housing Acceleration and Renovation Program (SHARP) proposal from the Community Housing Industry Association could be implemented to construct 30,000 community housing dwellings.</w:t>
      </w:r>
    </w:p>
    <w:p w14:paraId="6CCC40D3" w14:textId="2DABEBFD" w:rsidR="7B51FCA6" w:rsidRPr="002227D8" w:rsidRDefault="7B51FCA6" w:rsidP="000B50DA">
      <w:pPr>
        <w:pStyle w:val="Recommendation"/>
        <w:rPr>
          <w:bCs/>
        </w:rPr>
      </w:pPr>
      <w:r w:rsidRPr="002227D8">
        <w:rPr>
          <w:color w:val="C00000"/>
        </w:rPr>
        <w:t>Budget impact:</w:t>
      </w:r>
      <w:r w:rsidRPr="002227D8">
        <w:rPr>
          <w:b w:val="0"/>
        </w:rPr>
        <w:t xml:space="preserve"> </w:t>
      </w:r>
      <w:r w:rsidR="0580ABF8" w:rsidRPr="002227D8">
        <w:rPr>
          <w:b w:val="0"/>
          <w:i/>
          <w:color w:val="auto"/>
        </w:rPr>
        <w:t>-</w:t>
      </w:r>
      <w:r w:rsidRPr="002227D8">
        <w:rPr>
          <w:rFonts w:eastAsiaTheme="minorEastAsia"/>
          <w:bCs/>
          <w:i/>
          <w:color w:val="auto"/>
          <w:szCs w:val="20"/>
        </w:rPr>
        <w:t>$</w:t>
      </w:r>
      <w:r w:rsidR="67F84479" w:rsidRPr="002227D8">
        <w:rPr>
          <w:rFonts w:eastAsiaTheme="minorEastAsia"/>
          <w:bCs/>
          <w:i/>
          <w:color w:val="auto"/>
          <w:szCs w:val="20"/>
        </w:rPr>
        <w:t>1</w:t>
      </w:r>
      <w:r w:rsidR="530F7F96" w:rsidRPr="002227D8">
        <w:rPr>
          <w:rFonts w:eastAsiaTheme="minorEastAsia"/>
          <w:bCs/>
          <w:i/>
          <w:color w:val="000000" w:themeColor="text1"/>
          <w:szCs w:val="20"/>
        </w:rPr>
        <w:t>,</w:t>
      </w:r>
      <w:r w:rsidR="67F84479" w:rsidRPr="002227D8">
        <w:rPr>
          <w:rFonts w:eastAsiaTheme="minorEastAsia"/>
          <w:bCs/>
          <w:i/>
          <w:color w:val="000000" w:themeColor="text1"/>
          <w:szCs w:val="20"/>
        </w:rPr>
        <w:t>000</w:t>
      </w:r>
      <w:r w:rsidRPr="002227D8">
        <w:rPr>
          <w:rFonts w:eastAsiaTheme="minorEastAsia"/>
          <w:bCs/>
          <w:i/>
          <w:color w:val="000000" w:themeColor="text1"/>
          <w:szCs w:val="20"/>
        </w:rPr>
        <w:t xml:space="preserve"> million (</w:t>
      </w:r>
      <w:r w:rsidR="44BB1466" w:rsidRPr="002227D8">
        <w:rPr>
          <w:rFonts w:eastAsiaTheme="minorEastAsia"/>
          <w:bCs/>
          <w:i/>
          <w:color w:val="000000" w:themeColor="text1"/>
          <w:szCs w:val="20"/>
        </w:rPr>
        <w:t>-</w:t>
      </w:r>
      <w:r w:rsidRPr="002227D8">
        <w:rPr>
          <w:rFonts w:eastAsiaTheme="minorEastAsia"/>
          <w:bCs/>
          <w:i/>
          <w:color w:val="000000" w:themeColor="text1"/>
          <w:szCs w:val="20"/>
        </w:rPr>
        <w:t>$</w:t>
      </w:r>
      <w:r w:rsidR="6C57AF2B" w:rsidRPr="002227D8">
        <w:rPr>
          <w:rFonts w:eastAsiaTheme="minorEastAsia"/>
          <w:bCs/>
          <w:i/>
          <w:color w:val="000000" w:themeColor="text1"/>
          <w:szCs w:val="20"/>
        </w:rPr>
        <w:t>4</w:t>
      </w:r>
      <w:r w:rsidR="040E0598" w:rsidRPr="002227D8">
        <w:rPr>
          <w:rFonts w:eastAsiaTheme="minorEastAsia"/>
          <w:bCs/>
          <w:i/>
          <w:color w:val="000000" w:themeColor="text1"/>
          <w:szCs w:val="20"/>
        </w:rPr>
        <w:t>,</w:t>
      </w:r>
      <w:r w:rsidR="6C57AF2B" w:rsidRPr="002227D8">
        <w:rPr>
          <w:rFonts w:eastAsiaTheme="minorEastAsia"/>
          <w:bCs/>
          <w:i/>
          <w:color w:val="000000" w:themeColor="text1"/>
          <w:szCs w:val="20"/>
        </w:rPr>
        <w:t>000</w:t>
      </w:r>
      <w:r w:rsidRPr="002227D8">
        <w:rPr>
          <w:rFonts w:eastAsiaTheme="minorEastAsia"/>
          <w:bCs/>
          <w:i/>
          <w:color w:val="000000" w:themeColor="text1"/>
          <w:szCs w:val="20"/>
        </w:rPr>
        <w:t xml:space="preserve"> million in 2022-23)</w:t>
      </w:r>
      <w:r w:rsidRPr="002227D8">
        <w:rPr>
          <w:i/>
        </w:rPr>
        <w:t xml:space="preserve"> </w:t>
      </w:r>
    </w:p>
    <w:p w14:paraId="21D3FB79" w14:textId="77777777" w:rsidR="000B50DA" w:rsidRPr="002227D8" w:rsidRDefault="000B50DA" w:rsidP="000B50DA">
      <w:pPr>
        <w:pStyle w:val="Recommendation"/>
        <w:rPr>
          <w:b w:val="0"/>
        </w:rPr>
      </w:pPr>
    </w:p>
    <w:p w14:paraId="0B017CFC" w14:textId="77777777" w:rsidR="000B50DA" w:rsidRPr="002227D8" w:rsidRDefault="000B50DA" w:rsidP="000B50DA">
      <w:pPr>
        <w:pStyle w:val="ListNumber"/>
        <w:numPr>
          <w:ilvl w:val="0"/>
          <w:numId w:val="0"/>
        </w:numPr>
        <w:ind w:left="360" w:hanging="360"/>
      </w:pPr>
    </w:p>
    <w:p w14:paraId="3E2E8F11" w14:textId="056A185F" w:rsidR="04BC6A06" w:rsidRPr="002227D8" w:rsidRDefault="2BB8A98D" w:rsidP="003520E9">
      <w:pPr>
        <w:pStyle w:val="Heading2"/>
      </w:pPr>
      <w:bookmarkStart w:id="54" w:name="_Toc63685948"/>
      <w:r w:rsidRPr="002227D8">
        <w:t xml:space="preserve">Reform Rent Assistance to relieve rental stress for </w:t>
      </w:r>
      <w:r w:rsidR="1395B3F5" w:rsidRPr="002227D8">
        <w:t xml:space="preserve">tenants </w:t>
      </w:r>
      <w:r w:rsidRPr="002227D8">
        <w:t>in the private market</w:t>
      </w:r>
      <w:bookmarkEnd w:id="54"/>
    </w:p>
    <w:p w14:paraId="1EDEF46E" w14:textId="77777777" w:rsidR="001E1F7F" w:rsidRPr="002227D8" w:rsidRDefault="001E1F7F" w:rsidP="001E1F7F">
      <w:r w:rsidRPr="002227D8">
        <w:t xml:space="preserve">Commonwealth Rent Assistance (CRA) provides crucial assistance to tenants with low incomes in private housing, but it has failed to keep pace with steep increases in rents. </w:t>
      </w:r>
    </w:p>
    <w:p w14:paraId="6A53E305" w14:textId="77777777" w:rsidR="001E1F7F" w:rsidRPr="002227D8" w:rsidRDefault="001E1F7F" w:rsidP="001E1F7F">
      <w:pPr>
        <w:rPr>
          <w:bCs/>
        </w:rPr>
      </w:pPr>
      <w:r w:rsidRPr="002227D8">
        <w:t>We propose a 50% increase in the maximum rent thresholds which attract the Rent Assistance subsidy. This brings those thresholds close to the lowest rents for properties advertised in our largest capital cities (Sydney, Melbourne and Brisbane), though the new maximum rent thresholds would apply nationally. For a single person without children, this increase would see the maximum rate of CRA rise by $59 a week from $70 to $129</w:t>
      </w:r>
      <w:r w:rsidRPr="002227D8">
        <w:rPr>
          <w:bCs/>
        </w:rPr>
        <w:t>. This will not cover 100% of the lowest rents in those capital cities (since CRA only subsidises a proportion of rent paid) but it would greatly improve housing affordability for people on the lowest incomes.</w:t>
      </w:r>
    </w:p>
    <w:p w14:paraId="2F392676" w14:textId="77777777" w:rsidR="001E1F7F" w:rsidRPr="002227D8" w:rsidRDefault="001E1F7F" w:rsidP="001E1F7F">
      <w:pPr>
        <w:rPr>
          <w:bCs/>
        </w:rPr>
      </w:pPr>
      <w:r w:rsidRPr="002227D8">
        <w:rPr>
          <w:bCs/>
        </w:rPr>
        <w:t xml:space="preserve">While this would secure a more adequate payment rate, future reforms are needed to improve the effectiveness and adequacy of Rent Assistance, including changes to eligibility and indexation. </w:t>
      </w:r>
    </w:p>
    <w:p w14:paraId="3E854912" w14:textId="0E0A80AD" w:rsidR="001E1F7F" w:rsidRPr="002227D8" w:rsidRDefault="001E1F7F" w:rsidP="001E1F7F">
      <w:pPr>
        <w:rPr>
          <w:bCs/>
        </w:rPr>
      </w:pPr>
      <w:r w:rsidRPr="002227D8">
        <w:rPr>
          <w:bCs/>
        </w:rPr>
        <w:t xml:space="preserve">This is one of the supplementary payments we believe must be increased so that people on social security payments can meet their basic expenditure needs (see Chapter 2: </w:t>
      </w:r>
      <w:r w:rsidR="00802708">
        <w:t>A permanent boost to the lowest incomes</w:t>
      </w:r>
      <w:r w:rsidRPr="002227D8">
        <w:rPr>
          <w:bCs/>
        </w:rPr>
        <w:t>), though CRA extends to many low-income families who are not on income support.</w:t>
      </w:r>
    </w:p>
    <w:p w14:paraId="1A5106F7" w14:textId="5DB3000B" w:rsidR="001E1F7F" w:rsidRPr="002227D8" w:rsidRDefault="008101F0" w:rsidP="001E1F7F">
      <w:pPr>
        <w:pStyle w:val="Heading4"/>
        <w:rPr>
          <w:rFonts w:eastAsia="Times New Roman"/>
          <w:lang w:val="en-AU" w:eastAsia="en-AU"/>
        </w:rPr>
      </w:pPr>
      <w:r w:rsidRPr="002227D8">
        <w:rPr>
          <w:rFonts w:eastAsia="Times New Roman"/>
          <w:lang w:val="en-AU" w:eastAsia="en-AU"/>
        </w:rPr>
        <w:lastRenderedPageBreak/>
        <w:t>Table</w:t>
      </w:r>
      <w:r w:rsidR="00802708">
        <w:rPr>
          <w:rFonts w:eastAsia="Times New Roman"/>
          <w:lang w:val="en-AU" w:eastAsia="en-AU"/>
        </w:rPr>
        <w:t xml:space="preserve"> 1</w:t>
      </w:r>
      <w:r w:rsidRPr="002227D8">
        <w:rPr>
          <w:rFonts w:eastAsia="Times New Roman"/>
          <w:lang w:val="en-AU" w:eastAsia="en-AU"/>
        </w:rPr>
        <w:t xml:space="preserve">: </w:t>
      </w:r>
      <w:r w:rsidR="001E1F7F" w:rsidRPr="002227D8">
        <w:rPr>
          <w:rFonts w:eastAsia="Times New Roman"/>
          <w:lang w:val="en-AU" w:eastAsia="en-AU"/>
        </w:rPr>
        <w:t>Proposed increases in Commonwealth Rent Assistance (CRA)</w:t>
      </w:r>
    </w:p>
    <w:tbl>
      <w:tblPr>
        <w:tblW w:w="9401" w:type="dxa"/>
        <w:tblLook w:val="04A0" w:firstRow="1" w:lastRow="0" w:firstColumn="1" w:lastColumn="0" w:noHBand="0" w:noVBand="1"/>
      </w:tblPr>
      <w:tblGrid>
        <w:gridCol w:w="1463"/>
        <w:gridCol w:w="1134"/>
        <w:gridCol w:w="1134"/>
        <w:gridCol w:w="1134"/>
        <w:gridCol w:w="1134"/>
        <w:gridCol w:w="1701"/>
        <w:gridCol w:w="1701"/>
      </w:tblGrid>
      <w:tr w:rsidR="001E1F7F" w:rsidRPr="002227D8" w14:paraId="129862F6" w14:textId="77777777" w:rsidTr="001E1F7F">
        <w:trPr>
          <w:trHeight w:val="288"/>
        </w:trPr>
        <w:tc>
          <w:tcPr>
            <w:tcW w:w="1463" w:type="dxa"/>
            <w:tcBorders>
              <w:top w:val="single" w:sz="2" w:space="0" w:color="707070"/>
              <w:left w:val="single" w:sz="2" w:space="0" w:color="707070"/>
              <w:bottom w:val="single" w:sz="2" w:space="0" w:color="707070"/>
              <w:right w:val="single" w:sz="2" w:space="0" w:color="707070"/>
            </w:tcBorders>
            <w:noWrap/>
            <w:hideMark/>
          </w:tcPr>
          <w:p w14:paraId="3184F9E3" w14:textId="77777777" w:rsidR="001E1F7F" w:rsidRPr="002227D8" w:rsidRDefault="001E1F7F" w:rsidP="007E2711">
            <w:pPr>
              <w:keepNext/>
              <w:rPr>
                <w:rFonts w:eastAsia="Times New Roman" w:cs="Calibri"/>
                <w:color w:val="000000"/>
                <w:sz w:val="18"/>
                <w:szCs w:val="18"/>
                <w:lang w:val="en-AU" w:eastAsia="en-AU"/>
              </w:rPr>
            </w:pPr>
            <w:r w:rsidRPr="002227D8">
              <w:rPr>
                <w:rFonts w:eastAsia="Times New Roman" w:cs="Calibri"/>
                <w:color w:val="000000"/>
                <w:sz w:val="18"/>
                <w:szCs w:val="18"/>
                <w:lang w:val="en-AU" w:eastAsia="en-AU"/>
              </w:rPr>
              <w:t xml:space="preserve">Household size </w:t>
            </w:r>
          </w:p>
        </w:tc>
        <w:tc>
          <w:tcPr>
            <w:tcW w:w="1134" w:type="dxa"/>
            <w:tcBorders>
              <w:top w:val="single" w:sz="2" w:space="0" w:color="707070"/>
              <w:left w:val="single" w:sz="2" w:space="0" w:color="707070"/>
              <w:bottom w:val="single" w:sz="2" w:space="0" w:color="707070"/>
              <w:right w:val="single" w:sz="2" w:space="0" w:color="707070"/>
            </w:tcBorders>
            <w:noWrap/>
            <w:hideMark/>
          </w:tcPr>
          <w:p w14:paraId="5573503B" w14:textId="77777777" w:rsidR="001E1F7F" w:rsidRPr="002227D8" w:rsidRDefault="001E1F7F" w:rsidP="007E2711">
            <w:pPr>
              <w:keepNext/>
              <w:rPr>
                <w:rFonts w:eastAsia="Times New Roman" w:cs="Calibri"/>
                <w:color w:val="000000"/>
                <w:sz w:val="18"/>
                <w:szCs w:val="18"/>
                <w:lang w:val="en-AU" w:eastAsia="en-AU"/>
              </w:rPr>
            </w:pPr>
            <w:r w:rsidRPr="002227D8">
              <w:rPr>
                <w:rFonts w:eastAsia="Times New Roman" w:cs="Calibri"/>
                <w:color w:val="000000"/>
                <w:sz w:val="18"/>
                <w:szCs w:val="18"/>
                <w:lang w:val="en-AU" w:eastAsia="en-AU"/>
              </w:rPr>
              <w:t>Dwelling size</w:t>
            </w:r>
          </w:p>
        </w:tc>
        <w:tc>
          <w:tcPr>
            <w:tcW w:w="1134" w:type="dxa"/>
            <w:tcBorders>
              <w:top w:val="single" w:sz="2" w:space="0" w:color="707070"/>
              <w:left w:val="single" w:sz="2" w:space="0" w:color="707070"/>
              <w:bottom w:val="single" w:sz="2" w:space="0" w:color="707070"/>
              <w:right w:val="single" w:sz="2" w:space="0" w:color="707070"/>
            </w:tcBorders>
            <w:noWrap/>
            <w:hideMark/>
          </w:tcPr>
          <w:p w14:paraId="43D9CE4F" w14:textId="14307603" w:rsidR="001E1F7F" w:rsidRPr="002227D8" w:rsidRDefault="001E1F7F" w:rsidP="007E2711">
            <w:pPr>
              <w:keepNext/>
              <w:rPr>
                <w:rFonts w:eastAsia="Times New Roman" w:cs="Calibri"/>
                <w:color w:val="000000"/>
                <w:sz w:val="18"/>
                <w:szCs w:val="18"/>
                <w:lang w:val="en-AU" w:eastAsia="en-AU"/>
              </w:rPr>
            </w:pPr>
            <w:r w:rsidRPr="002227D8">
              <w:rPr>
                <w:rFonts w:eastAsia="Times New Roman" w:cs="Calibri"/>
                <w:color w:val="000000"/>
                <w:sz w:val="18"/>
                <w:szCs w:val="18"/>
                <w:lang w:val="en-AU" w:eastAsia="en-AU"/>
              </w:rPr>
              <w:t xml:space="preserve">(1) Weekly rents </w:t>
            </w:r>
            <w:r w:rsidRPr="002227D8">
              <w:rPr>
                <w:rFonts w:eastAsia="Times New Roman" w:cs="Calibri"/>
                <w:color w:val="000000"/>
                <w:sz w:val="18"/>
                <w:szCs w:val="18"/>
                <w:vertAlign w:val="superscript"/>
                <w:lang w:val="en-AU" w:eastAsia="en-AU"/>
              </w:rPr>
              <w:t>1</w:t>
            </w:r>
          </w:p>
        </w:tc>
        <w:tc>
          <w:tcPr>
            <w:tcW w:w="1134" w:type="dxa"/>
            <w:tcBorders>
              <w:top w:val="single" w:sz="2" w:space="0" w:color="707070"/>
              <w:left w:val="single" w:sz="2" w:space="0" w:color="707070"/>
              <w:bottom w:val="single" w:sz="2" w:space="0" w:color="707070"/>
              <w:right w:val="single" w:sz="2" w:space="0" w:color="707070"/>
            </w:tcBorders>
            <w:noWrap/>
            <w:hideMark/>
          </w:tcPr>
          <w:p w14:paraId="15CC959A" w14:textId="77777777" w:rsidR="001E1F7F" w:rsidRPr="002227D8" w:rsidRDefault="001E1F7F" w:rsidP="007E2711">
            <w:pPr>
              <w:keepNext/>
              <w:rPr>
                <w:rFonts w:eastAsia="Times New Roman" w:cs="Calibri"/>
                <w:color w:val="000000"/>
                <w:sz w:val="18"/>
                <w:szCs w:val="18"/>
                <w:lang w:val="en-AU" w:eastAsia="en-AU"/>
              </w:rPr>
            </w:pPr>
            <w:r w:rsidRPr="002227D8">
              <w:rPr>
                <w:rFonts w:eastAsia="Times New Roman" w:cs="Calibri"/>
                <w:color w:val="000000"/>
                <w:sz w:val="18"/>
                <w:szCs w:val="18"/>
                <w:lang w:val="en-AU" w:eastAsia="en-AU"/>
              </w:rPr>
              <w:t xml:space="preserve">(2) </w:t>
            </w:r>
          </w:p>
          <w:p w14:paraId="6493F3CF" w14:textId="222C1F21" w:rsidR="001E1F7F" w:rsidRPr="002227D8" w:rsidRDefault="001E1F7F" w:rsidP="007E2711">
            <w:pPr>
              <w:keepNext/>
              <w:rPr>
                <w:rFonts w:eastAsia="Times New Roman" w:cs="Calibri"/>
                <w:color w:val="000000"/>
                <w:sz w:val="18"/>
                <w:szCs w:val="18"/>
                <w:lang w:val="en-AU" w:eastAsia="en-AU"/>
              </w:rPr>
            </w:pPr>
            <w:r w:rsidRPr="002227D8">
              <w:rPr>
                <w:rFonts w:eastAsia="Times New Roman" w:cs="Calibri"/>
                <w:color w:val="000000"/>
                <w:sz w:val="18"/>
                <w:szCs w:val="18"/>
                <w:lang w:val="en-AU" w:eastAsia="en-AU"/>
              </w:rPr>
              <w:t xml:space="preserve">CRA max. rents </w:t>
            </w:r>
            <w:r w:rsidRPr="002227D8">
              <w:rPr>
                <w:rFonts w:eastAsia="Times New Roman" w:cs="Calibri"/>
                <w:color w:val="000000"/>
                <w:sz w:val="18"/>
                <w:szCs w:val="18"/>
                <w:vertAlign w:val="superscript"/>
                <w:lang w:val="en-AU" w:eastAsia="en-AU"/>
              </w:rPr>
              <w:t>2</w:t>
            </w:r>
          </w:p>
        </w:tc>
        <w:tc>
          <w:tcPr>
            <w:tcW w:w="1134" w:type="dxa"/>
            <w:tcBorders>
              <w:top w:val="single" w:sz="2" w:space="0" w:color="707070"/>
              <w:left w:val="single" w:sz="2" w:space="0" w:color="707070"/>
              <w:bottom w:val="single" w:sz="2" w:space="0" w:color="707070"/>
              <w:right w:val="single" w:sz="2" w:space="0" w:color="707070"/>
            </w:tcBorders>
            <w:noWrap/>
            <w:hideMark/>
          </w:tcPr>
          <w:p w14:paraId="1AFD3540" w14:textId="77777777" w:rsidR="001E1F7F" w:rsidRPr="002227D8" w:rsidRDefault="001E1F7F" w:rsidP="007E2711">
            <w:pPr>
              <w:keepNext/>
              <w:rPr>
                <w:rFonts w:eastAsia="Times New Roman" w:cs="Calibri"/>
                <w:color w:val="000000"/>
                <w:sz w:val="18"/>
                <w:szCs w:val="18"/>
                <w:lang w:val="en-AU" w:eastAsia="en-AU"/>
              </w:rPr>
            </w:pPr>
            <w:r w:rsidRPr="002227D8">
              <w:rPr>
                <w:rFonts w:eastAsia="Times New Roman" w:cs="Calibri"/>
                <w:color w:val="000000"/>
                <w:sz w:val="18"/>
                <w:szCs w:val="18"/>
                <w:lang w:val="en-AU" w:eastAsia="en-AU"/>
              </w:rPr>
              <w:t xml:space="preserve">(1)/(2) </w:t>
            </w:r>
          </w:p>
        </w:tc>
        <w:tc>
          <w:tcPr>
            <w:tcW w:w="1701" w:type="dxa"/>
            <w:tcBorders>
              <w:top w:val="single" w:sz="2" w:space="0" w:color="707070"/>
              <w:left w:val="single" w:sz="2" w:space="0" w:color="707070"/>
              <w:bottom w:val="single" w:sz="2" w:space="0" w:color="707070"/>
              <w:right w:val="single" w:sz="2" w:space="0" w:color="707070"/>
            </w:tcBorders>
            <w:noWrap/>
            <w:hideMark/>
          </w:tcPr>
          <w:p w14:paraId="7EF0A50C" w14:textId="77777777" w:rsidR="001E1F7F" w:rsidRPr="002227D8" w:rsidRDefault="001E1F7F" w:rsidP="007E2711">
            <w:pPr>
              <w:keepNext/>
              <w:rPr>
                <w:rFonts w:eastAsia="Times New Roman" w:cs="Calibri"/>
                <w:color w:val="000000"/>
                <w:sz w:val="18"/>
                <w:szCs w:val="18"/>
                <w:lang w:val="en-AU" w:eastAsia="en-AU"/>
              </w:rPr>
            </w:pPr>
            <w:r w:rsidRPr="002227D8">
              <w:rPr>
                <w:rFonts w:eastAsia="Times New Roman" w:cs="Calibri"/>
                <w:color w:val="000000"/>
                <w:sz w:val="18"/>
                <w:szCs w:val="18"/>
                <w:lang w:val="en-AU" w:eastAsia="en-AU"/>
              </w:rPr>
              <w:t>Proposed increase in CRA max. rents</w:t>
            </w:r>
          </w:p>
        </w:tc>
        <w:tc>
          <w:tcPr>
            <w:tcW w:w="1701" w:type="dxa"/>
            <w:tcBorders>
              <w:top w:val="single" w:sz="2" w:space="0" w:color="707070"/>
              <w:left w:val="single" w:sz="2" w:space="0" w:color="707070"/>
              <w:bottom w:val="single" w:sz="2" w:space="0" w:color="707070"/>
              <w:right w:val="single" w:sz="2" w:space="0" w:color="707070"/>
            </w:tcBorders>
            <w:noWrap/>
            <w:hideMark/>
          </w:tcPr>
          <w:p w14:paraId="70F8C487" w14:textId="11B30281" w:rsidR="001E1F7F" w:rsidRPr="002227D8" w:rsidRDefault="001E1F7F" w:rsidP="007E2711">
            <w:pPr>
              <w:keepNext/>
              <w:rPr>
                <w:rFonts w:eastAsia="Times New Roman" w:cs="Calibri"/>
                <w:color w:val="000000"/>
                <w:sz w:val="18"/>
                <w:szCs w:val="18"/>
                <w:lang w:val="en-AU" w:eastAsia="en-AU"/>
              </w:rPr>
            </w:pPr>
            <w:r w:rsidRPr="002227D8">
              <w:rPr>
                <w:rFonts w:eastAsia="Times New Roman" w:cs="Calibri"/>
                <w:color w:val="000000"/>
                <w:sz w:val="18"/>
                <w:szCs w:val="18"/>
                <w:lang w:val="en-AU" w:eastAsia="en-AU"/>
              </w:rPr>
              <w:t xml:space="preserve">Proposed increase in max. weekly CRA ($pw) </w:t>
            </w:r>
            <w:r w:rsidRPr="002227D8">
              <w:rPr>
                <w:rFonts w:eastAsia="Times New Roman" w:cs="Calibri"/>
                <w:color w:val="000000"/>
                <w:sz w:val="18"/>
                <w:szCs w:val="18"/>
                <w:vertAlign w:val="superscript"/>
                <w:lang w:val="en-AU" w:eastAsia="en-AU"/>
              </w:rPr>
              <w:t>3</w:t>
            </w:r>
          </w:p>
        </w:tc>
      </w:tr>
      <w:tr w:rsidR="001E1F7F" w:rsidRPr="002227D8" w14:paraId="4C05DEF0" w14:textId="77777777" w:rsidTr="001E1F7F">
        <w:trPr>
          <w:trHeight w:val="288"/>
        </w:trPr>
        <w:tc>
          <w:tcPr>
            <w:tcW w:w="1463" w:type="dxa"/>
            <w:tcBorders>
              <w:top w:val="single" w:sz="2" w:space="0" w:color="707070"/>
              <w:left w:val="single" w:sz="2" w:space="0" w:color="707070"/>
              <w:bottom w:val="single" w:sz="2" w:space="0" w:color="707070"/>
              <w:right w:val="single" w:sz="2" w:space="0" w:color="707070"/>
            </w:tcBorders>
            <w:noWrap/>
            <w:hideMark/>
          </w:tcPr>
          <w:p w14:paraId="7B192AD7" w14:textId="77777777" w:rsidR="001E1F7F" w:rsidRPr="002227D8" w:rsidRDefault="001E1F7F" w:rsidP="007E2711">
            <w:pPr>
              <w:keepNext/>
              <w:rPr>
                <w:rFonts w:eastAsia="Times New Roman" w:cs="Calibri"/>
                <w:color w:val="000000"/>
                <w:sz w:val="18"/>
                <w:szCs w:val="18"/>
                <w:lang w:val="en-AU" w:eastAsia="en-AU"/>
              </w:rPr>
            </w:pPr>
            <w:r w:rsidRPr="002227D8">
              <w:rPr>
                <w:rFonts w:eastAsia="Times New Roman" w:cs="Calibri"/>
                <w:color w:val="000000"/>
                <w:szCs w:val="18"/>
                <w:lang w:val="en-AU" w:eastAsia="en-AU"/>
              </w:rPr>
              <w:t>Single</w:t>
            </w:r>
          </w:p>
        </w:tc>
        <w:tc>
          <w:tcPr>
            <w:tcW w:w="1134" w:type="dxa"/>
            <w:tcBorders>
              <w:top w:val="single" w:sz="2" w:space="0" w:color="707070"/>
              <w:left w:val="single" w:sz="2" w:space="0" w:color="707070"/>
              <w:bottom w:val="single" w:sz="2" w:space="0" w:color="707070"/>
              <w:right w:val="single" w:sz="2" w:space="0" w:color="707070"/>
            </w:tcBorders>
            <w:noWrap/>
            <w:hideMark/>
          </w:tcPr>
          <w:p w14:paraId="0F8D7225" w14:textId="77777777" w:rsidR="001E1F7F" w:rsidRPr="002227D8" w:rsidRDefault="001E1F7F" w:rsidP="007E2711">
            <w:pPr>
              <w:keepNext/>
              <w:rPr>
                <w:rFonts w:eastAsia="Times New Roman" w:cs="Calibri"/>
                <w:color w:val="000000"/>
                <w:szCs w:val="18"/>
                <w:lang w:val="en-AU" w:eastAsia="en-AU"/>
              </w:rPr>
            </w:pPr>
            <w:r w:rsidRPr="002227D8">
              <w:rPr>
                <w:rFonts w:eastAsia="Times New Roman" w:cs="Calibri"/>
                <w:color w:val="000000"/>
                <w:szCs w:val="18"/>
                <w:lang w:val="en-AU" w:eastAsia="en-AU"/>
              </w:rPr>
              <w:t>1brm unit</w:t>
            </w:r>
          </w:p>
        </w:tc>
        <w:tc>
          <w:tcPr>
            <w:tcW w:w="1134" w:type="dxa"/>
            <w:tcBorders>
              <w:top w:val="single" w:sz="2" w:space="0" w:color="707070"/>
              <w:left w:val="single" w:sz="2" w:space="0" w:color="707070"/>
              <w:bottom w:val="single" w:sz="2" w:space="0" w:color="707070"/>
              <w:right w:val="single" w:sz="2" w:space="0" w:color="707070"/>
            </w:tcBorders>
            <w:noWrap/>
            <w:hideMark/>
          </w:tcPr>
          <w:p w14:paraId="4060A89E"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$232</w:t>
            </w:r>
          </w:p>
        </w:tc>
        <w:tc>
          <w:tcPr>
            <w:tcW w:w="1134" w:type="dxa"/>
            <w:tcBorders>
              <w:top w:val="single" w:sz="2" w:space="0" w:color="707070"/>
              <w:left w:val="single" w:sz="2" w:space="0" w:color="707070"/>
              <w:bottom w:val="single" w:sz="2" w:space="0" w:color="707070"/>
              <w:right w:val="single" w:sz="2" w:space="0" w:color="707070"/>
            </w:tcBorders>
            <w:noWrap/>
            <w:hideMark/>
          </w:tcPr>
          <w:p w14:paraId="5731918F"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$155</w:t>
            </w:r>
          </w:p>
        </w:tc>
        <w:tc>
          <w:tcPr>
            <w:tcW w:w="1134" w:type="dxa"/>
            <w:tcBorders>
              <w:top w:val="single" w:sz="2" w:space="0" w:color="707070"/>
              <w:left w:val="single" w:sz="2" w:space="0" w:color="707070"/>
              <w:bottom w:val="single" w:sz="2" w:space="0" w:color="707070"/>
              <w:right w:val="single" w:sz="2" w:space="0" w:color="707070"/>
            </w:tcBorders>
            <w:noWrap/>
            <w:hideMark/>
          </w:tcPr>
          <w:p w14:paraId="23AA04D3"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1.49</w:t>
            </w:r>
          </w:p>
        </w:tc>
        <w:tc>
          <w:tcPr>
            <w:tcW w:w="1701" w:type="dxa"/>
            <w:tcBorders>
              <w:top w:val="single" w:sz="2" w:space="0" w:color="707070"/>
              <w:left w:val="single" w:sz="2" w:space="0" w:color="707070"/>
              <w:bottom w:val="single" w:sz="2" w:space="0" w:color="707070"/>
              <w:right w:val="single" w:sz="2" w:space="0" w:color="707070"/>
            </w:tcBorders>
            <w:noWrap/>
            <w:hideMark/>
          </w:tcPr>
          <w:p w14:paraId="4C87DF61"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1.5</w:t>
            </w:r>
          </w:p>
        </w:tc>
        <w:tc>
          <w:tcPr>
            <w:tcW w:w="1701" w:type="dxa"/>
            <w:tcBorders>
              <w:top w:val="single" w:sz="2" w:space="0" w:color="707070"/>
              <w:left w:val="single" w:sz="2" w:space="0" w:color="707070"/>
              <w:bottom w:val="single" w:sz="2" w:space="0" w:color="707070"/>
              <w:right w:val="single" w:sz="2" w:space="0" w:color="707070"/>
            </w:tcBorders>
            <w:noWrap/>
            <w:hideMark/>
          </w:tcPr>
          <w:p w14:paraId="13916615"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$59</w:t>
            </w:r>
          </w:p>
        </w:tc>
      </w:tr>
      <w:tr w:rsidR="001E1F7F" w:rsidRPr="002227D8" w14:paraId="76950C70" w14:textId="77777777" w:rsidTr="001E1F7F">
        <w:trPr>
          <w:trHeight w:val="288"/>
        </w:trPr>
        <w:tc>
          <w:tcPr>
            <w:tcW w:w="1463" w:type="dxa"/>
            <w:tcBorders>
              <w:top w:val="single" w:sz="2" w:space="0" w:color="707070"/>
              <w:left w:val="single" w:sz="2" w:space="0" w:color="707070"/>
              <w:bottom w:val="single" w:sz="2" w:space="0" w:color="707070"/>
              <w:right w:val="single" w:sz="2" w:space="0" w:color="707070"/>
            </w:tcBorders>
            <w:noWrap/>
            <w:hideMark/>
          </w:tcPr>
          <w:p w14:paraId="18467694" w14:textId="77777777" w:rsidR="001E1F7F" w:rsidRPr="002227D8" w:rsidRDefault="001E1F7F" w:rsidP="007E2711">
            <w:pPr>
              <w:keepNext/>
              <w:rPr>
                <w:rFonts w:eastAsia="Times New Roman" w:cs="Calibri"/>
                <w:color w:val="000000"/>
                <w:szCs w:val="18"/>
                <w:lang w:val="en-AU" w:eastAsia="en-AU"/>
              </w:rPr>
            </w:pPr>
            <w:r w:rsidRPr="002227D8">
              <w:rPr>
                <w:rFonts w:eastAsia="Times New Roman" w:cs="Calibri"/>
                <w:color w:val="000000"/>
                <w:szCs w:val="18"/>
                <w:lang w:val="en-AU" w:eastAsia="en-AU"/>
              </w:rPr>
              <w:t>Couple no children, family 1 child</w:t>
            </w:r>
          </w:p>
        </w:tc>
        <w:tc>
          <w:tcPr>
            <w:tcW w:w="1134" w:type="dxa"/>
            <w:tcBorders>
              <w:top w:val="single" w:sz="2" w:space="0" w:color="707070"/>
              <w:left w:val="single" w:sz="2" w:space="0" w:color="707070"/>
              <w:bottom w:val="single" w:sz="2" w:space="0" w:color="707070"/>
              <w:right w:val="single" w:sz="2" w:space="0" w:color="707070"/>
            </w:tcBorders>
            <w:noWrap/>
            <w:hideMark/>
          </w:tcPr>
          <w:p w14:paraId="623FD9FD" w14:textId="77777777" w:rsidR="001E1F7F" w:rsidRPr="002227D8" w:rsidRDefault="001E1F7F" w:rsidP="007E2711">
            <w:pPr>
              <w:keepNext/>
              <w:rPr>
                <w:rFonts w:eastAsia="Times New Roman" w:cs="Calibri"/>
                <w:color w:val="000000"/>
                <w:szCs w:val="18"/>
                <w:lang w:val="en-AU" w:eastAsia="en-AU"/>
              </w:rPr>
            </w:pPr>
            <w:r w:rsidRPr="002227D8">
              <w:rPr>
                <w:rFonts w:eastAsia="Times New Roman" w:cs="Calibri"/>
                <w:color w:val="000000"/>
                <w:szCs w:val="18"/>
                <w:lang w:val="en-AU" w:eastAsia="en-AU"/>
              </w:rPr>
              <w:t>2 brm unit</w:t>
            </w:r>
          </w:p>
        </w:tc>
        <w:tc>
          <w:tcPr>
            <w:tcW w:w="1134" w:type="dxa"/>
            <w:tcBorders>
              <w:top w:val="single" w:sz="2" w:space="0" w:color="707070"/>
              <w:left w:val="single" w:sz="2" w:space="0" w:color="707070"/>
              <w:bottom w:val="single" w:sz="2" w:space="0" w:color="707070"/>
              <w:right w:val="single" w:sz="2" w:space="0" w:color="707070"/>
            </w:tcBorders>
            <w:noWrap/>
            <w:hideMark/>
          </w:tcPr>
          <w:p w14:paraId="469AB107"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$309</w:t>
            </w:r>
          </w:p>
        </w:tc>
        <w:tc>
          <w:tcPr>
            <w:tcW w:w="1134" w:type="dxa"/>
            <w:tcBorders>
              <w:top w:val="single" w:sz="2" w:space="0" w:color="707070"/>
              <w:left w:val="single" w:sz="2" w:space="0" w:color="707070"/>
              <w:bottom w:val="single" w:sz="2" w:space="0" w:color="707070"/>
              <w:right w:val="single" w:sz="2" w:space="0" w:color="707070"/>
            </w:tcBorders>
            <w:noWrap/>
            <w:hideMark/>
          </w:tcPr>
          <w:p w14:paraId="37862585"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$189</w:t>
            </w:r>
          </w:p>
        </w:tc>
        <w:tc>
          <w:tcPr>
            <w:tcW w:w="1134" w:type="dxa"/>
            <w:tcBorders>
              <w:top w:val="single" w:sz="2" w:space="0" w:color="707070"/>
              <w:left w:val="single" w:sz="2" w:space="0" w:color="707070"/>
              <w:bottom w:val="single" w:sz="2" w:space="0" w:color="707070"/>
              <w:right w:val="single" w:sz="2" w:space="0" w:color="707070"/>
            </w:tcBorders>
            <w:noWrap/>
            <w:hideMark/>
          </w:tcPr>
          <w:p w14:paraId="305A4033"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1.64</w:t>
            </w:r>
          </w:p>
        </w:tc>
        <w:tc>
          <w:tcPr>
            <w:tcW w:w="1701" w:type="dxa"/>
            <w:tcBorders>
              <w:top w:val="single" w:sz="2" w:space="0" w:color="707070"/>
              <w:left w:val="single" w:sz="2" w:space="0" w:color="707070"/>
              <w:bottom w:val="single" w:sz="2" w:space="0" w:color="707070"/>
              <w:right w:val="single" w:sz="2" w:space="0" w:color="707070"/>
            </w:tcBorders>
            <w:noWrap/>
            <w:hideMark/>
          </w:tcPr>
          <w:p w14:paraId="115DB90D"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1.5</w:t>
            </w:r>
          </w:p>
        </w:tc>
        <w:tc>
          <w:tcPr>
            <w:tcW w:w="1701" w:type="dxa"/>
            <w:tcBorders>
              <w:top w:val="single" w:sz="2" w:space="0" w:color="707070"/>
              <w:left w:val="single" w:sz="2" w:space="0" w:color="707070"/>
              <w:bottom w:val="single" w:sz="2" w:space="0" w:color="707070"/>
              <w:right w:val="single" w:sz="2" w:space="0" w:color="707070"/>
            </w:tcBorders>
            <w:noWrap/>
            <w:hideMark/>
          </w:tcPr>
          <w:p w14:paraId="5390D700"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$73</w:t>
            </w:r>
          </w:p>
        </w:tc>
      </w:tr>
      <w:tr w:rsidR="001E1F7F" w:rsidRPr="002227D8" w14:paraId="50BCFA50" w14:textId="77777777" w:rsidTr="001E1F7F">
        <w:trPr>
          <w:trHeight w:val="288"/>
        </w:trPr>
        <w:tc>
          <w:tcPr>
            <w:tcW w:w="1463" w:type="dxa"/>
            <w:tcBorders>
              <w:top w:val="single" w:sz="2" w:space="0" w:color="707070"/>
              <w:left w:val="single" w:sz="2" w:space="0" w:color="707070"/>
              <w:bottom w:val="single" w:sz="2" w:space="0" w:color="707070"/>
              <w:right w:val="single" w:sz="2" w:space="0" w:color="707070"/>
            </w:tcBorders>
            <w:noWrap/>
            <w:hideMark/>
          </w:tcPr>
          <w:p w14:paraId="4F0B250A" w14:textId="77777777" w:rsidR="001E1F7F" w:rsidRPr="002227D8" w:rsidRDefault="001E1F7F" w:rsidP="007E2711">
            <w:pPr>
              <w:keepNext/>
              <w:rPr>
                <w:rFonts w:eastAsia="Times New Roman" w:cs="Calibri"/>
                <w:color w:val="000000"/>
                <w:szCs w:val="18"/>
                <w:lang w:val="en-AU" w:eastAsia="en-AU"/>
              </w:rPr>
            </w:pPr>
            <w:r w:rsidRPr="002227D8">
              <w:rPr>
                <w:rFonts w:eastAsia="Times New Roman" w:cs="Calibri"/>
                <w:color w:val="000000"/>
                <w:szCs w:val="18"/>
                <w:lang w:val="en-AU" w:eastAsia="en-AU"/>
              </w:rPr>
              <w:t>Family 2 children</w:t>
            </w:r>
          </w:p>
        </w:tc>
        <w:tc>
          <w:tcPr>
            <w:tcW w:w="1134" w:type="dxa"/>
            <w:tcBorders>
              <w:top w:val="single" w:sz="2" w:space="0" w:color="707070"/>
              <w:left w:val="single" w:sz="2" w:space="0" w:color="707070"/>
              <w:bottom w:val="single" w:sz="2" w:space="0" w:color="707070"/>
              <w:right w:val="single" w:sz="2" w:space="0" w:color="707070"/>
            </w:tcBorders>
            <w:noWrap/>
            <w:hideMark/>
          </w:tcPr>
          <w:p w14:paraId="7998D050" w14:textId="77777777" w:rsidR="001E1F7F" w:rsidRPr="002227D8" w:rsidRDefault="001E1F7F" w:rsidP="007E2711">
            <w:pPr>
              <w:keepNext/>
              <w:rPr>
                <w:rFonts w:eastAsia="Times New Roman" w:cs="Calibri"/>
                <w:color w:val="000000"/>
                <w:szCs w:val="18"/>
                <w:lang w:val="en-AU" w:eastAsia="en-AU"/>
              </w:rPr>
            </w:pPr>
            <w:r w:rsidRPr="002227D8">
              <w:rPr>
                <w:rFonts w:eastAsia="Times New Roman" w:cs="Calibri"/>
                <w:color w:val="000000"/>
                <w:szCs w:val="18"/>
                <w:lang w:val="en-AU" w:eastAsia="en-AU"/>
              </w:rPr>
              <w:t>3 brm house</w:t>
            </w:r>
          </w:p>
        </w:tc>
        <w:tc>
          <w:tcPr>
            <w:tcW w:w="1134" w:type="dxa"/>
            <w:tcBorders>
              <w:top w:val="single" w:sz="2" w:space="0" w:color="707070"/>
              <w:left w:val="single" w:sz="2" w:space="0" w:color="707070"/>
              <w:bottom w:val="single" w:sz="2" w:space="0" w:color="707070"/>
              <w:right w:val="single" w:sz="2" w:space="0" w:color="707070"/>
            </w:tcBorders>
            <w:noWrap/>
            <w:hideMark/>
          </w:tcPr>
          <w:p w14:paraId="767C8B8A"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$354</w:t>
            </w:r>
          </w:p>
        </w:tc>
        <w:tc>
          <w:tcPr>
            <w:tcW w:w="1134" w:type="dxa"/>
            <w:tcBorders>
              <w:top w:val="single" w:sz="2" w:space="0" w:color="707070"/>
              <w:left w:val="single" w:sz="2" w:space="0" w:color="707070"/>
              <w:bottom w:val="single" w:sz="2" w:space="0" w:color="707070"/>
              <w:right w:val="single" w:sz="2" w:space="0" w:color="707070"/>
            </w:tcBorders>
            <w:noWrap/>
            <w:hideMark/>
          </w:tcPr>
          <w:p w14:paraId="23021E5A"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$230</w:t>
            </w:r>
          </w:p>
        </w:tc>
        <w:tc>
          <w:tcPr>
            <w:tcW w:w="1134" w:type="dxa"/>
            <w:tcBorders>
              <w:top w:val="single" w:sz="2" w:space="0" w:color="707070"/>
              <w:left w:val="single" w:sz="2" w:space="0" w:color="707070"/>
              <w:bottom w:val="single" w:sz="2" w:space="0" w:color="707070"/>
              <w:right w:val="single" w:sz="2" w:space="0" w:color="707070"/>
            </w:tcBorders>
            <w:noWrap/>
            <w:hideMark/>
          </w:tcPr>
          <w:p w14:paraId="235327DB"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1.34</w:t>
            </w:r>
          </w:p>
        </w:tc>
        <w:tc>
          <w:tcPr>
            <w:tcW w:w="1701" w:type="dxa"/>
            <w:tcBorders>
              <w:top w:val="single" w:sz="2" w:space="0" w:color="707070"/>
              <w:left w:val="single" w:sz="2" w:space="0" w:color="707070"/>
              <w:bottom w:val="single" w:sz="2" w:space="0" w:color="707070"/>
              <w:right w:val="single" w:sz="2" w:space="0" w:color="707070"/>
            </w:tcBorders>
            <w:noWrap/>
            <w:hideMark/>
          </w:tcPr>
          <w:p w14:paraId="482CC923"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1.5</w:t>
            </w:r>
          </w:p>
        </w:tc>
        <w:tc>
          <w:tcPr>
            <w:tcW w:w="1701" w:type="dxa"/>
            <w:tcBorders>
              <w:top w:val="single" w:sz="2" w:space="0" w:color="707070"/>
              <w:left w:val="single" w:sz="2" w:space="0" w:color="707070"/>
              <w:bottom w:val="single" w:sz="2" w:space="0" w:color="707070"/>
              <w:right w:val="single" w:sz="2" w:space="0" w:color="707070"/>
            </w:tcBorders>
            <w:noWrap/>
            <w:hideMark/>
          </w:tcPr>
          <w:p w14:paraId="792D0F9D" w14:textId="77777777" w:rsidR="001E1F7F" w:rsidRPr="002227D8" w:rsidRDefault="001E1F7F" w:rsidP="007E2711">
            <w:pPr>
              <w:keepNext/>
              <w:jc w:val="right"/>
              <w:rPr>
                <w:rFonts w:eastAsia="Times New Roman" w:cs="Calibri"/>
                <w:color w:val="000000"/>
                <w:szCs w:val="18"/>
                <w:lang w:val="en-AU" w:eastAsia="en-AU"/>
              </w:rPr>
            </w:pPr>
            <w:r w:rsidRPr="002227D8">
              <w:rPr>
                <w:rFonts w:eastAsia="Times New Roman" w:cs="Calibri"/>
                <w:color w:val="000000"/>
                <w:szCs w:val="18"/>
                <w:lang w:val="en-AU" w:eastAsia="en-AU"/>
              </w:rPr>
              <w:t>$88</w:t>
            </w:r>
          </w:p>
        </w:tc>
      </w:tr>
    </w:tbl>
    <w:p w14:paraId="7CDBA7B3" w14:textId="77777777" w:rsidR="001E1F7F" w:rsidRPr="002227D8" w:rsidRDefault="001E1F7F" w:rsidP="001E1F7F">
      <w:pPr>
        <w:spacing w:after="0"/>
        <w:rPr>
          <w:sz w:val="18"/>
          <w:szCs w:val="18"/>
        </w:rPr>
      </w:pPr>
      <w:r w:rsidRPr="002227D8">
        <w:rPr>
          <w:sz w:val="18"/>
          <w:szCs w:val="18"/>
        </w:rPr>
        <w:t>Notes:</w:t>
      </w:r>
    </w:p>
    <w:p w14:paraId="11BD79AA" w14:textId="77777777" w:rsidR="001E1F7F" w:rsidRPr="002227D8" w:rsidRDefault="001E1F7F" w:rsidP="001E1F7F">
      <w:pPr>
        <w:spacing w:after="0"/>
        <w:rPr>
          <w:sz w:val="18"/>
          <w:szCs w:val="18"/>
        </w:rPr>
      </w:pPr>
      <w:r w:rsidRPr="002227D8">
        <w:rPr>
          <w:sz w:val="18"/>
          <w:szCs w:val="18"/>
        </w:rPr>
        <w:t>1. Lowest quartile rents, averages for outer Sydney/Melbourne/Brisbane (Source: Saunders P et al (2017) Healthy living budgets for unemployed and low paid workers, Social Policy Research Centre UNSW Sydney, indexed to 2020 values).</w:t>
      </w:r>
    </w:p>
    <w:p w14:paraId="2CF11725" w14:textId="77777777" w:rsidR="001E1F7F" w:rsidRPr="002227D8" w:rsidRDefault="001E1F7F" w:rsidP="001E1F7F">
      <w:pPr>
        <w:spacing w:after="0"/>
        <w:rPr>
          <w:sz w:val="18"/>
          <w:szCs w:val="18"/>
        </w:rPr>
      </w:pPr>
      <w:r w:rsidRPr="002227D8">
        <w:rPr>
          <w:sz w:val="18"/>
          <w:szCs w:val="18"/>
        </w:rPr>
        <w:t>2. Current maximum rent thresholds for which CRA is paid. Threshold for a sole parent with one child is $191pw.</w:t>
      </w:r>
    </w:p>
    <w:p w14:paraId="122A3309" w14:textId="067AE313" w:rsidR="2BB8A98D" w:rsidRPr="002227D8" w:rsidRDefault="001E1F7F" w:rsidP="7B33A330">
      <w:pPr>
        <w:rPr>
          <w:sz w:val="18"/>
          <w:szCs w:val="18"/>
        </w:rPr>
      </w:pPr>
      <w:r w:rsidRPr="002227D8">
        <w:rPr>
          <w:sz w:val="18"/>
          <w:szCs w:val="18"/>
        </w:rPr>
        <w:t>3. Note that the maximum rate of CRA is not the same as the maximum rent threshold on which that payment is based</w:t>
      </w:r>
      <w:r w:rsidR="2BB8A98D" w:rsidRPr="002227D8">
        <w:t>.</w:t>
      </w:r>
    </w:p>
    <w:p w14:paraId="7D213DC1" w14:textId="181D7457" w:rsidR="7B33A330" w:rsidRDefault="00DD2325" w:rsidP="00F83A1C">
      <w:pPr>
        <w:pStyle w:val="Recommendation"/>
        <w:rPr>
          <w:color w:val="auto"/>
        </w:rPr>
      </w:pPr>
      <w:r w:rsidRPr="002227D8">
        <w:rPr>
          <w:color w:val="C00000"/>
        </w:rPr>
        <w:t xml:space="preserve">Recommendation </w:t>
      </w:r>
      <w:r w:rsidR="00E104F0">
        <w:rPr>
          <w:color w:val="C00000"/>
        </w:rPr>
        <w:t>2</w:t>
      </w:r>
      <w:r w:rsidR="0026289A">
        <w:rPr>
          <w:color w:val="C00000"/>
        </w:rPr>
        <w:t>9</w:t>
      </w:r>
      <w:r w:rsidR="4A95D4E1" w:rsidRPr="002227D8">
        <w:rPr>
          <w:color w:val="C00000"/>
        </w:rPr>
        <w:t>:</w:t>
      </w:r>
      <w:r w:rsidR="04BC6A06" w:rsidRPr="002227D8">
        <w:rPr>
          <w:color w:val="C00000"/>
        </w:rPr>
        <w:t xml:space="preserve"> </w:t>
      </w:r>
      <w:r w:rsidR="008101F0" w:rsidRPr="00F83A1C">
        <w:rPr>
          <w:color w:val="auto"/>
        </w:rPr>
        <w:t>Increase maximum rent levels attracting Commonwealth Rent Assistance by 50% to relieve rental stress for people with low incomes renting privately.</w:t>
      </w:r>
    </w:p>
    <w:p w14:paraId="3501D7A1" w14:textId="77777777" w:rsidR="00846818" w:rsidRDefault="00846818" w:rsidP="008101F0">
      <w:pPr>
        <w:pStyle w:val="Recommendation"/>
      </w:pPr>
    </w:p>
    <w:p w14:paraId="66224F82" w14:textId="6C8ADC10" w:rsidR="004173A5" w:rsidRPr="002227D8" w:rsidRDefault="0C08A2D6" w:rsidP="008101F0">
      <w:pPr>
        <w:pStyle w:val="Recommendation"/>
        <w:rPr>
          <w:bCs/>
        </w:rPr>
      </w:pPr>
      <w:r w:rsidRPr="002227D8">
        <w:t>Budget impact:</w:t>
      </w:r>
      <w:r w:rsidRPr="002227D8">
        <w:rPr>
          <w:b w:val="0"/>
          <w:i/>
        </w:rPr>
        <w:t xml:space="preserve"> </w:t>
      </w:r>
      <w:r w:rsidR="008101F0" w:rsidRPr="00E104F0">
        <w:rPr>
          <w:rFonts w:eastAsiaTheme="minorEastAsia"/>
          <w:bCs/>
          <w:i/>
          <w:color w:val="000000" w:themeColor="text1"/>
          <w:szCs w:val="20"/>
        </w:rPr>
        <w:t>-$1,900 million in 2022-23</w:t>
      </w:r>
    </w:p>
    <w:p w14:paraId="4D5112C8" w14:textId="77777777" w:rsidR="004173A5" w:rsidRPr="002227D8" w:rsidRDefault="004173A5" w:rsidP="7B33A330">
      <w:pPr>
        <w:pStyle w:val="ListNumber"/>
        <w:numPr>
          <w:ilvl w:val="0"/>
          <w:numId w:val="0"/>
        </w:numPr>
      </w:pPr>
    </w:p>
    <w:p w14:paraId="06A2E968" w14:textId="68F00980" w:rsidR="67F1141B" w:rsidRPr="002227D8" w:rsidRDefault="67F1141B" w:rsidP="003520E9">
      <w:pPr>
        <w:pStyle w:val="Heading2"/>
      </w:pPr>
      <w:bookmarkStart w:id="55" w:name="_Toc63685949"/>
      <w:r w:rsidRPr="002227D8">
        <w:t>Introduce a</w:t>
      </w:r>
      <w:r w:rsidR="008101F0" w:rsidRPr="002227D8">
        <w:t>n</w:t>
      </w:r>
      <w:r w:rsidRPr="002227D8">
        <w:t xml:space="preserve"> investment </w:t>
      </w:r>
      <w:r w:rsidR="008101F0" w:rsidRPr="002227D8">
        <w:t>incentive</w:t>
      </w:r>
      <w:r w:rsidRPr="002227D8">
        <w:t xml:space="preserve"> </w:t>
      </w:r>
      <w:r w:rsidR="008101F0" w:rsidRPr="002227D8">
        <w:t>for</w:t>
      </w:r>
      <w:r w:rsidRPr="002227D8">
        <w:t xml:space="preserve"> affordable rental housing</w:t>
      </w:r>
      <w:bookmarkEnd w:id="55"/>
    </w:p>
    <w:p w14:paraId="60102763" w14:textId="77777777" w:rsidR="008101F0" w:rsidRPr="002227D8" w:rsidRDefault="008101F0" w:rsidP="008101F0">
      <w:pPr>
        <w:pStyle w:val="ListNumber"/>
        <w:numPr>
          <w:ilvl w:val="0"/>
          <w:numId w:val="0"/>
        </w:numPr>
        <w:tabs>
          <w:tab w:val="left" w:pos="720"/>
        </w:tabs>
      </w:pPr>
      <w:r w:rsidRPr="002227D8">
        <w:t>A new rental investment incentive scheme is needed to replace the discontinued National Rental Affordability Scheme, and to complement the National Housing Finance Investment Corporation, Bond Aggregator and Housing Infrastructure Facility. Its purpose should be to bridge the finance gap for potential investors in housing for rent below market rates for people with low incomes (eligible for social housing assistance) or modest incomes (eligible for ‘affordable housing’ assistance).</w:t>
      </w:r>
    </w:p>
    <w:p w14:paraId="66C3F2A1" w14:textId="77777777" w:rsidR="008101F0" w:rsidRPr="002227D8" w:rsidRDefault="008101F0" w:rsidP="008101F0">
      <w:pPr>
        <w:pStyle w:val="ListNumber"/>
        <w:numPr>
          <w:ilvl w:val="0"/>
          <w:numId w:val="0"/>
        </w:numPr>
        <w:tabs>
          <w:tab w:val="left" w:pos="720"/>
        </w:tabs>
      </w:pPr>
    </w:p>
    <w:p w14:paraId="063FF963" w14:textId="70EF3F32" w:rsidR="008101F0" w:rsidRPr="002227D8" w:rsidRDefault="008101F0" w:rsidP="008101F0">
      <w:pPr>
        <w:pStyle w:val="ListNumber"/>
        <w:numPr>
          <w:ilvl w:val="0"/>
          <w:numId w:val="0"/>
        </w:numPr>
        <w:tabs>
          <w:tab w:val="left" w:pos="720"/>
        </w:tabs>
      </w:pPr>
      <w:r w:rsidRPr="002227D8">
        <w:t xml:space="preserve">The scheme should be funded by reducing the concessional tax treatment of 'negatively geared’ property investments (see Chapter 10: </w:t>
      </w:r>
      <w:r w:rsidR="00802708" w:rsidRPr="7B33A330">
        <w:rPr>
          <w:rFonts w:eastAsia="Verdana" w:cs="Verdana"/>
          <w:szCs w:val="20"/>
        </w:rPr>
        <w:t>A fairer tax system that supports economic development</w:t>
      </w:r>
      <w:r w:rsidRPr="002227D8">
        <w:t>)</w:t>
      </w:r>
    </w:p>
    <w:p w14:paraId="5F4EF7D8" w14:textId="77777777" w:rsidR="008101F0" w:rsidRPr="002227D8" w:rsidRDefault="008101F0" w:rsidP="008101F0">
      <w:pPr>
        <w:pStyle w:val="ListNumber"/>
        <w:numPr>
          <w:ilvl w:val="0"/>
          <w:numId w:val="0"/>
        </w:numPr>
        <w:tabs>
          <w:tab w:val="left" w:pos="720"/>
        </w:tabs>
      </w:pPr>
    </w:p>
    <w:p w14:paraId="1FCE5A38" w14:textId="2105FC92" w:rsidR="008101F0" w:rsidRPr="002227D8" w:rsidRDefault="008101F0" w:rsidP="00F83A1C">
      <w:pPr>
        <w:pStyle w:val="ListNumber"/>
        <w:numPr>
          <w:ilvl w:val="0"/>
          <w:numId w:val="0"/>
        </w:numPr>
        <w:tabs>
          <w:tab w:val="left" w:pos="720"/>
        </w:tabs>
        <w:rPr>
          <w:b/>
        </w:rPr>
      </w:pPr>
      <w:r w:rsidRPr="002227D8">
        <w:rPr>
          <w:b/>
          <w:color w:val="FF0000"/>
        </w:rPr>
        <w:t xml:space="preserve">Recommendation </w:t>
      </w:r>
      <w:r w:rsidR="0026289A">
        <w:rPr>
          <w:b/>
          <w:color w:val="FF0000"/>
        </w:rPr>
        <w:t>30</w:t>
      </w:r>
      <w:r w:rsidRPr="002227D8">
        <w:rPr>
          <w:b/>
          <w:color w:val="FF0000"/>
        </w:rPr>
        <w:t xml:space="preserve">: </w:t>
      </w:r>
      <w:r w:rsidRPr="002227D8">
        <w:rPr>
          <w:b/>
          <w:color w:val="auto"/>
        </w:rPr>
        <w:t xml:space="preserve">Introduce </w:t>
      </w:r>
      <w:r w:rsidR="00515F9E" w:rsidRPr="002227D8">
        <w:rPr>
          <w:b/>
          <w:color w:val="auto"/>
        </w:rPr>
        <w:t>a</w:t>
      </w:r>
      <w:r w:rsidRPr="002227D8">
        <w:rPr>
          <w:b/>
        </w:rPr>
        <w:t xml:space="preserve"> two-tier </w:t>
      </w:r>
      <w:r w:rsidR="00F83A1C">
        <w:rPr>
          <w:b/>
        </w:rPr>
        <w:t>investment</w:t>
      </w:r>
      <w:r w:rsidRPr="002227D8">
        <w:rPr>
          <w:b/>
        </w:rPr>
        <w:t xml:space="preserve"> incentive for construction of new rental housing for people with low or modest incomes, which is:</w:t>
      </w:r>
    </w:p>
    <w:p w14:paraId="4A67EA0A" w14:textId="09865E15" w:rsidR="008101F0" w:rsidRPr="002227D8" w:rsidRDefault="008101F0" w:rsidP="00F13F51">
      <w:pPr>
        <w:pStyle w:val="ListNumber"/>
        <w:numPr>
          <w:ilvl w:val="0"/>
          <w:numId w:val="31"/>
        </w:numPr>
        <w:tabs>
          <w:tab w:val="left" w:pos="851"/>
        </w:tabs>
        <w:spacing w:line="256" w:lineRule="auto"/>
        <w:ind w:left="851" w:hanging="491"/>
        <w:rPr>
          <w:b/>
        </w:rPr>
      </w:pPr>
      <w:r w:rsidRPr="002227D8">
        <w:rPr>
          <w:b/>
        </w:rPr>
        <w:t>set at two rates based on a proportion of construction costs up to a cap;</w:t>
      </w:r>
    </w:p>
    <w:p w14:paraId="0F8A575B" w14:textId="23166C7D" w:rsidR="008101F0" w:rsidRPr="002227D8" w:rsidRDefault="008101F0" w:rsidP="00F13F51">
      <w:pPr>
        <w:pStyle w:val="ListNumber"/>
        <w:numPr>
          <w:ilvl w:val="0"/>
          <w:numId w:val="31"/>
        </w:numPr>
        <w:tabs>
          <w:tab w:val="left" w:pos="851"/>
        </w:tabs>
        <w:spacing w:line="256" w:lineRule="auto"/>
        <w:ind w:left="851" w:hanging="491"/>
        <w:rPr>
          <w:b/>
        </w:rPr>
      </w:pPr>
      <w:r w:rsidRPr="002227D8">
        <w:rPr>
          <w:b/>
        </w:rPr>
        <w:t>with a higher rate for dwellings for community housing providers to house people with low incomes (with rent tied to incomes);</w:t>
      </w:r>
    </w:p>
    <w:p w14:paraId="4945E9BE" w14:textId="02D40494" w:rsidR="008101F0" w:rsidRPr="002227D8" w:rsidRDefault="008101F0" w:rsidP="00F13F51">
      <w:pPr>
        <w:pStyle w:val="ListNumber"/>
        <w:numPr>
          <w:ilvl w:val="0"/>
          <w:numId w:val="31"/>
        </w:numPr>
        <w:tabs>
          <w:tab w:val="left" w:pos="851"/>
        </w:tabs>
        <w:spacing w:line="256" w:lineRule="auto"/>
        <w:ind w:left="851" w:hanging="491"/>
        <w:rPr>
          <w:b/>
        </w:rPr>
      </w:pPr>
      <w:r w:rsidRPr="002227D8">
        <w:rPr>
          <w:b/>
        </w:rPr>
        <w:lastRenderedPageBreak/>
        <w:t>and a lower rate for ’affordable housing’ dwellings for people with modest incomes (with rents set at a 20% discount from market rents for at least ten years after construction);</w:t>
      </w:r>
    </w:p>
    <w:p w14:paraId="1A24F3E5" w14:textId="1AC0570B" w:rsidR="008101F0" w:rsidRPr="002227D8" w:rsidRDefault="008101F0" w:rsidP="00F13F51">
      <w:pPr>
        <w:pStyle w:val="ListNumber"/>
        <w:numPr>
          <w:ilvl w:val="0"/>
          <w:numId w:val="31"/>
        </w:numPr>
        <w:tabs>
          <w:tab w:val="left" w:pos="851"/>
        </w:tabs>
        <w:spacing w:line="256" w:lineRule="auto"/>
        <w:ind w:left="851" w:hanging="491"/>
        <w:rPr>
          <w:b/>
        </w:rPr>
      </w:pPr>
      <w:proofErr w:type="gramStart"/>
      <w:r w:rsidRPr="002227D8">
        <w:rPr>
          <w:b/>
        </w:rPr>
        <w:t>financed</w:t>
      </w:r>
      <w:proofErr w:type="gramEnd"/>
      <w:r w:rsidRPr="002227D8">
        <w:rPr>
          <w:b/>
        </w:rPr>
        <w:t xml:space="preserve"> through restrictions on deductions for costs associated with property investments (‘negative gearing’).</w:t>
      </w:r>
    </w:p>
    <w:p w14:paraId="564563EE" w14:textId="16AD51D0" w:rsidR="3A25A59E" w:rsidRPr="002227D8" w:rsidRDefault="008101F0" w:rsidP="008101F0">
      <w:pPr>
        <w:pStyle w:val="Recommendation"/>
      </w:pPr>
      <w:r w:rsidRPr="002227D8">
        <w:t>Budget</w:t>
      </w:r>
      <w:r w:rsidRPr="002227D8">
        <w:rPr>
          <w:b w:val="0"/>
          <w:color w:val="FF0000"/>
        </w:rPr>
        <w:t xml:space="preserve"> </w:t>
      </w:r>
      <w:r w:rsidRPr="002227D8">
        <w:t>impact</w:t>
      </w:r>
      <w:r w:rsidRPr="002227D8">
        <w:rPr>
          <w:b w:val="0"/>
          <w:color w:val="FF0000"/>
        </w:rPr>
        <w:t>:</w:t>
      </w:r>
      <w:r w:rsidRPr="002227D8">
        <w:rPr>
          <w:b w:val="0"/>
        </w:rPr>
        <w:t xml:space="preserve"> </w:t>
      </w:r>
      <w:r w:rsidRPr="002227D8">
        <w:rPr>
          <w:color w:val="auto"/>
        </w:rPr>
        <w:t xml:space="preserve">-$600 million in 2022-23 </w:t>
      </w:r>
      <w:r w:rsidR="3A25A59E" w:rsidRPr="002227D8">
        <w:rPr>
          <w:color w:val="auto"/>
        </w:rPr>
        <w:t xml:space="preserve"> </w:t>
      </w:r>
    </w:p>
    <w:p w14:paraId="64CEDDF5" w14:textId="0976CDDA" w:rsidR="7B33A330" w:rsidRPr="002227D8" w:rsidRDefault="7B33A330" w:rsidP="7B33A330">
      <w:pPr>
        <w:pStyle w:val="ListNumber"/>
        <w:numPr>
          <w:ilvl w:val="0"/>
          <w:numId w:val="0"/>
        </w:numPr>
      </w:pPr>
    </w:p>
    <w:p w14:paraId="7CB3815E" w14:textId="4C43D426" w:rsidR="67F1141B" w:rsidRPr="002227D8" w:rsidRDefault="67F1141B" w:rsidP="003520E9">
      <w:pPr>
        <w:pStyle w:val="Heading2"/>
      </w:pPr>
      <w:bookmarkStart w:id="56" w:name="_Toc63685950"/>
      <w:r w:rsidRPr="002227D8">
        <w:t>Develop a new national Aboriginal and Torres Strait Islander housing strategy</w:t>
      </w:r>
      <w:bookmarkEnd w:id="56"/>
      <w:r w:rsidRPr="002227D8">
        <w:t xml:space="preserve"> </w:t>
      </w:r>
    </w:p>
    <w:p w14:paraId="52A0FF89" w14:textId="67562433" w:rsidR="67F1141B" w:rsidRPr="002227D8" w:rsidRDefault="67F1141B" w:rsidP="7B33A330">
      <w:pPr>
        <w:pStyle w:val="ListNumber"/>
        <w:numPr>
          <w:ilvl w:val="0"/>
          <w:numId w:val="0"/>
        </w:numPr>
      </w:pPr>
      <w:r w:rsidRPr="002227D8">
        <w:t>Since 2009, there has been no dedicated Commonwealth funding for Aboriginal and Torres Strait Islander housing supply outside of remote areas and services have increasingly been mainstreamed, in a context of little or no overall growth. This is despite the benefits of culturally appropriate housing for Aboriginal people around the country and the large Aboriginal populations in urban centres.</w:t>
      </w:r>
    </w:p>
    <w:p w14:paraId="73DE10AD" w14:textId="5342583E" w:rsidR="7B33A330" w:rsidRPr="002227D8" w:rsidRDefault="7B33A330" w:rsidP="7B33A330">
      <w:pPr>
        <w:pStyle w:val="ListNumber"/>
        <w:numPr>
          <w:ilvl w:val="0"/>
          <w:numId w:val="0"/>
        </w:numPr>
      </w:pPr>
    </w:p>
    <w:p w14:paraId="04F7A83D" w14:textId="3F3DE04D" w:rsidR="41404570" w:rsidRPr="002227D8" w:rsidRDefault="41404570" w:rsidP="7B33A330">
      <w:pPr>
        <w:pStyle w:val="ListNumber"/>
        <w:numPr>
          <w:ilvl w:val="0"/>
          <w:numId w:val="0"/>
        </w:numPr>
      </w:pPr>
      <w:r w:rsidRPr="002227D8">
        <w:t xml:space="preserve">Dedicated funding is needed to improve the viability of </w:t>
      </w:r>
      <w:r w:rsidR="410AA34A" w:rsidRPr="002227D8">
        <w:t>Indigenous Community Housing Organisations (</w:t>
      </w:r>
      <w:r w:rsidRPr="002227D8">
        <w:t>ICHOs</w:t>
      </w:r>
      <w:r w:rsidR="5BAEB4CD" w:rsidRPr="002227D8">
        <w:t>)</w:t>
      </w:r>
      <w:r w:rsidRPr="002227D8">
        <w:t xml:space="preserve"> as an alternative to mainstream providers, and support their capacity to take advantage of new financing options such as the Bond Aggregator.  </w:t>
      </w:r>
    </w:p>
    <w:p w14:paraId="4E939F49" w14:textId="1BE42CB3" w:rsidR="7B33A330" w:rsidRPr="00F83A1C" w:rsidRDefault="00DD2325" w:rsidP="00F83A1C">
      <w:pPr>
        <w:pStyle w:val="Recommendation"/>
        <w:rPr>
          <w:rFonts w:eastAsiaTheme="minorEastAsia"/>
          <w:bCs/>
          <w:color w:val="000000" w:themeColor="text1"/>
          <w:szCs w:val="20"/>
        </w:rPr>
      </w:pPr>
      <w:r w:rsidRPr="002227D8">
        <w:rPr>
          <w:color w:val="C00000"/>
        </w:rPr>
        <w:t xml:space="preserve">Recommendation </w:t>
      </w:r>
      <w:r w:rsidR="00E104F0">
        <w:rPr>
          <w:color w:val="C00000"/>
        </w:rPr>
        <w:t>3</w:t>
      </w:r>
      <w:r w:rsidR="0026289A">
        <w:rPr>
          <w:color w:val="C00000"/>
        </w:rPr>
        <w:t>1</w:t>
      </w:r>
      <w:r w:rsidR="67F1141B" w:rsidRPr="002227D8">
        <w:rPr>
          <w:color w:val="C00000"/>
        </w:rPr>
        <w:t>:</w:t>
      </w:r>
      <w:r w:rsidR="67F1141B" w:rsidRPr="002227D8">
        <w:t xml:space="preserve"> </w:t>
      </w:r>
      <w:r w:rsidR="67F1141B" w:rsidRPr="002227D8">
        <w:rPr>
          <w:rFonts w:eastAsiaTheme="minorEastAsia"/>
          <w:bCs/>
          <w:color w:val="000000" w:themeColor="text1"/>
          <w:szCs w:val="20"/>
        </w:rPr>
        <w:t xml:space="preserve">Develop a new national Aboriginal and Torres Strait Islander housing strategy </w:t>
      </w:r>
      <w:r w:rsidR="67F1141B" w:rsidRPr="00F83A1C">
        <w:rPr>
          <w:rFonts w:eastAsiaTheme="minorEastAsia"/>
          <w:bCs/>
          <w:color w:val="000000" w:themeColor="text1"/>
          <w:szCs w:val="20"/>
        </w:rPr>
        <w:t>with a 10% boost to funding under the National Housing and Homelessness Agreement earmarked to build capacity for Indigenous Community Housing Organisations (ICHOs)</w:t>
      </w:r>
      <w:r w:rsidR="008101F0" w:rsidRPr="00F83A1C">
        <w:rPr>
          <w:rFonts w:eastAsiaTheme="minorEastAsia"/>
          <w:bCs/>
          <w:color w:val="000000" w:themeColor="text1"/>
          <w:szCs w:val="20"/>
        </w:rPr>
        <w:t xml:space="preserve"> in urban, rural, regional and remote areas.</w:t>
      </w:r>
      <w:r w:rsidR="67F1141B" w:rsidRPr="00F83A1C">
        <w:rPr>
          <w:rFonts w:eastAsiaTheme="minorEastAsia"/>
          <w:bCs/>
          <w:color w:val="000000" w:themeColor="text1"/>
          <w:szCs w:val="20"/>
        </w:rPr>
        <w:t xml:space="preserve"> </w:t>
      </w:r>
    </w:p>
    <w:p w14:paraId="0FCE3C28" w14:textId="77777777" w:rsidR="00F83A1C" w:rsidRDefault="00F83A1C" w:rsidP="008101F0">
      <w:pPr>
        <w:pStyle w:val="Recommendation"/>
        <w:rPr>
          <w:color w:val="C00000"/>
        </w:rPr>
      </w:pPr>
    </w:p>
    <w:p w14:paraId="2CEE3F1A" w14:textId="440EB8B3" w:rsidR="00DD2325" w:rsidRPr="008101F0" w:rsidRDefault="67F1141B" w:rsidP="008101F0">
      <w:pPr>
        <w:pStyle w:val="Recommendation"/>
        <w:rPr>
          <w:highlight w:val="yellow"/>
        </w:rPr>
      </w:pPr>
      <w:r w:rsidRPr="004173A5">
        <w:rPr>
          <w:color w:val="C00000"/>
        </w:rPr>
        <w:t>Budget impact:</w:t>
      </w:r>
      <w:r w:rsidRPr="004173A5">
        <w:rPr>
          <w:b w:val="0"/>
          <w:color w:val="C00000"/>
        </w:rPr>
        <w:t xml:space="preserve"> </w:t>
      </w:r>
      <w:r w:rsidRPr="002A535E">
        <w:rPr>
          <w:rFonts w:eastAsiaTheme="minorEastAsia"/>
          <w:bCs/>
          <w:i/>
          <w:color w:val="000000" w:themeColor="text1"/>
          <w:szCs w:val="20"/>
        </w:rPr>
        <w:t>-$17</w:t>
      </w:r>
      <w:r w:rsidR="008101F0">
        <w:rPr>
          <w:rFonts w:eastAsiaTheme="minorEastAsia"/>
          <w:bCs/>
          <w:i/>
          <w:color w:val="000000" w:themeColor="text1"/>
          <w:szCs w:val="20"/>
        </w:rPr>
        <w:t>0</w:t>
      </w:r>
      <w:r w:rsidRPr="002A535E">
        <w:rPr>
          <w:rFonts w:eastAsiaTheme="minorEastAsia"/>
          <w:bCs/>
          <w:i/>
          <w:color w:val="000000" w:themeColor="text1"/>
          <w:szCs w:val="20"/>
        </w:rPr>
        <w:t xml:space="preserve"> million (-$190 million in 2022-23)</w:t>
      </w:r>
      <w:r w:rsidRPr="002A535E">
        <w:rPr>
          <w:i/>
        </w:rPr>
        <w:t xml:space="preserve"> </w:t>
      </w:r>
    </w:p>
    <w:p w14:paraId="4AF78DD4" w14:textId="77777777" w:rsidR="00DD2325" w:rsidRDefault="00DD2325" w:rsidP="7B33A330">
      <w:pPr>
        <w:pStyle w:val="ListNumber"/>
        <w:numPr>
          <w:ilvl w:val="0"/>
          <w:numId w:val="0"/>
        </w:numPr>
      </w:pPr>
    </w:p>
    <w:p w14:paraId="59A6D619" w14:textId="5857A421" w:rsidR="67F1141B" w:rsidRDefault="67F1141B" w:rsidP="003520E9">
      <w:pPr>
        <w:pStyle w:val="Heading2"/>
      </w:pPr>
      <w:bookmarkStart w:id="57" w:name="_Toc63685951"/>
      <w:r>
        <w:t>Develop a new inter-governmental remote housing agreement</w:t>
      </w:r>
      <w:bookmarkEnd w:id="57"/>
    </w:p>
    <w:p w14:paraId="39784486" w14:textId="319FC1F5" w:rsidR="7B33A330" w:rsidRDefault="67F1141B" w:rsidP="7B33A330">
      <w:pPr>
        <w:pStyle w:val="ListNumber"/>
        <w:numPr>
          <w:ilvl w:val="0"/>
          <w:numId w:val="0"/>
        </w:numPr>
      </w:pPr>
      <w:r>
        <w:t>The National Partnership on Remote Indigenous Housing expired in June 2018, and has not been replaced leaving an urgent funding gap affecting Australia’s most disadvantaged communities.</w:t>
      </w:r>
    </w:p>
    <w:p w14:paraId="7D97F04A" w14:textId="0978E621" w:rsidR="7B33A330" w:rsidRPr="00F83A1C" w:rsidRDefault="00DD2325" w:rsidP="00F83A1C">
      <w:pPr>
        <w:pStyle w:val="Recommendation"/>
        <w:rPr>
          <w:rFonts w:eastAsiaTheme="minorEastAsia"/>
          <w:bCs/>
          <w:color w:val="000000" w:themeColor="text1"/>
          <w:szCs w:val="20"/>
        </w:rPr>
      </w:pPr>
      <w:r>
        <w:rPr>
          <w:color w:val="C00000"/>
        </w:rPr>
        <w:t xml:space="preserve">Recommendation </w:t>
      </w:r>
      <w:r w:rsidR="00E104F0">
        <w:rPr>
          <w:color w:val="C00000"/>
        </w:rPr>
        <w:t>3</w:t>
      </w:r>
      <w:r w:rsidR="0026289A">
        <w:rPr>
          <w:color w:val="C00000"/>
        </w:rPr>
        <w:t>2</w:t>
      </w:r>
      <w:r w:rsidR="67F1141B" w:rsidRPr="004173A5">
        <w:rPr>
          <w:color w:val="C00000"/>
        </w:rPr>
        <w:t xml:space="preserve">: </w:t>
      </w:r>
      <w:r w:rsidR="67F1141B" w:rsidRPr="002A535E">
        <w:rPr>
          <w:rFonts w:eastAsiaTheme="minorEastAsia"/>
          <w:bCs/>
          <w:color w:val="000000" w:themeColor="text1"/>
          <w:szCs w:val="20"/>
        </w:rPr>
        <w:t>Develop a new inter-governmental remote housing agreement</w:t>
      </w:r>
      <w:r w:rsidR="00F83A1C">
        <w:rPr>
          <w:rFonts w:eastAsiaTheme="minorEastAsia"/>
          <w:bCs/>
          <w:color w:val="000000" w:themeColor="text1"/>
          <w:szCs w:val="20"/>
        </w:rPr>
        <w:t xml:space="preserve"> </w:t>
      </w:r>
      <w:r w:rsidR="67F1141B" w:rsidRPr="00F83A1C">
        <w:rPr>
          <w:rFonts w:eastAsiaTheme="minorEastAsia"/>
          <w:bCs/>
          <w:color w:val="000000" w:themeColor="text1"/>
          <w:szCs w:val="20"/>
        </w:rPr>
        <w:t>negotiated between the Commonwealth and state and territory governments, with funding shared equally between the parties.</w:t>
      </w:r>
    </w:p>
    <w:p w14:paraId="1D53AC96" w14:textId="77777777" w:rsidR="00F83A1C" w:rsidRDefault="00F83A1C" w:rsidP="7B33A330">
      <w:pPr>
        <w:pStyle w:val="Recommendation"/>
        <w:rPr>
          <w:color w:val="C00000"/>
        </w:rPr>
      </w:pPr>
    </w:p>
    <w:p w14:paraId="4FAC0EF4" w14:textId="28E39963" w:rsidR="67F1141B" w:rsidRDefault="67F1141B" w:rsidP="7B33A330">
      <w:pPr>
        <w:pStyle w:val="Recommendation"/>
      </w:pPr>
      <w:r w:rsidRPr="004173A5">
        <w:rPr>
          <w:color w:val="C00000"/>
        </w:rPr>
        <w:t>Budget impact:</w:t>
      </w:r>
      <w:r>
        <w:rPr>
          <w:b w:val="0"/>
        </w:rPr>
        <w:t xml:space="preserve"> </w:t>
      </w:r>
      <w:r w:rsidRPr="002A535E">
        <w:rPr>
          <w:rFonts w:eastAsiaTheme="minorEastAsia"/>
          <w:bCs/>
          <w:i/>
          <w:color w:val="000000" w:themeColor="text1"/>
          <w:szCs w:val="20"/>
        </w:rPr>
        <w:t>-$450 million (-$4</w:t>
      </w:r>
      <w:r w:rsidR="00374E9D">
        <w:rPr>
          <w:rFonts w:eastAsiaTheme="minorEastAsia"/>
          <w:bCs/>
          <w:i/>
          <w:color w:val="000000" w:themeColor="text1"/>
          <w:szCs w:val="20"/>
        </w:rPr>
        <w:t>80</w:t>
      </w:r>
      <w:r w:rsidRPr="002A535E">
        <w:rPr>
          <w:rFonts w:eastAsiaTheme="minorEastAsia"/>
          <w:bCs/>
          <w:i/>
          <w:color w:val="000000" w:themeColor="text1"/>
          <w:szCs w:val="20"/>
        </w:rPr>
        <w:t xml:space="preserve"> million in 2022-23)</w:t>
      </w:r>
    </w:p>
    <w:p w14:paraId="64E54992" w14:textId="4FB40F34" w:rsidR="002A535E" w:rsidRDefault="002A535E">
      <w:r>
        <w:br w:type="page"/>
      </w:r>
    </w:p>
    <w:p w14:paraId="49B80E97" w14:textId="77777777" w:rsidR="7B33A330" w:rsidRDefault="7B33A330" w:rsidP="7B33A330">
      <w:pPr>
        <w:pStyle w:val="ListNumber"/>
        <w:numPr>
          <w:ilvl w:val="0"/>
          <w:numId w:val="0"/>
        </w:numPr>
      </w:pPr>
    </w:p>
    <w:p w14:paraId="18AAF768" w14:textId="135448B0" w:rsidR="60D474DF" w:rsidRDefault="000D0FCF" w:rsidP="004C47B2">
      <w:pPr>
        <w:pStyle w:val="Heading1"/>
      </w:pPr>
      <w:r>
        <w:t xml:space="preserve"> </w:t>
      </w:r>
      <w:bookmarkStart w:id="58" w:name="_Toc63685952"/>
      <w:r w:rsidR="60D474DF">
        <w:t>Improve access and affordability of essential community services</w:t>
      </w:r>
      <w:bookmarkEnd w:id="58"/>
    </w:p>
    <w:p w14:paraId="4565FC74" w14:textId="7DB7327F" w:rsidR="60D474DF" w:rsidRDefault="00977074" w:rsidP="000C6B7B">
      <w:pPr>
        <w:pStyle w:val="Heading2"/>
        <w:numPr>
          <w:ilvl w:val="0"/>
          <w:numId w:val="0"/>
        </w:numPr>
        <w:ind w:left="1276" w:hanging="916"/>
      </w:pPr>
      <w:bookmarkStart w:id="59" w:name="_Toc63685953"/>
      <w:r>
        <w:t>Summary</w:t>
      </w:r>
      <w:bookmarkEnd w:id="59"/>
    </w:p>
    <w:p w14:paraId="67716018" w14:textId="1B0AD8FD" w:rsidR="2453E976" w:rsidRPr="00DD2325" w:rsidRDefault="2453E976" w:rsidP="00F13F51">
      <w:pPr>
        <w:pStyle w:val="ListParagraph"/>
        <w:numPr>
          <w:ilvl w:val="0"/>
          <w:numId w:val="4"/>
        </w:numPr>
        <w:rPr>
          <w:rFonts w:asciiTheme="minorHAnsi" w:eastAsiaTheme="minorEastAsia" w:hAnsiTheme="minorHAnsi"/>
        </w:rPr>
      </w:pPr>
      <w:r w:rsidRPr="00DD2325">
        <w:t xml:space="preserve">There are currently a number of yawning gaps in the delivery of human services in Australia that this budget should fill. As a first step, $2 billion should be invested in community services in order to reverse the cuts seen since the 2014 Budget, and respond to growth in population and increases in the cost of delivering services. </w:t>
      </w:r>
    </w:p>
    <w:p w14:paraId="362B14E2" w14:textId="4B4F458A" w:rsidR="2453E976" w:rsidRPr="00DD2325" w:rsidRDefault="2453E976" w:rsidP="00F13F51">
      <w:pPr>
        <w:pStyle w:val="ListParagraph"/>
        <w:numPr>
          <w:ilvl w:val="0"/>
          <w:numId w:val="4"/>
        </w:numPr>
        <w:rPr>
          <w:rFonts w:asciiTheme="minorHAnsi" w:eastAsiaTheme="minorEastAsia" w:hAnsiTheme="minorHAnsi"/>
        </w:rPr>
      </w:pPr>
      <w:r w:rsidRPr="00DD2325">
        <w:t>Waiting lists for many essential services are too long, including in aged care, where older people can wait for months or even years for access to a home care package that meets their needs.</w:t>
      </w:r>
    </w:p>
    <w:p w14:paraId="210D8592" w14:textId="55A3A719" w:rsidR="2453E976" w:rsidRPr="00DD2325" w:rsidRDefault="2453E976" w:rsidP="00F13F51">
      <w:pPr>
        <w:pStyle w:val="ListParagraph"/>
        <w:numPr>
          <w:ilvl w:val="0"/>
          <w:numId w:val="4"/>
        </w:numPr>
        <w:rPr>
          <w:rFonts w:asciiTheme="minorHAnsi" w:eastAsiaTheme="minorEastAsia" w:hAnsiTheme="minorHAnsi"/>
        </w:rPr>
      </w:pPr>
      <w:r w:rsidRPr="00DD2325">
        <w:t>We also need to boost investment in children in the early years, particularly for Aboriginal and Torres Strait Islander children. Quality early childhood education has a significant positive impact on a child’s development and future learning outcomes.</w:t>
      </w:r>
    </w:p>
    <w:p w14:paraId="61698098" w14:textId="686DC3E1" w:rsidR="2453E976" w:rsidRPr="00DD2325" w:rsidRDefault="2453E976" w:rsidP="00F13F51">
      <w:pPr>
        <w:pStyle w:val="ListParagraph"/>
        <w:numPr>
          <w:ilvl w:val="0"/>
          <w:numId w:val="4"/>
        </w:numPr>
        <w:rPr>
          <w:rFonts w:asciiTheme="minorHAnsi" w:eastAsiaTheme="minorEastAsia" w:hAnsiTheme="minorHAnsi"/>
        </w:rPr>
      </w:pPr>
      <w:r w:rsidRPr="00DD2325">
        <w:t>A key issue for the community sector is the impending expiration of the Social and Community Services Pay Equity Special Account Act 2012 (‘ERO’), with several agencies yet to make budget allocations for equal pay going forward.</w:t>
      </w:r>
    </w:p>
    <w:p w14:paraId="2CCEC278" w14:textId="764B0BB7" w:rsidR="7B33A330" w:rsidRPr="00E104F0" w:rsidRDefault="2453E976" w:rsidP="00F13F51">
      <w:pPr>
        <w:pStyle w:val="ListParagraph"/>
        <w:numPr>
          <w:ilvl w:val="0"/>
          <w:numId w:val="4"/>
        </w:numPr>
        <w:rPr>
          <w:rFonts w:asciiTheme="minorHAnsi" w:eastAsiaTheme="minorEastAsia" w:hAnsiTheme="minorHAnsi"/>
        </w:rPr>
      </w:pPr>
      <w:r w:rsidRPr="00DD2325">
        <w:t>At the same time, the Commonwealth fails to index many of the grants it provides to community organisations, or provides inadequate indexation. As the cost of delivering services rises, the funding does not, and community organisations are forced to squeeze more out of already stretched budgets.</w:t>
      </w:r>
    </w:p>
    <w:p w14:paraId="1DEC1060" w14:textId="77777777" w:rsidR="000B50DA" w:rsidRDefault="000B50DA" w:rsidP="000B50DA">
      <w:pPr>
        <w:pStyle w:val="List3"/>
        <w:ind w:left="0" w:firstLine="0"/>
      </w:pPr>
    </w:p>
    <w:p w14:paraId="48C8A9E2" w14:textId="5E9DF0F3" w:rsidR="60D474DF" w:rsidRDefault="60D474DF" w:rsidP="003520E9">
      <w:pPr>
        <w:pStyle w:val="Heading2"/>
      </w:pPr>
      <w:bookmarkStart w:id="60" w:name="_Toc63685954"/>
      <w:r>
        <w:t>Introduction</w:t>
      </w:r>
      <w:bookmarkEnd w:id="60"/>
    </w:p>
    <w:p w14:paraId="57B36206" w14:textId="4DEB5A79" w:rsidR="0CC32810" w:rsidRDefault="0CC32810" w:rsidP="7B33A330">
      <w:pPr>
        <w:spacing w:line="276" w:lineRule="auto"/>
        <w:rPr>
          <w:rFonts w:eastAsia="Verdana" w:cs="Verdana"/>
          <w:szCs w:val="20"/>
        </w:rPr>
      </w:pPr>
      <w:r w:rsidRPr="7B33A330">
        <w:rPr>
          <w:rFonts w:eastAsia="Verdana" w:cs="Verdana"/>
          <w:szCs w:val="20"/>
        </w:rPr>
        <w:t>Australia’s community sector is a vital part of society and the economy, working to alleviate poverty and disadvantage, reduce social and economic inequality, create opportunity and build a fairer country. The services, advocacy and support that our sector delivers make Australia a better place.</w:t>
      </w:r>
    </w:p>
    <w:p w14:paraId="491D4F15" w14:textId="794D27C2" w:rsidR="0CC32810" w:rsidRDefault="0CC32810" w:rsidP="7B33A330">
      <w:pPr>
        <w:spacing w:line="276" w:lineRule="auto"/>
        <w:rPr>
          <w:rFonts w:eastAsia="Verdana" w:cs="Verdana"/>
          <w:szCs w:val="20"/>
        </w:rPr>
      </w:pPr>
      <w:r w:rsidRPr="7B33A330">
        <w:rPr>
          <w:rFonts w:eastAsia="Verdana" w:cs="Verdana"/>
          <w:szCs w:val="20"/>
        </w:rPr>
        <w:t>Our sector faces considerable funding and regulatory challenges that make it harder to achieve positive outcomes for the people and communities that we work with. Many of these challenges have accumulated over years, and now present a series of unnecessary roadblocks to achieving the change we want to see for people experiencing poverty and disadvantage. Removing them would make a real difference to our sector’s capacity to do our important work.</w:t>
      </w:r>
    </w:p>
    <w:p w14:paraId="21E24FCC" w14:textId="078BF4CC" w:rsidR="0CC32810" w:rsidRDefault="0CC32810" w:rsidP="7B33A330">
      <w:pPr>
        <w:spacing w:line="276" w:lineRule="auto"/>
        <w:rPr>
          <w:rFonts w:eastAsia="Verdana" w:cs="Verdana"/>
          <w:szCs w:val="20"/>
        </w:rPr>
      </w:pPr>
      <w:r w:rsidRPr="7B33A330">
        <w:rPr>
          <w:rFonts w:eastAsia="Verdana" w:cs="Verdana"/>
          <w:szCs w:val="20"/>
        </w:rPr>
        <w:t>In addition, in the last seven years the funding climate for essential and innovative community services has been one of chronic uncertainty. The combination of cuts, followed by partial reversals or freezes or the ‘repackaging’ of funding allocations have wrought havoc in critical areas of social infrastructure. Indexation has not been adequate to account for higher wage costs. Providers cannot plan for quality service delivery let alone innovate, when community sector workers are uncertain about their futures.</w:t>
      </w:r>
    </w:p>
    <w:p w14:paraId="758941E3" w14:textId="6C317B75" w:rsidR="60D474DF" w:rsidRDefault="5430C345" w:rsidP="003520E9">
      <w:pPr>
        <w:pStyle w:val="Heading2"/>
      </w:pPr>
      <w:bookmarkStart w:id="61" w:name="_Toc63685955"/>
      <w:r>
        <w:lastRenderedPageBreak/>
        <w:t>Increase funding for community services to restore income lost to budget cuts and meet increased demand for assistance</w:t>
      </w:r>
      <w:bookmarkEnd w:id="61"/>
    </w:p>
    <w:p w14:paraId="12BE9663" w14:textId="077E6DCE" w:rsidR="000B50DA" w:rsidRPr="006D2048" w:rsidRDefault="5430C345">
      <w:pPr>
        <w:rPr>
          <w:rFonts w:eastAsia="Verdana" w:cs="Verdana"/>
          <w:szCs w:val="20"/>
        </w:rPr>
      </w:pPr>
      <w:r w:rsidRPr="7B33A330">
        <w:rPr>
          <w:rFonts w:eastAsia="Verdana" w:cs="Verdana"/>
          <w:szCs w:val="20"/>
        </w:rPr>
        <w:t>Commonwealth funding for community services has for the last seven years been marked by uncertainty, under-resourcing and cuts. Since 2013</w:t>
      </w:r>
      <w:r w:rsidR="006C57E5">
        <w:rPr>
          <w:rFonts w:eastAsia="Verdana" w:cs="Verdana"/>
          <w:szCs w:val="20"/>
        </w:rPr>
        <w:t>,</w:t>
      </w:r>
      <w:r w:rsidRPr="7B33A330">
        <w:rPr>
          <w:rFonts w:eastAsia="Verdana" w:cs="Verdana"/>
          <w:szCs w:val="20"/>
        </w:rPr>
        <w:t xml:space="preserve"> we have seen billions of dollars cut from the programs and services that people in the greatest need rely on, cuts which have occurred in the context of growth in population and demand for services, and increases in the cost of service delivery. The impact of this under-resourcing is being felt across the country and through the life course</w:t>
      </w:r>
      <w:r w:rsidR="00754ACE">
        <w:rPr>
          <w:rFonts w:eastAsia="Verdana" w:cs="Verdana"/>
          <w:szCs w:val="20"/>
        </w:rPr>
        <w:t>. It is</w:t>
      </w:r>
      <w:r w:rsidRPr="7B33A330">
        <w:rPr>
          <w:rFonts w:eastAsia="Verdana" w:cs="Verdana"/>
          <w:szCs w:val="20"/>
        </w:rPr>
        <w:t xml:space="preserve"> especially</w:t>
      </w:r>
      <w:r w:rsidR="00754ACE">
        <w:rPr>
          <w:rFonts w:eastAsia="Verdana" w:cs="Verdana"/>
          <w:szCs w:val="20"/>
        </w:rPr>
        <w:t xml:space="preserve"> marked</w:t>
      </w:r>
      <w:r w:rsidRPr="7B33A330">
        <w:rPr>
          <w:rFonts w:eastAsia="Verdana" w:cs="Verdana"/>
          <w:szCs w:val="20"/>
        </w:rPr>
        <w:t xml:space="preserve"> </w:t>
      </w:r>
      <w:r w:rsidR="00754ACE">
        <w:rPr>
          <w:rFonts w:eastAsia="Verdana" w:cs="Verdana"/>
          <w:szCs w:val="20"/>
        </w:rPr>
        <w:t xml:space="preserve">for </w:t>
      </w:r>
      <w:r w:rsidRPr="7B33A330">
        <w:rPr>
          <w:rFonts w:eastAsia="Verdana" w:cs="Verdana"/>
          <w:szCs w:val="20"/>
        </w:rPr>
        <w:t>those on the lowest incomes, experiencing financial crisis or family breakdown, children at risk, vulnerable young people, people facing eviction and homelessness, carers in need of respite, those struggling with drug and alcohol addictions, and people with mental health problems or other serious health concerns.</w:t>
      </w:r>
    </w:p>
    <w:p w14:paraId="205CEC19" w14:textId="5AE41C49" w:rsidR="000B50DA" w:rsidRDefault="00DD2325" w:rsidP="7B33A330">
      <w:pPr>
        <w:spacing w:line="276" w:lineRule="auto"/>
        <w:rPr>
          <w:rFonts w:eastAsia="Verdana" w:cs="Verdana"/>
          <w:b/>
          <w:bCs/>
          <w:szCs w:val="20"/>
        </w:rPr>
      </w:pPr>
      <w:r>
        <w:rPr>
          <w:rFonts w:eastAsia="Verdana" w:cs="Verdana"/>
          <w:b/>
          <w:bCs/>
          <w:color w:val="C00000"/>
          <w:szCs w:val="20"/>
        </w:rPr>
        <w:t xml:space="preserve">Recommendation </w:t>
      </w:r>
      <w:r w:rsidR="00E104F0">
        <w:rPr>
          <w:rFonts w:eastAsia="Verdana" w:cs="Verdana"/>
          <w:b/>
          <w:bCs/>
          <w:color w:val="C00000"/>
          <w:szCs w:val="20"/>
        </w:rPr>
        <w:t>3</w:t>
      </w:r>
      <w:r w:rsidR="0026289A">
        <w:rPr>
          <w:rFonts w:eastAsia="Verdana" w:cs="Verdana"/>
          <w:b/>
          <w:bCs/>
          <w:color w:val="C00000"/>
          <w:szCs w:val="20"/>
        </w:rPr>
        <w:t>3</w:t>
      </w:r>
      <w:r w:rsidR="40E24D6C" w:rsidRPr="004173A5">
        <w:rPr>
          <w:rFonts w:eastAsia="Verdana" w:cs="Verdana"/>
          <w:b/>
          <w:bCs/>
          <w:color w:val="C00000"/>
          <w:szCs w:val="20"/>
        </w:rPr>
        <w:t xml:space="preserve">: </w:t>
      </w:r>
      <w:r w:rsidR="7D4DFEC4" w:rsidRPr="7B33A330">
        <w:rPr>
          <w:rFonts w:eastAsia="Verdana" w:cs="Verdana"/>
          <w:b/>
          <w:bCs/>
          <w:szCs w:val="20"/>
        </w:rPr>
        <w:t>Commonwealth funding for community services should be increased by $2 billion per annum in order to reverse the cuts seen since the 2014 Budget</w:t>
      </w:r>
      <w:r w:rsidR="7B2E5724" w:rsidRPr="7B33A330">
        <w:rPr>
          <w:rFonts w:eastAsia="Verdana" w:cs="Verdana"/>
          <w:b/>
          <w:bCs/>
          <w:szCs w:val="20"/>
        </w:rPr>
        <w:t xml:space="preserve">. </w:t>
      </w:r>
    </w:p>
    <w:p w14:paraId="0131142B" w14:textId="67571C4A" w:rsidR="000B50DA" w:rsidRDefault="7D4DFEC4" w:rsidP="00F13F51">
      <w:pPr>
        <w:pStyle w:val="ListParagraph"/>
        <w:numPr>
          <w:ilvl w:val="0"/>
          <w:numId w:val="1"/>
        </w:numPr>
      </w:pPr>
      <w:r w:rsidRPr="7B33A330">
        <w:t>Funding should also respond to growth in population and increases in the cost of delivering services, and meet more of the demand for services with a focus on the following:</w:t>
      </w:r>
    </w:p>
    <w:p w14:paraId="74C2CF72" w14:textId="1507B48D" w:rsidR="000B50DA" w:rsidRDefault="7D4DFEC4" w:rsidP="00374E9D">
      <w:pPr>
        <w:pStyle w:val="ListParagraph"/>
        <w:ind w:left="1134"/>
      </w:pPr>
      <w:r w:rsidRPr="7B33A330">
        <w:t>Indigenous Advancement Strategy initiatives;</w:t>
      </w:r>
    </w:p>
    <w:p w14:paraId="6533FC2E" w14:textId="3BABD2F1" w:rsidR="000B50DA" w:rsidRDefault="7D4DFEC4" w:rsidP="00374E9D">
      <w:pPr>
        <w:pStyle w:val="ListParagraph"/>
        <w:ind w:left="1134"/>
      </w:pPr>
      <w:r w:rsidRPr="7B33A330">
        <w:t>Community Legal Centres;</w:t>
      </w:r>
    </w:p>
    <w:p w14:paraId="55954F04" w14:textId="2EF84EE2" w:rsidR="000B50DA" w:rsidRDefault="7D4DFEC4" w:rsidP="00374E9D">
      <w:pPr>
        <w:pStyle w:val="ListParagraph"/>
        <w:ind w:left="1134"/>
      </w:pPr>
      <w:r w:rsidRPr="7B33A330">
        <w:t>Family and Relationship Support Programs;</w:t>
      </w:r>
    </w:p>
    <w:p w14:paraId="145C5036" w14:textId="524FFCB6" w:rsidR="000B50DA" w:rsidRDefault="7D4DFEC4" w:rsidP="00374E9D">
      <w:pPr>
        <w:pStyle w:val="ListParagraph"/>
        <w:ind w:left="1134"/>
      </w:pPr>
      <w:r w:rsidRPr="7B33A330">
        <w:t>Playgroup Programs;</w:t>
      </w:r>
    </w:p>
    <w:p w14:paraId="4EFDB35A" w14:textId="4649ACF5" w:rsidR="000B50DA" w:rsidRDefault="7D4DFEC4" w:rsidP="00374E9D">
      <w:pPr>
        <w:pStyle w:val="ListParagraph"/>
        <w:ind w:left="1134"/>
      </w:pPr>
      <w:r w:rsidRPr="7B33A330">
        <w:t>Domestic and Family Violence programs;</w:t>
      </w:r>
    </w:p>
    <w:p w14:paraId="281E53E9" w14:textId="3077C370" w:rsidR="000B50DA" w:rsidRDefault="7D4DFEC4" w:rsidP="00374E9D">
      <w:pPr>
        <w:pStyle w:val="ListParagraph"/>
        <w:ind w:left="1134"/>
      </w:pPr>
      <w:r w:rsidRPr="7B33A330">
        <w:t>Financial Counselling;</w:t>
      </w:r>
    </w:p>
    <w:p w14:paraId="11B8EA0A" w14:textId="49B0C3F7" w:rsidR="000B50DA" w:rsidRDefault="7D4DFEC4" w:rsidP="00374E9D">
      <w:pPr>
        <w:pStyle w:val="ListParagraph"/>
        <w:ind w:left="1134"/>
      </w:pPr>
      <w:r w:rsidRPr="7B33A330">
        <w:t>Emergency Relief and Food Relief;</w:t>
      </w:r>
    </w:p>
    <w:p w14:paraId="647A1936" w14:textId="2D77ED89" w:rsidR="000B50DA" w:rsidRDefault="7D4DFEC4" w:rsidP="00374E9D">
      <w:pPr>
        <w:pStyle w:val="ListParagraph"/>
        <w:ind w:left="1134"/>
      </w:pPr>
      <w:r w:rsidRPr="7B33A330">
        <w:t>Community Development, Diversity and Social Cohesion;</w:t>
      </w:r>
    </w:p>
    <w:p w14:paraId="495498C2" w14:textId="7329D13A" w:rsidR="000B50DA" w:rsidRDefault="7D4DFEC4" w:rsidP="00374E9D">
      <w:pPr>
        <w:pStyle w:val="ListParagraph"/>
        <w:ind w:left="1134"/>
      </w:pPr>
      <w:r w:rsidRPr="7B33A330">
        <w:t>Programs for migrants, refugees and asylum seekers;</w:t>
      </w:r>
    </w:p>
    <w:p w14:paraId="2F994F58" w14:textId="7E223AF6" w:rsidR="000B50DA" w:rsidRDefault="7D4DFEC4" w:rsidP="00374E9D">
      <w:pPr>
        <w:pStyle w:val="ListParagraph"/>
        <w:ind w:left="1134"/>
      </w:pPr>
      <w:r w:rsidRPr="7B33A330">
        <w:t>Homelessness programs;</w:t>
      </w:r>
    </w:p>
    <w:p w14:paraId="186DA7C0" w14:textId="00579F30" w:rsidR="000B50DA" w:rsidRDefault="7D4DFEC4" w:rsidP="00374E9D">
      <w:pPr>
        <w:pStyle w:val="ListParagraph"/>
        <w:ind w:left="1134"/>
      </w:pPr>
      <w:r w:rsidRPr="7B33A330">
        <w:t xml:space="preserve">Volunteer </w:t>
      </w:r>
      <w:r w:rsidR="7342787A" w:rsidRPr="7B33A330">
        <w:t>g</w:t>
      </w:r>
      <w:r w:rsidRPr="7B33A330">
        <w:t>rants;</w:t>
      </w:r>
    </w:p>
    <w:p w14:paraId="19511653" w14:textId="6E1FDEA8" w:rsidR="000B50DA" w:rsidRDefault="7D4DFEC4" w:rsidP="00374E9D">
      <w:pPr>
        <w:pStyle w:val="ListParagraph"/>
        <w:ind w:left="1134"/>
      </w:pPr>
      <w:r w:rsidRPr="7B33A330">
        <w:t>Programs for older people;</w:t>
      </w:r>
    </w:p>
    <w:p w14:paraId="2CD26570" w14:textId="10724838" w:rsidR="000B50DA" w:rsidRDefault="7D4DFEC4" w:rsidP="00374E9D">
      <w:pPr>
        <w:pStyle w:val="ListParagraph"/>
        <w:ind w:left="1134"/>
      </w:pPr>
      <w:r w:rsidRPr="7B33A330">
        <w:t>Representation of and advocacy for people with disability;</w:t>
      </w:r>
    </w:p>
    <w:p w14:paraId="1F378AEC" w14:textId="4C9933CD" w:rsidR="00524C81" w:rsidRPr="00524C81" w:rsidRDefault="7D4DFEC4" w:rsidP="00374E9D">
      <w:pPr>
        <w:pStyle w:val="ListParagraph"/>
        <w:ind w:left="1134"/>
      </w:pPr>
      <w:r w:rsidRPr="7B33A330">
        <w:t>Support for Carers;</w:t>
      </w:r>
      <w:r w:rsidR="3842832F" w:rsidRPr="7B33A330">
        <w:t xml:space="preserve"> and</w:t>
      </w:r>
    </w:p>
    <w:p w14:paraId="4B2911F1" w14:textId="55E0AA4F" w:rsidR="000B50DA" w:rsidRDefault="00524C81" w:rsidP="00374E9D">
      <w:pPr>
        <w:pStyle w:val="ListParagraph"/>
        <w:ind w:left="1134"/>
      </w:pPr>
      <w:r>
        <w:t xml:space="preserve">Community </w:t>
      </w:r>
      <w:r w:rsidR="7D4DFEC4" w:rsidRPr="7B33A330">
        <w:t>Mental Health Programs.</w:t>
      </w:r>
      <w:r w:rsidR="000B50DA">
        <w:br/>
      </w:r>
    </w:p>
    <w:p w14:paraId="2DF19067" w14:textId="786C31BC" w:rsidR="000B50DA" w:rsidRDefault="7D4DFEC4" w:rsidP="00F13F51">
      <w:pPr>
        <w:pStyle w:val="ListParagraph"/>
        <w:numPr>
          <w:ilvl w:val="0"/>
          <w:numId w:val="1"/>
        </w:numPr>
      </w:pPr>
      <w:r w:rsidRPr="7B33A330">
        <w:t xml:space="preserve">Allocation of the funding should be made following a comprehensive service needs analysis and demand mapping exercise, conducted in partnership with the community sector and communities across Australia. </w:t>
      </w:r>
    </w:p>
    <w:p w14:paraId="69BCE5CA" w14:textId="77777777" w:rsidR="004173A5" w:rsidRDefault="004173A5" w:rsidP="000B50DA">
      <w:pPr>
        <w:pStyle w:val="Recommendation"/>
        <w:rPr>
          <w:color w:val="C00000"/>
        </w:rPr>
      </w:pPr>
    </w:p>
    <w:p w14:paraId="69B3F936" w14:textId="04FC24EC" w:rsidR="2DEECD09" w:rsidRPr="002A535E" w:rsidRDefault="2DEECD09" w:rsidP="000B50DA">
      <w:pPr>
        <w:pStyle w:val="Recommendation"/>
        <w:rPr>
          <w:bCs/>
          <w:i/>
        </w:rPr>
      </w:pPr>
      <w:r w:rsidRPr="00DD2325">
        <w:rPr>
          <w:color w:val="C00000"/>
        </w:rPr>
        <w:t>Budget impact:</w:t>
      </w:r>
      <w:r w:rsidRPr="00DD2325">
        <w:rPr>
          <w:b w:val="0"/>
          <w:color w:val="C00000"/>
        </w:rPr>
        <w:t xml:space="preserve"> </w:t>
      </w:r>
      <w:r w:rsidRPr="002A535E">
        <w:rPr>
          <w:rFonts w:eastAsiaTheme="minorEastAsia"/>
          <w:bCs/>
          <w:i/>
          <w:color w:val="000000" w:themeColor="text1"/>
          <w:szCs w:val="20"/>
        </w:rPr>
        <w:t>-$</w:t>
      </w:r>
      <w:r w:rsidR="19F44E0B" w:rsidRPr="002A535E">
        <w:rPr>
          <w:rFonts w:eastAsiaTheme="minorEastAsia"/>
          <w:bCs/>
          <w:i/>
          <w:color w:val="000000" w:themeColor="text1"/>
          <w:szCs w:val="20"/>
        </w:rPr>
        <w:t>10</w:t>
      </w:r>
      <w:r w:rsidRPr="002A535E">
        <w:rPr>
          <w:rFonts w:eastAsiaTheme="minorEastAsia"/>
          <w:bCs/>
          <w:i/>
          <w:color w:val="000000" w:themeColor="text1"/>
          <w:szCs w:val="20"/>
        </w:rPr>
        <w:t xml:space="preserve"> million (-$</w:t>
      </w:r>
      <w:r w:rsidR="7B094DBB" w:rsidRPr="002A535E">
        <w:rPr>
          <w:rFonts w:eastAsiaTheme="minorEastAsia"/>
          <w:bCs/>
          <w:i/>
          <w:color w:val="000000" w:themeColor="text1"/>
          <w:szCs w:val="20"/>
        </w:rPr>
        <w:t>2,000</w:t>
      </w:r>
      <w:r w:rsidRPr="002A535E">
        <w:rPr>
          <w:rFonts w:eastAsiaTheme="minorEastAsia"/>
          <w:bCs/>
          <w:i/>
          <w:color w:val="000000" w:themeColor="text1"/>
          <w:szCs w:val="20"/>
        </w:rPr>
        <w:t xml:space="preserve"> million in 2022-23)</w:t>
      </w:r>
      <w:r w:rsidRPr="002A535E">
        <w:rPr>
          <w:i/>
        </w:rPr>
        <w:t xml:space="preserve"> </w:t>
      </w:r>
    </w:p>
    <w:p w14:paraId="35149963" w14:textId="77777777" w:rsidR="002A535E" w:rsidRPr="002A535E" w:rsidRDefault="002A535E" w:rsidP="002A535E">
      <w:pPr>
        <w:pStyle w:val="ListNumber"/>
        <w:numPr>
          <w:ilvl w:val="0"/>
          <w:numId w:val="0"/>
        </w:numPr>
        <w:ind w:left="360" w:hanging="360"/>
      </w:pPr>
    </w:p>
    <w:p w14:paraId="09BCC52A" w14:textId="75CCA40E" w:rsidR="000B50DA" w:rsidRDefault="000C6B7B" w:rsidP="003520E9">
      <w:pPr>
        <w:pStyle w:val="Heading2"/>
      </w:pPr>
      <w:r>
        <w:br w:type="column"/>
      </w:r>
      <w:bookmarkStart w:id="62" w:name="_Toc63685956"/>
      <w:r w:rsidR="44D1FC7B">
        <w:lastRenderedPageBreak/>
        <w:t>Create a Community Sector Continuity of Service Enabling Fund</w:t>
      </w:r>
      <w:bookmarkEnd w:id="62"/>
      <w:r w:rsidR="44D1FC7B">
        <w:t xml:space="preserve">  </w:t>
      </w:r>
    </w:p>
    <w:p w14:paraId="05D7CE12" w14:textId="7B24E6F3" w:rsidR="00020FFB" w:rsidRDefault="444DCA59" w:rsidP="7B33A330">
      <w:pPr>
        <w:spacing w:line="276" w:lineRule="auto"/>
        <w:rPr>
          <w:rFonts w:eastAsia="Verdana" w:cs="Verdana"/>
          <w:szCs w:val="20"/>
        </w:rPr>
      </w:pPr>
      <w:r w:rsidRPr="7B33A330">
        <w:rPr>
          <w:rFonts w:eastAsia="Verdana" w:cs="Verdana"/>
          <w:szCs w:val="20"/>
        </w:rPr>
        <w:t>ACOSS welcomed the announcement of additional funding duri</w:t>
      </w:r>
      <w:r w:rsidR="00754ACE">
        <w:rPr>
          <w:rFonts w:eastAsia="Verdana" w:cs="Verdana"/>
          <w:szCs w:val="20"/>
        </w:rPr>
        <w:t>ng the health and economic crise</w:t>
      </w:r>
      <w:r w:rsidRPr="7B33A330">
        <w:rPr>
          <w:rFonts w:eastAsia="Verdana" w:cs="Verdana"/>
          <w:szCs w:val="20"/>
        </w:rPr>
        <w:t xml:space="preserve">s to meet demand in domestic violence, mental health and emergency and food relief. </w:t>
      </w:r>
    </w:p>
    <w:p w14:paraId="39B4B8B8" w14:textId="59367CC6" w:rsidR="000B50DA" w:rsidRDefault="444DCA59" w:rsidP="7B33A330">
      <w:pPr>
        <w:spacing w:line="276" w:lineRule="auto"/>
        <w:rPr>
          <w:rFonts w:eastAsia="Verdana" w:cs="Verdana"/>
          <w:szCs w:val="20"/>
        </w:rPr>
      </w:pPr>
      <w:r w:rsidRPr="7B33A330">
        <w:rPr>
          <w:rFonts w:eastAsia="Verdana" w:cs="Verdana"/>
          <w:szCs w:val="20"/>
        </w:rPr>
        <w:t xml:space="preserve">However, there is further demand that has grown and will continue to increase in a number of areas as a result </w:t>
      </w:r>
      <w:r w:rsidR="00754ACE">
        <w:rPr>
          <w:rFonts w:eastAsia="Verdana" w:cs="Verdana"/>
          <w:szCs w:val="20"/>
        </w:rPr>
        <w:t>of the health and economic crise</w:t>
      </w:r>
      <w:r w:rsidRPr="7B33A330">
        <w:rPr>
          <w:rFonts w:eastAsia="Verdana" w:cs="Verdana"/>
          <w:szCs w:val="20"/>
        </w:rPr>
        <w:t xml:space="preserve">s, and which cannot be funded by donations or met with volunteers. </w:t>
      </w:r>
    </w:p>
    <w:p w14:paraId="4805BB81" w14:textId="2A83C82C" w:rsidR="000B50DA" w:rsidRPr="00524C81" w:rsidRDefault="444DCA59" w:rsidP="00524C81">
      <w:pPr>
        <w:spacing w:line="276" w:lineRule="auto"/>
        <w:rPr>
          <w:rFonts w:eastAsia="Verdana" w:cs="Verdana"/>
          <w:szCs w:val="20"/>
        </w:rPr>
      </w:pPr>
      <w:r w:rsidRPr="7B33A330">
        <w:rPr>
          <w:rFonts w:eastAsia="Verdana" w:cs="Verdana"/>
          <w:szCs w:val="20"/>
        </w:rPr>
        <w:t>At the same time, some organisations have faced reductions in revenue as a result of challenges with fundraising, reductions in investment income and a drop in demand for some individualised services. In the COSS Network’s report on the Australian Community Sector Survey – COVID-19 edition, more than half of respondents (57%) had experienced loss of investment income, a quarter (26%) reported a loss of income from individualised funding (NDIS and home care packages), and half (50%) had lost income from other client-based fees or charges. Almost half (48%) had lost income from other commercial sources (e.g. retail)</w:t>
      </w:r>
      <w:r w:rsidR="000B50DA" w:rsidRPr="7B33A330">
        <w:rPr>
          <w:rStyle w:val="FootnoteReference"/>
          <w:rFonts w:eastAsia="Verdana" w:cs="Verdana"/>
          <w:szCs w:val="20"/>
        </w:rPr>
        <w:footnoteReference w:id="46"/>
      </w:r>
      <w:r w:rsidRPr="7B33A330">
        <w:rPr>
          <w:rFonts w:eastAsia="Verdana" w:cs="Verdana"/>
          <w:szCs w:val="20"/>
        </w:rPr>
        <w:t>. Income from donations is expected to fall even further, with JBWere predicting that total giving to fall by 7.1% in 2020 and a further 11.9% in 2021</w:t>
      </w:r>
      <w:r w:rsidR="00E104F0">
        <w:rPr>
          <w:rFonts w:eastAsia="Verdana" w:cs="Verdana"/>
          <w:szCs w:val="20"/>
        </w:rPr>
        <w:t>.</w:t>
      </w:r>
      <w:r w:rsidR="000B50DA" w:rsidRPr="7B33A330">
        <w:rPr>
          <w:rStyle w:val="FootnoteReference"/>
          <w:rFonts w:eastAsia="Verdana" w:cs="Verdana"/>
          <w:szCs w:val="20"/>
        </w:rPr>
        <w:footnoteReference w:id="47"/>
      </w:r>
    </w:p>
    <w:p w14:paraId="75F19C0C" w14:textId="255B6F44" w:rsidR="000B50DA" w:rsidRDefault="00DD2325" w:rsidP="7B33A330">
      <w:pPr>
        <w:pStyle w:val="Recommendation"/>
        <w:rPr>
          <w:color w:val="auto"/>
        </w:rPr>
      </w:pPr>
      <w:r>
        <w:rPr>
          <w:color w:val="C00000"/>
        </w:rPr>
        <w:t xml:space="preserve">Recommendation </w:t>
      </w:r>
      <w:r w:rsidR="00E104F0">
        <w:rPr>
          <w:color w:val="C00000"/>
        </w:rPr>
        <w:t>3</w:t>
      </w:r>
      <w:r w:rsidR="0026289A">
        <w:rPr>
          <w:color w:val="C00000"/>
        </w:rPr>
        <w:t>4</w:t>
      </w:r>
      <w:r w:rsidR="004173A5">
        <w:rPr>
          <w:color w:val="C00000"/>
        </w:rPr>
        <w:t>:</w:t>
      </w:r>
      <w:r w:rsidR="44D1FC7B" w:rsidRPr="004173A5">
        <w:rPr>
          <w:color w:val="auto"/>
        </w:rPr>
        <w:t xml:space="preserve"> </w:t>
      </w:r>
      <w:r w:rsidR="002463B9">
        <w:rPr>
          <w:color w:val="auto"/>
        </w:rPr>
        <w:t>C</w:t>
      </w:r>
      <w:r w:rsidR="76492554" w:rsidRPr="7B33A330">
        <w:rPr>
          <w:color w:val="auto"/>
        </w:rPr>
        <w:t>reate a Community Sector Continuity of Service Enabling Fund to ensure continuity of service delivery, adaptation, secure jobs, prevent loss of jobs or income, and guarantee paid special leave for all workers.</w:t>
      </w:r>
      <w:r w:rsidR="76492554" w:rsidRPr="7B33A330">
        <w:rPr>
          <w:rFonts w:eastAsia="Verdana" w:cs="Verdana"/>
          <w:color w:val="auto"/>
          <w:szCs w:val="20"/>
        </w:rPr>
        <w:t xml:space="preserve"> This Fund should be distinguished from funds designated for new or additional service delivery. It should be targeted at community organisations that see increases in demand not met by new and existing funding, and/or who can demonstrate that their income has declined as a result of </w:t>
      </w:r>
      <w:r w:rsidR="00504DD5">
        <w:rPr>
          <w:rFonts w:eastAsia="Verdana" w:cs="Verdana"/>
          <w:color w:val="auto"/>
          <w:szCs w:val="20"/>
        </w:rPr>
        <w:t>COVID-19</w:t>
      </w:r>
      <w:r w:rsidR="76492554" w:rsidRPr="7B33A330">
        <w:rPr>
          <w:rFonts w:eastAsia="Verdana" w:cs="Verdana"/>
          <w:color w:val="auto"/>
          <w:szCs w:val="20"/>
        </w:rPr>
        <w:t>.</w:t>
      </w:r>
      <w:r w:rsidR="44D1FC7B" w:rsidRPr="7B33A330">
        <w:rPr>
          <w:rFonts w:eastAsia="Verdana" w:cs="Verdana"/>
          <w:color w:val="auto"/>
          <w:szCs w:val="20"/>
        </w:rPr>
        <w:t xml:space="preserve"> </w:t>
      </w:r>
    </w:p>
    <w:p w14:paraId="59AE5A90" w14:textId="62C49ACD" w:rsidR="000B50DA" w:rsidRDefault="44D1FC7B" w:rsidP="7B33A330">
      <w:pPr>
        <w:pStyle w:val="Recommendation"/>
        <w:rPr>
          <w:rFonts w:eastAsia="Verdana" w:cs="Verdana"/>
          <w:bCs/>
          <w:color w:val="auto"/>
          <w:szCs w:val="20"/>
        </w:rPr>
      </w:pPr>
      <w:r w:rsidRPr="7B33A330">
        <w:rPr>
          <w:color w:val="auto"/>
        </w:rPr>
        <w:t xml:space="preserve"> </w:t>
      </w:r>
    </w:p>
    <w:p w14:paraId="6CD50CED" w14:textId="0D9165D1" w:rsidR="000B50DA" w:rsidRDefault="44D1FC7B" w:rsidP="7B33A330">
      <w:pPr>
        <w:pStyle w:val="Recommendation"/>
        <w:rPr>
          <w:rFonts w:eastAsiaTheme="minorEastAsia"/>
          <w:bCs/>
          <w:color w:val="000000" w:themeColor="text1"/>
          <w:szCs w:val="20"/>
        </w:rPr>
      </w:pPr>
      <w:r w:rsidRPr="004173A5">
        <w:rPr>
          <w:color w:val="C00000"/>
        </w:rPr>
        <w:t>Budget impact:</w:t>
      </w:r>
      <w:r>
        <w:rPr>
          <w:b w:val="0"/>
        </w:rPr>
        <w:t xml:space="preserve"> </w:t>
      </w:r>
      <w:r w:rsidRPr="007E01E8">
        <w:rPr>
          <w:rFonts w:eastAsiaTheme="minorEastAsia"/>
          <w:bCs/>
          <w:i/>
          <w:color w:val="000000" w:themeColor="text1"/>
          <w:szCs w:val="20"/>
        </w:rPr>
        <w:t>-$</w:t>
      </w:r>
      <w:r w:rsidR="1F811381" w:rsidRPr="007E01E8">
        <w:rPr>
          <w:rFonts w:eastAsiaTheme="minorEastAsia"/>
          <w:bCs/>
          <w:i/>
          <w:color w:val="000000" w:themeColor="text1"/>
          <w:szCs w:val="20"/>
        </w:rPr>
        <w:t>2</w:t>
      </w:r>
      <w:r w:rsidR="00F83A1C">
        <w:rPr>
          <w:rFonts w:eastAsiaTheme="minorEastAsia"/>
          <w:bCs/>
          <w:i/>
          <w:color w:val="000000" w:themeColor="text1"/>
          <w:szCs w:val="20"/>
        </w:rPr>
        <w:t>50</w:t>
      </w:r>
      <w:r w:rsidRPr="007E01E8">
        <w:rPr>
          <w:rFonts w:eastAsiaTheme="minorEastAsia"/>
          <w:bCs/>
          <w:i/>
          <w:color w:val="000000" w:themeColor="text1"/>
          <w:szCs w:val="20"/>
        </w:rPr>
        <w:t xml:space="preserve"> million (-$</w:t>
      </w:r>
      <w:r w:rsidR="13DC3DEA" w:rsidRPr="007E01E8">
        <w:rPr>
          <w:rFonts w:eastAsiaTheme="minorEastAsia"/>
          <w:bCs/>
          <w:i/>
          <w:color w:val="000000" w:themeColor="text1"/>
          <w:szCs w:val="20"/>
        </w:rPr>
        <w:t>0</w:t>
      </w:r>
      <w:r w:rsidRPr="007E01E8">
        <w:rPr>
          <w:rFonts w:eastAsiaTheme="minorEastAsia"/>
          <w:bCs/>
          <w:i/>
          <w:color w:val="000000" w:themeColor="text1"/>
          <w:szCs w:val="20"/>
        </w:rPr>
        <w:t xml:space="preserve"> in 2022-23)</w:t>
      </w:r>
    </w:p>
    <w:p w14:paraId="7A547E20" w14:textId="77777777" w:rsidR="004173A5" w:rsidRDefault="004173A5" w:rsidP="7B33A330">
      <w:pPr>
        <w:pStyle w:val="ListNumber"/>
        <w:numPr>
          <w:ilvl w:val="0"/>
          <w:numId w:val="0"/>
        </w:numPr>
      </w:pPr>
    </w:p>
    <w:p w14:paraId="52966A18" w14:textId="415A27E6" w:rsidR="60D474DF" w:rsidRDefault="423DEFF1" w:rsidP="003520E9">
      <w:pPr>
        <w:pStyle w:val="Heading2"/>
      </w:pPr>
      <w:bookmarkStart w:id="63" w:name="_Toc63685957"/>
      <w:r>
        <w:t>Prevent cuts to existing community services by maintaining proper funding to pay fair wages</w:t>
      </w:r>
      <w:bookmarkEnd w:id="63"/>
    </w:p>
    <w:p w14:paraId="4D96D638" w14:textId="77777777" w:rsidR="007E01E8" w:rsidRDefault="423DEFF1" w:rsidP="7B33A330">
      <w:pPr>
        <w:spacing w:line="276" w:lineRule="auto"/>
        <w:rPr>
          <w:rFonts w:eastAsia="Verdana" w:cs="Verdana"/>
          <w:szCs w:val="20"/>
        </w:rPr>
      </w:pPr>
      <w:r w:rsidRPr="7B33A330">
        <w:rPr>
          <w:rFonts w:eastAsia="Verdana" w:cs="Verdana"/>
          <w:szCs w:val="20"/>
        </w:rPr>
        <w:t xml:space="preserve">In 2012 the Fair Work Commission made a landmark decision that addresses the gendered undervaluation of work performed in much of the community services sector (The Equal Remuneration Order). </w:t>
      </w:r>
    </w:p>
    <w:p w14:paraId="1CA31A6D" w14:textId="1215AB18" w:rsidR="00E104F0" w:rsidRDefault="423DEFF1" w:rsidP="7B33A330">
      <w:pPr>
        <w:spacing w:line="276" w:lineRule="auto"/>
        <w:rPr>
          <w:rFonts w:eastAsia="Verdana" w:cs="Verdana"/>
          <w:szCs w:val="20"/>
        </w:rPr>
      </w:pPr>
      <w:r w:rsidRPr="7B33A330">
        <w:rPr>
          <w:rFonts w:eastAsia="Verdana" w:cs="Verdana"/>
          <w:szCs w:val="20"/>
        </w:rPr>
        <w:t>As a result, wages increased by up to 45% over 8 years, and most governments a</w:t>
      </w:r>
      <w:r w:rsidR="00754ACE">
        <w:rPr>
          <w:rFonts w:eastAsia="Verdana" w:cs="Verdana"/>
          <w:szCs w:val="20"/>
        </w:rPr>
        <w:t>cross Australia, including the F</w:t>
      </w:r>
      <w:r w:rsidRPr="7B33A330">
        <w:rPr>
          <w:rFonts w:eastAsia="Verdana" w:cs="Verdana"/>
          <w:szCs w:val="20"/>
        </w:rPr>
        <w:t xml:space="preserve">ederal Government, provided additional funding to ensure that </w:t>
      </w:r>
      <w:r w:rsidRPr="7B33A330">
        <w:rPr>
          <w:rFonts w:eastAsia="Verdana" w:cs="Verdana"/>
          <w:szCs w:val="20"/>
        </w:rPr>
        <w:lastRenderedPageBreak/>
        <w:t xml:space="preserve">community sector organisations could pay equitable wages, and maintain essential services to the community. </w:t>
      </w:r>
    </w:p>
    <w:p w14:paraId="3C55F0E9" w14:textId="3839844A" w:rsidR="000B50DA" w:rsidRDefault="423DEFF1" w:rsidP="7B33A330">
      <w:pPr>
        <w:spacing w:line="276" w:lineRule="auto"/>
        <w:rPr>
          <w:rFonts w:eastAsia="Verdana" w:cs="Verdana"/>
          <w:szCs w:val="20"/>
        </w:rPr>
      </w:pPr>
      <w:r w:rsidRPr="7B33A330">
        <w:rPr>
          <w:rFonts w:eastAsia="Verdana" w:cs="Verdana"/>
          <w:szCs w:val="20"/>
        </w:rPr>
        <w:t>While the 2020 budget and previous budgetary decisions provided for this funding for the majority of organisations funded by the Commonwealth, there are a number of Commonwealth agencies that have yet to commit to funding for equal pay. These include the Department of Home Affairs, the Department of Health, the National Indigenous Australians Agency and the Department of Veterans Affairs and the organisations that are jointly funded by Commonwealth and the states/territories under the National Housing and Homelessness Agreement. The continuation of this supplementation must be secured in the 2021-2022 Budget through incorporation into the base rate of community sector grants.</w:t>
      </w:r>
    </w:p>
    <w:p w14:paraId="48F91785" w14:textId="03BC7A8D" w:rsidR="60D474DF" w:rsidRDefault="00DD2325" w:rsidP="7B33A330">
      <w:pPr>
        <w:pStyle w:val="Recommendation"/>
        <w:rPr>
          <w:color w:val="000000" w:themeColor="text1"/>
        </w:rPr>
      </w:pPr>
      <w:r>
        <w:rPr>
          <w:color w:val="C00000"/>
        </w:rPr>
        <w:t xml:space="preserve">Recommendation </w:t>
      </w:r>
      <w:r w:rsidR="00E104F0">
        <w:rPr>
          <w:color w:val="C00000"/>
        </w:rPr>
        <w:t>3</w:t>
      </w:r>
      <w:r w:rsidR="0026289A">
        <w:rPr>
          <w:color w:val="C00000"/>
        </w:rPr>
        <w:t>5</w:t>
      </w:r>
      <w:r w:rsidR="004173A5">
        <w:rPr>
          <w:color w:val="C00000"/>
        </w:rPr>
        <w:t>:</w:t>
      </w:r>
      <w:r w:rsidR="60D474DF">
        <w:t xml:space="preserve"> </w:t>
      </w:r>
      <w:r w:rsidR="6EB045DC" w:rsidRPr="7B33A330">
        <w:rPr>
          <w:rFonts w:eastAsia="Verdana" w:cs="Verdana"/>
          <w:bCs/>
          <w:color w:val="auto"/>
          <w:szCs w:val="20"/>
        </w:rPr>
        <w:t>The base rate of grants for community sector organisations currently receiving ERO supplementation should be increased to incorporate that supplementation so as to prevent cuts across the community sector.</w:t>
      </w:r>
    </w:p>
    <w:p w14:paraId="6A47B0FB" w14:textId="77777777" w:rsidR="000B50DA" w:rsidRDefault="000B50DA" w:rsidP="000B50DA">
      <w:pPr>
        <w:pStyle w:val="Recommendation"/>
        <w:rPr>
          <w:color w:val="000000" w:themeColor="text1"/>
        </w:rPr>
      </w:pPr>
    </w:p>
    <w:p w14:paraId="49F2EC47" w14:textId="6400FF16" w:rsidR="000B50DA" w:rsidRPr="00E104F0" w:rsidRDefault="2E83F806" w:rsidP="00E104F0">
      <w:pPr>
        <w:pStyle w:val="Recommendation"/>
        <w:rPr>
          <w:bCs/>
          <w:i/>
        </w:rPr>
      </w:pPr>
      <w:r w:rsidRPr="004173A5">
        <w:rPr>
          <w:color w:val="C00000"/>
        </w:rPr>
        <w:t>Budget impact:</w:t>
      </w:r>
      <w:r w:rsidRPr="004173A5">
        <w:rPr>
          <w:b w:val="0"/>
          <w:i/>
          <w:color w:val="C00000"/>
        </w:rPr>
        <w:t xml:space="preserve"> </w:t>
      </w:r>
      <w:r w:rsidRPr="007E01E8">
        <w:rPr>
          <w:rFonts w:eastAsiaTheme="minorEastAsia"/>
          <w:bCs/>
          <w:i/>
          <w:color w:val="000000" w:themeColor="text1"/>
          <w:szCs w:val="20"/>
        </w:rPr>
        <w:t>-$</w:t>
      </w:r>
      <w:r w:rsidR="619E13ED" w:rsidRPr="007E01E8">
        <w:rPr>
          <w:rFonts w:eastAsiaTheme="minorEastAsia"/>
          <w:bCs/>
          <w:i/>
          <w:color w:val="000000" w:themeColor="text1"/>
          <w:szCs w:val="20"/>
        </w:rPr>
        <w:t>62</w:t>
      </w:r>
      <w:r w:rsidRPr="007E01E8">
        <w:rPr>
          <w:rFonts w:eastAsiaTheme="minorEastAsia"/>
          <w:bCs/>
          <w:i/>
          <w:color w:val="000000" w:themeColor="text1"/>
          <w:szCs w:val="20"/>
        </w:rPr>
        <w:t xml:space="preserve"> million (-$</w:t>
      </w:r>
      <w:r w:rsidR="2BD6DEBC" w:rsidRPr="007E01E8">
        <w:rPr>
          <w:rFonts w:eastAsiaTheme="minorEastAsia"/>
          <w:bCs/>
          <w:i/>
          <w:color w:val="000000" w:themeColor="text1"/>
          <w:szCs w:val="20"/>
        </w:rPr>
        <w:t>64</w:t>
      </w:r>
      <w:r w:rsidRPr="007E01E8">
        <w:rPr>
          <w:rFonts w:eastAsiaTheme="minorEastAsia"/>
          <w:bCs/>
          <w:i/>
          <w:color w:val="000000" w:themeColor="text1"/>
          <w:szCs w:val="20"/>
        </w:rPr>
        <w:t xml:space="preserve"> million in 2022-23)</w:t>
      </w:r>
      <w:r w:rsidRPr="007E01E8">
        <w:rPr>
          <w:i/>
        </w:rPr>
        <w:t xml:space="preserve"> </w:t>
      </w:r>
    </w:p>
    <w:p w14:paraId="03069157" w14:textId="77777777" w:rsidR="000B50DA" w:rsidRDefault="000B50DA" w:rsidP="7B33A330">
      <w:pPr>
        <w:pStyle w:val="ListNumber"/>
        <w:numPr>
          <w:ilvl w:val="0"/>
          <w:numId w:val="0"/>
        </w:numPr>
        <w:ind w:left="360" w:hanging="360"/>
      </w:pPr>
    </w:p>
    <w:p w14:paraId="27AA652E" w14:textId="3AB967B7" w:rsidR="000B50DA" w:rsidRDefault="1BA66698" w:rsidP="003520E9">
      <w:pPr>
        <w:pStyle w:val="Heading2"/>
      </w:pPr>
      <w:bookmarkStart w:id="64" w:name="_Toc63685958"/>
      <w:r>
        <w:t>Apply fair and uniform indexation to all grants and contracts for community sector organisations</w:t>
      </w:r>
      <w:bookmarkEnd w:id="64"/>
    </w:p>
    <w:p w14:paraId="4F365CCB" w14:textId="26173E0A" w:rsidR="000B50DA" w:rsidRDefault="023637DD" w:rsidP="7B33A330">
      <w:pPr>
        <w:spacing w:line="276" w:lineRule="auto"/>
        <w:rPr>
          <w:rFonts w:eastAsia="Verdana" w:cs="Verdana"/>
          <w:szCs w:val="20"/>
        </w:rPr>
      </w:pPr>
      <w:r w:rsidRPr="7B33A330">
        <w:rPr>
          <w:rFonts w:eastAsia="Verdana" w:cs="Verdana"/>
          <w:szCs w:val="20"/>
          <w:lang w:val="en-GB"/>
        </w:rPr>
        <w:t xml:space="preserve">The Commonwealth does not have a consistent or adequate approach to indexation of funding to community organisations. </w:t>
      </w:r>
      <w:r w:rsidRPr="7B33A330">
        <w:rPr>
          <w:rFonts w:eastAsia="Verdana" w:cs="Verdana"/>
          <w:szCs w:val="20"/>
        </w:rPr>
        <w:t>As a result, many community sector organisations have seen real cuts to the value of their funding. Unfunded shortfalls seriously impact on the sector’s capacity to offer services to local communities. In real terms</w:t>
      </w:r>
      <w:r w:rsidR="00D67482">
        <w:rPr>
          <w:rFonts w:eastAsia="Verdana" w:cs="Verdana"/>
          <w:szCs w:val="20"/>
        </w:rPr>
        <w:t>,</w:t>
      </w:r>
      <w:r w:rsidRPr="7B33A330">
        <w:rPr>
          <w:rFonts w:eastAsia="Verdana" w:cs="Verdana"/>
          <w:szCs w:val="20"/>
        </w:rPr>
        <w:t xml:space="preserve"> the indexation arrangements amount to a gradual reduction of Commonwealth funding against projected cost increases, which mainly comprise wages.</w:t>
      </w:r>
      <w:r w:rsidR="1BA66698" w:rsidRPr="7B33A330">
        <w:rPr>
          <w:rFonts w:eastAsia="Verdana" w:cs="Verdana"/>
          <w:szCs w:val="20"/>
        </w:rPr>
        <w:t xml:space="preserve"> </w:t>
      </w:r>
    </w:p>
    <w:p w14:paraId="0B05534A" w14:textId="19811579" w:rsidR="000B50DA" w:rsidRDefault="00DD2325" w:rsidP="7B33A330">
      <w:pPr>
        <w:pStyle w:val="Recommendation"/>
        <w:rPr>
          <w:rFonts w:eastAsia="Verdana" w:cs="Verdana"/>
          <w:bCs/>
          <w:color w:val="auto"/>
          <w:szCs w:val="20"/>
        </w:rPr>
      </w:pPr>
      <w:r>
        <w:rPr>
          <w:color w:val="C00000"/>
        </w:rPr>
        <w:t xml:space="preserve">Recommendation </w:t>
      </w:r>
      <w:r w:rsidR="00E104F0">
        <w:rPr>
          <w:color w:val="C00000"/>
        </w:rPr>
        <w:t>3</w:t>
      </w:r>
      <w:r w:rsidR="0026289A">
        <w:rPr>
          <w:color w:val="C00000"/>
        </w:rPr>
        <w:t>6</w:t>
      </w:r>
      <w:r w:rsidR="004173A5">
        <w:rPr>
          <w:color w:val="C00000"/>
        </w:rPr>
        <w:t>:</w:t>
      </w:r>
      <w:r w:rsidR="1BA66698">
        <w:t xml:space="preserve"> </w:t>
      </w:r>
      <w:r w:rsidR="1FCD0017" w:rsidRPr="7B33A330">
        <w:rPr>
          <w:color w:val="auto"/>
        </w:rPr>
        <w:t>Indexation for community sector funding should be improved</w:t>
      </w:r>
      <w:r w:rsidR="002463B9">
        <w:rPr>
          <w:color w:val="auto"/>
        </w:rPr>
        <w:t>:</w:t>
      </w:r>
    </w:p>
    <w:p w14:paraId="654FBB37" w14:textId="6DC7DE08" w:rsidR="000B50DA" w:rsidRDefault="000B50DA" w:rsidP="7B33A330">
      <w:pPr>
        <w:pStyle w:val="Recommendation"/>
        <w:rPr>
          <w:color w:val="auto"/>
        </w:rPr>
      </w:pPr>
    </w:p>
    <w:p w14:paraId="2A99E757" w14:textId="459CBB9F" w:rsidR="000B50DA" w:rsidRPr="002463B9" w:rsidRDefault="002463B9" w:rsidP="002463B9">
      <w:pPr>
        <w:rPr>
          <w:rFonts w:asciiTheme="minorHAnsi" w:eastAsiaTheme="minorEastAsia" w:hAnsiTheme="minorHAnsi"/>
          <w:b/>
        </w:rPr>
      </w:pPr>
      <w:r>
        <w:rPr>
          <w:b/>
        </w:rPr>
        <w:t xml:space="preserve">(1) </w:t>
      </w:r>
      <w:r w:rsidRPr="002463B9">
        <w:rPr>
          <w:b/>
        </w:rPr>
        <w:t>E</w:t>
      </w:r>
      <w:r w:rsidR="1FCD0017" w:rsidRPr="002463B9">
        <w:rPr>
          <w:b/>
        </w:rPr>
        <w:t xml:space="preserve">stablish the Wage Price Index (when greater than the Consumer Price Index for the same period) as the primary index for annual funding adjustments, and publish the indexation rate in the Budget Papers; and </w:t>
      </w:r>
    </w:p>
    <w:p w14:paraId="51159FCE" w14:textId="1F0411AB" w:rsidR="000B50DA" w:rsidRPr="002463B9" w:rsidRDefault="002463B9" w:rsidP="002463B9">
      <w:pPr>
        <w:ind w:left="360" w:hanging="360"/>
        <w:rPr>
          <w:rFonts w:asciiTheme="minorHAnsi" w:eastAsiaTheme="minorEastAsia" w:hAnsiTheme="minorHAnsi"/>
          <w:b/>
        </w:rPr>
      </w:pPr>
      <w:r>
        <w:rPr>
          <w:b/>
        </w:rPr>
        <w:t xml:space="preserve">(2) </w:t>
      </w:r>
      <w:r w:rsidR="1FCD0017" w:rsidRPr="002463B9">
        <w:rPr>
          <w:b/>
        </w:rPr>
        <w:t>Exempt community sector funding from the Efficiency Dividend.</w:t>
      </w:r>
    </w:p>
    <w:p w14:paraId="1606500B" w14:textId="53E8F6CF" w:rsidR="000B50DA" w:rsidRPr="00DD2325" w:rsidRDefault="1FCD0017" w:rsidP="7B33A330">
      <w:pPr>
        <w:pStyle w:val="Recommendation"/>
        <w:rPr>
          <w:rFonts w:eastAsia="Verdana" w:cs="Verdana"/>
          <w:bCs/>
          <w:color w:val="auto"/>
          <w:szCs w:val="20"/>
        </w:rPr>
      </w:pPr>
      <w:r w:rsidRPr="7B33A330">
        <w:rPr>
          <w:color w:val="auto"/>
        </w:rPr>
        <w:t xml:space="preserve"> </w:t>
      </w:r>
    </w:p>
    <w:p w14:paraId="30DEACEC" w14:textId="579BAE52" w:rsidR="000B50DA" w:rsidRPr="003520E9" w:rsidRDefault="1BA66698" w:rsidP="003520E9">
      <w:pPr>
        <w:pStyle w:val="Recommendation"/>
        <w:rPr>
          <w:bCs/>
        </w:rPr>
      </w:pPr>
      <w:r w:rsidRPr="00DD2325">
        <w:rPr>
          <w:color w:val="C00000"/>
        </w:rPr>
        <w:t>Budget impact:</w:t>
      </w:r>
      <w:r>
        <w:rPr>
          <w:b w:val="0"/>
        </w:rPr>
        <w:t xml:space="preserve"> </w:t>
      </w:r>
      <w:r w:rsidRPr="007E01E8">
        <w:rPr>
          <w:rFonts w:eastAsiaTheme="minorEastAsia"/>
          <w:bCs/>
          <w:i/>
          <w:color w:val="000000" w:themeColor="text1"/>
          <w:szCs w:val="20"/>
        </w:rPr>
        <w:t>-$</w:t>
      </w:r>
      <w:r w:rsidR="1ECBCC31" w:rsidRPr="007E01E8">
        <w:rPr>
          <w:rFonts w:eastAsiaTheme="minorEastAsia"/>
          <w:bCs/>
          <w:i/>
          <w:color w:val="000000" w:themeColor="text1"/>
          <w:szCs w:val="20"/>
        </w:rPr>
        <w:t>350</w:t>
      </w:r>
      <w:r w:rsidRPr="007E01E8">
        <w:rPr>
          <w:rFonts w:eastAsiaTheme="minorEastAsia"/>
          <w:bCs/>
          <w:i/>
          <w:color w:val="000000" w:themeColor="text1"/>
          <w:szCs w:val="20"/>
        </w:rPr>
        <w:t xml:space="preserve"> million (-$</w:t>
      </w:r>
      <w:r w:rsidR="638D74AB" w:rsidRPr="007E01E8">
        <w:rPr>
          <w:rFonts w:eastAsiaTheme="minorEastAsia"/>
          <w:bCs/>
          <w:i/>
          <w:color w:val="000000" w:themeColor="text1"/>
          <w:szCs w:val="20"/>
        </w:rPr>
        <w:t>358</w:t>
      </w:r>
      <w:r w:rsidRPr="007E01E8">
        <w:rPr>
          <w:rFonts w:eastAsiaTheme="minorEastAsia"/>
          <w:bCs/>
          <w:i/>
          <w:color w:val="000000" w:themeColor="text1"/>
          <w:szCs w:val="20"/>
        </w:rPr>
        <w:t xml:space="preserve"> million in 2022-23)</w:t>
      </w:r>
      <w:r w:rsidRPr="007E01E8">
        <w:rPr>
          <w:i/>
        </w:rPr>
        <w:t xml:space="preserve"> </w:t>
      </w:r>
    </w:p>
    <w:p w14:paraId="47955D2D" w14:textId="77777777" w:rsidR="007E01E8" w:rsidRDefault="007E01E8" w:rsidP="000B50DA">
      <w:pPr>
        <w:pStyle w:val="ListNumber"/>
        <w:numPr>
          <w:ilvl w:val="0"/>
          <w:numId w:val="0"/>
        </w:numPr>
      </w:pPr>
    </w:p>
    <w:p w14:paraId="08B7C528" w14:textId="19F419B0" w:rsidR="000B50DA" w:rsidRDefault="465CF1C0" w:rsidP="003520E9">
      <w:pPr>
        <w:pStyle w:val="Heading2"/>
      </w:pPr>
      <w:bookmarkStart w:id="65" w:name="_Toc63685959"/>
      <w:r>
        <w:t>Reduce the waiting list for Home Care Packages to no more than three months</w:t>
      </w:r>
      <w:bookmarkEnd w:id="65"/>
    </w:p>
    <w:p w14:paraId="7B454582" w14:textId="56F35B8B" w:rsidR="000B50DA" w:rsidRDefault="465CF1C0" w:rsidP="7B33A330">
      <w:pPr>
        <w:spacing w:line="276" w:lineRule="auto"/>
        <w:rPr>
          <w:rFonts w:eastAsia="Verdana" w:cs="Verdana"/>
          <w:szCs w:val="20"/>
        </w:rPr>
      </w:pPr>
      <w:r w:rsidRPr="7B33A330">
        <w:rPr>
          <w:rFonts w:eastAsia="Verdana" w:cs="Verdana"/>
          <w:szCs w:val="20"/>
        </w:rPr>
        <w:t xml:space="preserve">Too many older people spend too long on waiting lists for Home Care Packages. As at September 2020 there were 99,268 people who have been assessed as needing care, and many of those people have been waiting more than a year for a package that meets </w:t>
      </w:r>
      <w:r w:rsidRPr="7B33A330">
        <w:rPr>
          <w:rFonts w:eastAsia="Verdana" w:cs="Verdana"/>
          <w:szCs w:val="20"/>
        </w:rPr>
        <w:lastRenderedPageBreak/>
        <w:t xml:space="preserve">their needs. As a </w:t>
      </w:r>
      <w:r w:rsidR="00515F9E" w:rsidRPr="7B33A330">
        <w:rPr>
          <w:rFonts w:eastAsia="Verdana" w:cs="Verdana"/>
          <w:szCs w:val="20"/>
        </w:rPr>
        <w:t>result,</w:t>
      </w:r>
      <w:r w:rsidRPr="7B33A330">
        <w:rPr>
          <w:rFonts w:eastAsia="Verdana" w:cs="Verdana"/>
          <w:szCs w:val="20"/>
        </w:rPr>
        <w:t xml:space="preserve"> people are entering residential aged care when, with the right support, they could remain at home. Some people are dying waiting for a package. We must invest more so that older people can remain at home and get the support that they need to do so.</w:t>
      </w:r>
    </w:p>
    <w:p w14:paraId="72D8A63A" w14:textId="0ADFA2ED" w:rsidR="000B50DA" w:rsidRPr="00EC1DF7" w:rsidRDefault="00DD2325" w:rsidP="7B33A330">
      <w:pPr>
        <w:pStyle w:val="Recommendation"/>
        <w:rPr>
          <w:color w:val="auto"/>
        </w:rPr>
      </w:pPr>
      <w:r>
        <w:rPr>
          <w:color w:val="C00000"/>
        </w:rPr>
        <w:t xml:space="preserve">Recommendation </w:t>
      </w:r>
      <w:r w:rsidR="00E104F0">
        <w:rPr>
          <w:color w:val="C00000"/>
        </w:rPr>
        <w:t>3</w:t>
      </w:r>
      <w:r w:rsidR="0026289A">
        <w:rPr>
          <w:color w:val="C00000"/>
        </w:rPr>
        <w:t>7</w:t>
      </w:r>
      <w:r w:rsidR="004173A5">
        <w:rPr>
          <w:color w:val="C00000"/>
        </w:rPr>
        <w:t>:</w:t>
      </w:r>
      <w:r w:rsidR="465CF1C0">
        <w:t xml:space="preserve"> </w:t>
      </w:r>
      <w:r w:rsidR="465CF1C0" w:rsidRPr="7B33A330">
        <w:rPr>
          <w:color w:val="auto"/>
        </w:rPr>
        <w:t xml:space="preserve">Commonwealth funding for Home Care Packages should be increased </w:t>
      </w:r>
      <w:r w:rsidR="0151762B" w:rsidRPr="7B33A330">
        <w:rPr>
          <w:color w:val="auto"/>
        </w:rPr>
        <w:t>by $1</w:t>
      </w:r>
      <w:r w:rsidR="00E104F0">
        <w:rPr>
          <w:color w:val="auto"/>
        </w:rPr>
        <w:t>,</w:t>
      </w:r>
      <w:r w:rsidR="0151762B" w:rsidRPr="7B33A330">
        <w:rPr>
          <w:color w:val="auto"/>
        </w:rPr>
        <w:t>7</w:t>
      </w:r>
      <w:r w:rsidR="00E104F0">
        <w:rPr>
          <w:color w:val="auto"/>
        </w:rPr>
        <w:t>00</w:t>
      </w:r>
      <w:r w:rsidR="0151762B" w:rsidRPr="7B33A330">
        <w:rPr>
          <w:color w:val="auto"/>
        </w:rPr>
        <w:t xml:space="preserve"> </w:t>
      </w:r>
      <w:r w:rsidR="00E104F0">
        <w:rPr>
          <w:color w:val="auto"/>
        </w:rPr>
        <w:t>m</w:t>
      </w:r>
      <w:r w:rsidR="0151762B" w:rsidRPr="7B33A330">
        <w:rPr>
          <w:color w:val="auto"/>
        </w:rPr>
        <w:t>illion in order to reduce the wait list to no more than three months and ensure older people can remain in their homes as they age.</w:t>
      </w:r>
    </w:p>
    <w:p w14:paraId="48583F6F" w14:textId="77777777" w:rsidR="000B50DA" w:rsidRPr="00DD2325" w:rsidRDefault="000B50DA" w:rsidP="7B33A330">
      <w:pPr>
        <w:pStyle w:val="Recommendation"/>
        <w:rPr>
          <w:color w:val="C00000"/>
        </w:rPr>
      </w:pPr>
    </w:p>
    <w:p w14:paraId="1D69C56D" w14:textId="73CBB465" w:rsidR="000B50DA" w:rsidRDefault="465CF1C0" w:rsidP="7B33A330">
      <w:pPr>
        <w:pStyle w:val="Recommendation"/>
      </w:pPr>
      <w:r w:rsidRPr="00DD2325">
        <w:rPr>
          <w:color w:val="C00000"/>
        </w:rPr>
        <w:t>Budget impact:</w:t>
      </w:r>
      <w:r>
        <w:rPr>
          <w:b w:val="0"/>
        </w:rPr>
        <w:t xml:space="preserve"> </w:t>
      </w:r>
      <w:r w:rsidRPr="00EC1DF7">
        <w:rPr>
          <w:rFonts w:eastAsiaTheme="minorEastAsia"/>
          <w:bCs/>
          <w:i/>
          <w:color w:val="000000" w:themeColor="text1"/>
          <w:szCs w:val="20"/>
        </w:rPr>
        <w:t>-$</w:t>
      </w:r>
      <w:r w:rsidR="519D8822" w:rsidRPr="00EC1DF7">
        <w:rPr>
          <w:rFonts w:eastAsiaTheme="minorEastAsia"/>
          <w:bCs/>
          <w:i/>
          <w:color w:val="000000" w:themeColor="text1"/>
          <w:szCs w:val="20"/>
        </w:rPr>
        <w:t>1,700</w:t>
      </w:r>
      <w:r w:rsidRPr="00EC1DF7">
        <w:rPr>
          <w:rFonts w:eastAsiaTheme="minorEastAsia"/>
          <w:bCs/>
          <w:i/>
          <w:color w:val="000000" w:themeColor="text1"/>
          <w:szCs w:val="20"/>
        </w:rPr>
        <w:t xml:space="preserve"> million (-$</w:t>
      </w:r>
      <w:r w:rsidR="2F140B24" w:rsidRPr="00EC1DF7">
        <w:rPr>
          <w:rFonts w:eastAsiaTheme="minorEastAsia"/>
          <w:bCs/>
          <w:i/>
          <w:color w:val="000000" w:themeColor="text1"/>
          <w:szCs w:val="20"/>
        </w:rPr>
        <w:t>1,800</w:t>
      </w:r>
      <w:r w:rsidRPr="00EC1DF7">
        <w:rPr>
          <w:rFonts w:eastAsiaTheme="minorEastAsia"/>
          <w:bCs/>
          <w:i/>
          <w:color w:val="000000" w:themeColor="text1"/>
          <w:szCs w:val="20"/>
        </w:rPr>
        <w:t xml:space="preserve"> million in 2022-23)</w:t>
      </w:r>
    </w:p>
    <w:p w14:paraId="556986F9" w14:textId="663FB42C" w:rsidR="000B50DA" w:rsidRDefault="000B50DA" w:rsidP="000B50DA">
      <w:pPr>
        <w:pStyle w:val="ListNumber"/>
        <w:numPr>
          <w:ilvl w:val="0"/>
          <w:numId w:val="0"/>
        </w:numPr>
      </w:pPr>
    </w:p>
    <w:p w14:paraId="6AEA77AE" w14:textId="100FF921" w:rsidR="000B50DA" w:rsidRDefault="000B50DA" w:rsidP="000B50DA">
      <w:pPr>
        <w:pStyle w:val="ListNumber"/>
        <w:numPr>
          <w:ilvl w:val="0"/>
          <w:numId w:val="0"/>
        </w:numPr>
      </w:pPr>
    </w:p>
    <w:p w14:paraId="2DF9E63B" w14:textId="1765668D" w:rsidR="5181E857" w:rsidRDefault="5181E857" w:rsidP="003520E9">
      <w:pPr>
        <w:pStyle w:val="Heading2"/>
      </w:pPr>
      <w:bookmarkStart w:id="66" w:name="_Toc63685960"/>
      <w:r>
        <w:t>Improve access to preschool</w:t>
      </w:r>
      <w:bookmarkEnd w:id="66"/>
    </w:p>
    <w:p w14:paraId="7CAAEF62" w14:textId="7DE41FB0" w:rsidR="5181E857" w:rsidRDefault="5181E857" w:rsidP="7B33A330">
      <w:pPr>
        <w:spacing w:line="276" w:lineRule="auto"/>
        <w:rPr>
          <w:rFonts w:eastAsia="Verdana" w:cs="Verdana"/>
          <w:szCs w:val="20"/>
        </w:rPr>
      </w:pPr>
      <w:r w:rsidRPr="7B33A330">
        <w:rPr>
          <w:rFonts w:eastAsia="Verdana" w:cs="Verdana"/>
          <w:szCs w:val="20"/>
        </w:rPr>
        <w:t>Quality early childhood education has a significant positive impact on a child’s development and future learning outcomes. Children who attend early childhood education for at least a year before starting school are half as likely to have developmental vulnerabilities when they start school as children who have not received early learning services. Despite significant strides in lifting enrolments of children in preschool programs in the year before school (four year olds), Australia lags in enrolment of three-year-olds, and is in the bottom third of countries ranked by the OECD (at 69%).</w:t>
      </w:r>
    </w:p>
    <w:p w14:paraId="4D717257" w14:textId="255A4D94" w:rsidR="5181E857" w:rsidRDefault="00DD2325" w:rsidP="7B33A330">
      <w:pPr>
        <w:spacing w:line="276" w:lineRule="auto"/>
        <w:rPr>
          <w:rFonts w:eastAsia="Verdana" w:cs="Verdana"/>
          <w:b/>
          <w:bCs/>
          <w:color w:val="auto"/>
          <w:szCs w:val="20"/>
        </w:rPr>
      </w:pPr>
      <w:r>
        <w:rPr>
          <w:rFonts w:eastAsia="Verdana" w:cs="Verdana"/>
          <w:b/>
          <w:bCs/>
          <w:color w:val="C00000"/>
          <w:szCs w:val="20"/>
        </w:rPr>
        <w:t xml:space="preserve">Recommendation </w:t>
      </w:r>
      <w:r w:rsidR="00E104F0">
        <w:rPr>
          <w:rFonts w:eastAsia="Verdana" w:cs="Verdana"/>
          <w:b/>
          <w:bCs/>
          <w:color w:val="C00000"/>
          <w:szCs w:val="20"/>
        </w:rPr>
        <w:t>3</w:t>
      </w:r>
      <w:r w:rsidR="0026289A">
        <w:rPr>
          <w:rFonts w:eastAsia="Verdana" w:cs="Verdana"/>
          <w:b/>
          <w:bCs/>
          <w:color w:val="C00000"/>
          <w:szCs w:val="20"/>
        </w:rPr>
        <w:t>8</w:t>
      </w:r>
      <w:r w:rsidR="004173A5">
        <w:rPr>
          <w:rFonts w:eastAsia="Verdana" w:cs="Verdana"/>
          <w:b/>
          <w:bCs/>
          <w:color w:val="C00000"/>
          <w:szCs w:val="20"/>
        </w:rPr>
        <w:t>:</w:t>
      </w:r>
      <w:r w:rsidR="5181E857" w:rsidRPr="00EC1DF7">
        <w:rPr>
          <w:rFonts w:eastAsia="Verdana" w:cs="Verdana"/>
          <w:b/>
          <w:bCs/>
          <w:color w:val="C00000"/>
          <w:szCs w:val="20"/>
        </w:rPr>
        <w:t xml:space="preserve"> </w:t>
      </w:r>
      <w:r w:rsidR="5181E857" w:rsidRPr="00EC1DF7">
        <w:rPr>
          <w:rFonts w:eastAsia="Verdana" w:cs="Verdana"/>
          <w:b/>
          <w:bCs/>
          <w:szCs w:val="20"/>
        </w:rPr>
        <w:t>Current early childhood education and care policy settings should be reformed so that:</w:t>
      </w:r>
    </w:p>
    <w:p w14:paraId="6E4D2251" w14:textId="47C99A05" w:rsidR="5181E857" w:rsidRPr="00E104F0" w:rsidRDefault="00E104F0" w:rsidP="00E104F0">
      <w:pPr>
        <w:rPr>
          <w:b/>
        </w:rPr>
      </w:pPr>
      <w:r>
        <w:rPr>
          <w:b/>
        </w:rPr>
        <w:t xml:space="preserve">(1) </w:t>
      </w:r>
      <w:r w:rsidR="5181E857" w:rsidRPr="00E104F0">
        <w:rPr>
          <w:b/>
        </w:rPr>
        <w:t>Children have access to high-quality early education two years before school (with the national rollout of this reform to prioritise children experiencing educational disadvantage, specifically Aboriginal and Torres Strait Islander, children in rural and remote areas, children from non-English speaking backgrounds).</w:t>
      </w:r>
    </w:p>
    <w:p w14:paraId="1F732A80" w14:textId="6FBF56EE" w:rsidR="5181E857" w:rsidRPr="00E104F0" w:rsidRDefault="00E104F0" w:rsidP="00E104F0">
      <w:pPr>
        <w:rPr>
          <w:b/>
        </w:rPr>
      </w:pPr>
      <w:r>
        <w:rPr>
          <w:b/>
        </w:rPr>
        <w:t>(2)</w:t>
      </w:r>
      <w:r w:rsidR="000C6B7B">
        <w:rPr>
          <w:b/>
        </w:rPr>
        <w:t xml:space="preserve"> </w:t>
      </w:r>
      <w:r w:rsidR="5181E857" w:rsidRPr="00E104F0">
        <w:rPr>
          <w:b/>
        </w:rPr>
        <w:t>Funding commitments are long-term to provide security for parents and early learning centres, in line with the recommendations of the Universal Access National Partnership COAG Review.</w:t>
      </w:r>
      <w:r w:rsidR="5181E857" w:rsidRPr="00E104F0">
        <w:rPr>
          <w:rStyle w:val="FootnoteReference"/>
          <w:rFonts w:eastAsia="Verdana" w:cs="Verdana"/>
          <w:b/>
          <w:bCs/>
          <w:color w:val="auto"/>
        </w:rPr>
        <w:footnoteReference w:id="48"/>
      </w:r>
    </w:p>
    <w:p w14:paraId="59F63441" w14:textId="448A2E2F" w:rsidR="7B33A330" w:rsidRDefault="5181E857" w:rsidP="000C6B7B">
      <w:pPr>
        <w:pStyle w:val="Recommendation"/>
        <w:rPr>
          <w:rFonts w:eastAsiaTheme="minorEastAsia"/>
          <w:bCs/>
          <w:i/>
          <w:color w:val="000000" w:themeColor="text1"/>
          <w:szCs w:val="20"/>
        </w:rPr>
      </w:pPr>
      <w:r w:rsidRPr="004173A5">
        <w:rPr>
          <w:color w:val="C00000"/>
        </w:rPr>
        <w:t>Budget impact:</w:t>
      </w:r>
      <w:r w:rsidRPr="004173A5">
        <w:rPr>
          <w:b w:val="0"/>
          <w:color w:val="C00000"/>
        </w:rPr>
        <w:t xml:space="preserve"> </w:t>
      </w:r>
      <w:r w:rsidRPr="00EC1DF7">
        <w:rPr>
          <w:rFonts w:eastAsiaTheme="minorEastAsia"/>
          <w:bCs/>
          <w:i/>
          <w:color w:val="000000" w:themeColor="text1"/>
          <w:szCs w:val="20"/>
        </w:rPr>
        <w:t>-$</w:t>
      </w:r>
      <w:r w:rsidR="030D6B3C" w:rsidRPr="00EC1DF7">
        <w:rPr>
          <w:rFonts w:eastAsiaTheme="minorEastAsia"/>
          <w:bCs/>
          <w:i/>
          <w:color w:val="000000" w:themeColor="text1"/>
          <w:szCs w:val="20"/>
        </w:rPr>
        <w:t>620</w:t>
      </w:r>
      <w:r w:rsidRPr="00EC1DF7">
        <w:rPr>
          <w:rFonts w:eastAsiaTheme="minorEastAsia"/>
          <w:bCs/>
          <w:i/>
          <w:color w:val="000000" w:themeColor="text1"/>
          <w:szCs w:val="20"/>
        </w:rPr>
        <w:t xml:space="preserve"> million (-$</w:t>
      </w:r>
      <w:r w:rsidR="2563AE95" w:rsidRPr="00EC1DF7">
        <w:rPr>
          <w:rFonts w:eastAsiaTheme="minorEastAsia"/>
          <w:bCs/>
          <w:i/>
          <w:color w:val="000000" w:themeColor="text1"/>
          <w:szCs w:val="20"/>
        </w:rPr>
        <w:t>98</w:t>
      </w:r>
      <w:r w:rsidR="00F83A1C">
        <w:rPr>
          <w:rFonts w:eastAsiaTheme="minorEastAsia"/>
          <w:bCs/>
          <w:i/>
          <w:color w:val="000000" w:themeColor="text1"/>
          <w:szCs w:val="20"/>
        </w:rPr>
        <w:t>0</w:t>
      </w:r>
      <w:r w:rsidRPr="00EC1DF7">
        <w:rPr>
          <w:rFonts w:eastAsiaTheme="minorEastAsia"/>
          <w:bCs/>
          <w:i/>
          <w:color w:val="000000" w:themeColor="text1"/>
          <w:szCs w:val="20"/>
        </w:rPr>
        <w:t xml:space="preserve"> million in 2022-23)</w:t>
      </w:r>
    </w:p>
    <w:p w14:paraId="5C02BAA6" w14:textId="77777777" w:rsidR="000C6B7B" w:rsidRPr="000C6B7B" w:rsidRDefault="000C6B7B" w:rsidP="000C6B7B">
      <w:pPr>
        <w:pStyle w:val="ListNumber"/>
        <w:numPr>
          <w:ilvl w:val="0"/>
          <w:numId w:val="0"/>
        </w:numPr>
        <w:ind w:left="360"/>
      </w:pPr>
    </w:p>
    <w:p w14:paraId="68F1EE26" w14:textId="24319971" w:rsidR="25F42C7C" w:rsidRDefault="25F42C7C" w:rsidP="003520E9">
      <w:pPr>
        <w:pStyle w:val="Heading2"/>
      </w:pPr>
      <w:bookmarkStart w:id="67" w:name="_Toc63685961"/>
      <w:r>
        <w:t>Improve the affordability of early childhood education and care</w:t>
      </w:r>
      <w:bookmarkEnd w:id="67"/>
    </w:p>
    <w:p w14:paraId="4C0177C7" w14:textId="5F4CA7C5" w:rsidR="25F42C7C" w:rsidRDefault="25F42C7C" w:rsidP="7B33A330">
      <w:pPr>
        <w:spacing w:line="257" w:lineRule="auto"/>
        <w:rPr>
          <w:rFonts w:eastAsia="Verdana" w:cs="Verdana"/>
          <w:szCs w:val="20"/>
        </w:rPr>
      </w:pPr>
      <w:r w:rsidRPr="7B33A330">
        <w:rPr>
          <w:rFonts w:eastAsia="Verdana" w:cs="Verdana"/>
          <w:szCs w:val="20"/>
        </w:rPr>
        <w:t xml:space="preserve">The economic impacts of the COVID-19 pandemic have been felt </w:t>
      </w:r>
      <w:r w:rsidR="00515F9E">
        <w:rPr>
          <w:rFonts w:eastAsia="Verdana" w:cs="Verdana"/>
          <w:szCs w:val="20"/>
        </w:rPr>
        <w:t>significantly</w:t>
      </w:r>
      <w:r w:rsidRPr="7B33A330">
        <w:rPr>
          <w:rFonts w:eastAsia="Verdana" w:cs="Verdana"/>
          <w:szCs w:val="20"/>
        </w:rPr>
        <w:t xml:space="preserve"> by women, particularly those with children. Female dominated industries have seen </w:t>
      </w:r>
      <w:r w:rsidR="00E104F0">
        <w:rPr>
          <w:rFonts w:eastAsia="Verdana" w:cs="Verdana"/>
          <w:szCs w:val="20"/>
        </w:rPr>
        <w:t>massive</w:t>
      </w:r>
      <w:r w:rsidRPr="7B33A330">
        <w:rPr>
          <w:rFonts w:eastAsia="Verdana" w:cs="Verdana"/>
          <w:szCs w:val="20"/>
        </w:rPr>
        <w:t xml:space="preserve"> job losses and women have borne the brunt of the additional care and education of children resulting from lockdown</w:t>
      </w:r>
      <w:r w:rsidR="00D67482">
        <w:rPr>
          <w:rFonts w:eastAsia="Verdana" w:cs="Verdana"/>
          <w:szCs w:val="20"/>
        </w:rPr>
        <w:t>s. In the absence of effective g</w:t>
      </w:r>
      <w:r w:rsidRPr="7B33A330">
        <w:rPr>
          <w:rFonts w:eastAsia="Verdana" w:cs="Verdana"/>
          <w:szCs w:val="20"/>
        </w:rPr>
        <w:t xml:space="preserve">overnment policy action, there is a risk that the gains in female employment participation that have been made in recent </w:t>
      </w:r>
      <w:r w:rsidRPr="7B33A330">
        <w:rPr>
          <w:rFonts w:eastAsia="Verdana" w:cs="Verdana"/>
          <w:szCs w:val="20"/>
        </w:rPr>
        <w:lastRenderedPageBreak/>
        <w:t xml:space="preserve">decades will be lost. This is a setback that neither the women of Australia, not the economy, can afford. </w:t>
      </w:r>
    </w:p>
    <w:p w14:paraId="2D0B37BC" w14:textId="77777777" w:rsidR="00447A6B" w:rsidRDefault="25F42C7C" w:rsidP="7B33A330">
      <w:pPr>
        <w:spacing w:line="257" w:lineRule="auto"/>
        <w:rPr>
          <w:rFonts w:eastAsia="Verdana" w:cs="Verdana"/>
          <w:szCs w:val="20"/>
        </w:rPr>
      </w:pPr>
      <w:r w:rsidRPr="7B33A330">
        <w:rPr>
          <w:rFonts w:eastAsia="Verdana" w:cs="Verdana"/>
          <w:szCs w:val="20"/>
        </w:rPr>
        <w:t xml:space="preserve">The Government took action to deliver time-limited child care fee relief to families during the height of the pandemic. That relief has now ended. </w:t>
      </w:r>
    </w:p>
    <w:p w14:paraId="4FFFBAB5" w14:textId="1ACD296E" w:rsidR="25F42C7C" w:rsidRDefault="25F42C7C" w:rsidP="7B33A330">
      <w:pPr>
        <w:spacing w:line="257" w:lineRule="auto"/>
        <w:rPr>
          <w:rFonts w:eastAsia="Verdana" w:cs="Verdana"/>
          <w:szCs w:val="20"/>
        </w:rPr>
      </w:pPr>
      <w:r w:rsidRPr="7B33A330">
        <w:rPr>
          <w:rFonts w:eastAsia="Verdana" w:cs="Verdana"/>
          <w:szCs w:val="20"/>
        </w:rPr>
        <w:t>While it was widely welcomed by families, it created challenges for providers</w:t>
      </w:r>
      <w:r w:rsidR="00D67482">
        <w:rPr>
          <w:rFonts w:eastAsia="Verdana" w:cs="Verdana"/>
          <w:szCs w:val="20"/>
        </w:rPr>
        <w:t>,</w:t>
      </w:r>
      <w:r w:rsidRPr="7B33A330">
        <w:rPr>
          <w:rFonts w:eastAsia="Verdana" w:cs="Verdana"/>
          <w:szCs w:val="20"/>
        </w:rPr>
        <w:t xml:space="preserve"> with access to JobKeeper insufficient for many providers to maintain services and staff, noting high levels of casualisation in the sector. </w:t>
      </w:r>
    </w:p>
    <w:p w14:paraId="664755ED" w14:textId="362A041C" w:rsidR="25F42C7C" w:rsidRDefault="25F42C7C" w:rsidP="7B33A330">
      <w:pPr>
        <w:spacing w:line="257" w:lineRule="auto"/>
        <w:rPr>
          <w:rFonts w:eastAsia="Verdana" w:cs="Verdana"/>
          <w:szCs w:val="20"/>
        </w:rPr>
      </w:pPr>
      <w:r w:rsidRPr="7B33A330">
        <w:rPr>
          <w:rFonts w:eastAsia="Verdana" w:cs="Verdana"/>
          <w:szCs w:val="20"/>
        </w:rPr>
        <w:t xml:space="preserve">As we now look to the next phase of the health and economic crisis, navigating potential further lockdowns and then charting a path to economy recovery, policy settings should support job search and employment participation of parents, minimise out of pocket costs for families under financial pressure and also deliver continuity in quality education and care for children. </w:t>
      </w:r>
    </w:p>
    <w:p w14:paraId="264C53ED" w14:textId="626DB8E3" w:rsidR="7B33A330" w:rsidRDefault="25F42C7C" w:rsidP="006D2048">
      <w:pPr>
        <w:spacing w:line="257" w:lineRule="auto"/>
        <w:rPr>
          <w:rFonts w:eastAsia="Verdana" w:cs="Verdana"/>
          <w:szCs w:val="20"/>
        </w:rPr>
      </w:pPr>
      <w:r w:rsidRPr="7B33A330">
        <w:rPr>
          <w:rFonts w:eastAsia="Verdana" w:cs="Verdana"/>
          <w:szCs w:val="20"/>
        </w:rPr>
        <w:t>An adjustment to the current Child Care Subsidy and Additional Child Care Subsidy as proposed by the Grattan Institute could achieve these outcomes, by lifting the level of subsidy for low and middle incomes families from 85% to 95% (with higher subsidies available to very low income or disadvantaged families through the ACSS), easing the taper rate and making access to a base subsidy (30%) universal</w:t>
      </w:r>
      <w:r w:rsidR="001C35E2">
        <w:rPr>
          <w:rFonts w:eastAsia="Verdana" w:cs="Verdana"/>
          <w:szCs w:val="20"/>
        </w:rPr>
        <w:t>.</w:t>
      </w:r>
      <w:r w:rsidRPr="7B33A330">
        <w:rPr>
          <w:rStyle w:val="FootnoteReference"/>
          <w:rFonts w:eastAsia="Verdana" w:cs="Verdana"/>
          <w:szCs w:val="20"/>
        </w:rPr>
        <w:footnoteReference w:id="49"/>
      </w:r>
      <w:r w:rsidRPr="7B33A330">
        <w:rPr>
          <w:rFonts w:eastAsia="Verdana" w:cs="Verdana"/>
          <w:szCs w:val="20"/>
        </w:rPr>
        <w:t xml:space="preserve"> Adjustments to eligibility for the </w:t>
      </w:r>
      <w:r w:rsidR="001C35E2">
        <w:rPr>
          <w:rFonts w:eastAsia="Verdana" w:cs="Verdana"/>
          <w:szCs w:val="20"/>
        </w:rPr>
        <w:t>child care subsidy</w:t>
      </w:r>
      <w:r w:rsidRPr="7B33A330">
        <w:rPr>
          <w:rFonts w:eastAsia="Verdana" w:cs="Verdana"/>
          <w:szCs w:val="20"/>
        </w:rPr>
        <w:t xml:space="preserve"> should also be made to reduce barriers to access and extend the duration of support.</w:t>
      </w:r>
    </w:p>
    <w:p w14:paraId="23CBCDF5" w14:textId="17293FB7" w:rsidR="25F42C7C" w:rsidRPr="00EC1DF7" w:rsidRDefault="25F42C7C" w:rsidP="7B33A330">
      <w:pPr>
        <w:spacing w:line="257" w:lineRule="auto"/>
        <w:rPr>
          <w:rFonts w:eastAsia="Verdana" w:cs="Verdana"/>
          <w:b/>
          <w:bCs/>
          <w:szCs w:val="20"/>
        </w:rPr>
      </w:pPr>
      <w:r w:rsidRPr="004173A5">
        <w:rPr>
          <w:rFonts w:eastAsia="Verdana" w:cs="Verdana"/>
          <w:b/>
          <w:bCs/>
          <w:color w:val="C00000"/>
          <w:szCs w:val="20"/>
        </w:rPr>
        <w:t>Recommendatio</w:t>
      </w:r>
      <w:r w:rsidR="00DD2325">
        <w:rPr>
          <w:rFonts w:eastAsia="Verdana" w:cs="Verdana"/>
          <w:b/>
          <w:bCs/>
          <w:color w:val="C00000"/>
          <w:szCs w:val="20"/>
        </w:rPr>
        <w:t xml:space="preserve">n </w:t>
      </w:r>
      <w:r w:rsidR="001C35E2">
        <w:rPr>
          <w:rFonts w:eastAsia="Verdana" w:cs="Verdana"/>
          <w:b/>
          <w:bCs/>
          <w:color w:val="C00000"/>
          <w:szCs w:val="20"/>
        </w:rPr>
        <w:t>3</w:t>
      </w:r>
      <w:r w:rsidR="0026289A">
        <w:rPr>
          <w:rFonts w:eastAsia="Verdana" w:cs="Verdana"/>
          <w:b/>
          <w:bCs/>
          <w:color w:val="C00000"/>
          <w:szCs w:val="20"/>
        </w:rPr>
        <w:t>9</w:t>
      </w:r>
      <w:r w:rsidR="004173A5">
        <w:rPr>
          <w:rFonts w:eastAsia="Verdana" w:cs="Verdana"/>
          <w:b/>
          <w:bCs/>
          <w:color w:val="C00000"/>
          <w:szCs w:val="20"/>
        </w:rPr>
        <w:t>:</w:t>
      </w:r>
      <w:r w:rsidRPr="004173A5">
        <w:rPr>
          <w:rFonts w:eastAsia="Verdana" w:cs="Verdana"/>
          <w:b/>
          <w:bCs/>
          <w:color w:val="C00000"/>
          <w:szCs w:val="20"/>
        </w:rPr>
        <w:t xml:space="preserve"> </w:t>
      </w:r>
      <w:r w:rsidR="001C35E2">
        <w:rPr>
          <w:rFonts w:eastAsia="Verdana" w:cs="Verdana"/>
          <w:b/>
          <w:bCs/>
          <w:szCs w:val="20"/>
        </w:rPr>
        <w:t>Affordability of early childhood care and education should be improved by</w:t>
      </w:r>
      <w:r w:rsidR="1188695D" w:rsidRPr="00EC1DF7">
        <w:rPr>
          <w:rFonts w:eastAsia="Verdana" w:cs="Verdana"/>
          <w:b/>
          <w:bCs/>
          <w:szCs w:val="20"/>
        </w:rPr>
        <w:t>:</w:t>
      </w:r>
    </w:p>
    <w:p w14:paraId="381C2B54" w14:textId="36537EC9" w:rsidR="1188695D" w:rsidRPr="001C35E2" w:rsidRDefault="001C35E2" w:rsidP="001C35E2">
      <w:pPr>
        <w:rPr>
          <w:rFonts w:asciiTheme="minorHAnsi" w:eastAsiaTheme="minorEastAsia" w:hAnsiTheme="minorHAnsi"/>
          <w:b/>
        </w:rPr>
      </w:pPr>
      <w:r>
        <w:rPr>
          <w:b/>
        </w:rPr>
        <w:t xml:space="preserve">(1) </w:t>
      </w:r>
      <w:r w:rsidR="1188695D" w:rsidRPr="001C35E2">
        <w:rPr>
          <w:b/>
        </w:rPr>
        <w:t>Lift</w:t>
      </w:r>
      <w:r>
        <w:rPr>
          <w:b/>
        </w:rPr>
        <w:t>ing</w:t>
      </w:r>
      <w:r w:rsidR="1188695D" w:rsidRPr="001C35E2">
        <w:rPr>
          <w:b/>
        </w:rPr>
        <w:t xml:space="preserve"> the Child Care Subsidy for low income families from 85% to 95% (for households on incomes of up to $68,163 per annum)</w:t>
      </w:r>
      <w:r>
        <w:rPr>
          <w:b/>
        </w:rPr>
        <w:t>.</w:t>
      </w:r>
    </w:p>
    <w:p w14:paraId="3E5909DA" w14:textId="276A5864" w:rsidR="1188695D" w:rsidRPr="001C35E2" w:rsidRDefault="001C35E2" w:rsidP="001C35E2">
      <w:pPr>
        <w:rPr>
          <w:rFonts w:asciiTheme="minorHAnsi" w:eastAsiaTheme="minorEastAsia" w:hAnsiTheme="minorHAnsi"/>
          <w:b/>
        </w:rPr>
      </w:pPr>
      <w:r>
        <w:rPr>
          <w:b/>
        </w:rPr>
        <w:t xml:space="preserve">(2) </w:t>
      </w:r>
      <w:r w:rsidR="1188695D" w:rsidRPr="001C35E2">
        <w:rPr>
          <w:b/>
        </w:rPr>
        <w:t>Flatten</w:t>
      </w:r>
      <w:r>
        <w:rPr>
          <w:b/>
        </w:rPr>
        <w:t>ing</w:t>
      </w:r>
      <w:r w:rsidR="1188695D" w:rsidRPr="001C35E2">
        <w:rPr>
          <w:b/>
        </w:rPr>
        <w:t xml:space="preserve"> and simplify</w:t>
      </w:r>
      <w:r>
        <w:rPr>
          <w:b/>
        </w:rPr>
        <w:t>ing</w:t>
      </w:r>
      <w:r w:rsidR="1188695D" w:rsidRPr="001C35E2">
        <w:rPr>
          <w:b/>
        </w:rPr>
        <w:t xml:space="preserve"> the taper rate, so the subsidy reduces to 30% for households on higher incomes ($400,000 per annum or more).</w:t>
      </w:r>
    </w:p>
    <w:p w14:paraId="6D032CC2" w14:textId="3F246F37" w:rsidR="1188695D" w:rsidRPr="001C35E2" w:rsidRDefault="001C35E2" w:rsidP="001C35E2">
      <w:pPr>
        <w:rPr>
          <w:rFonts w:asciiTheme="minorHAnsi" w:eastAsiaTheme="minorEastAsia" w:hAnsiTheme="minorHAnsi"/>
          <w:b/>
        </w:rPr>
      </w:pPr>
      <w:r>
        <w:rPr>
          <w:b/>
        </w:rPr>
        <w:t xml:space="preserve">(3) </w:t>
      </w:r>
      <w:r w:rsidR="1188695D" w:rsidRPr="001C35E2">
        <w:rPr>
          <w:b/>
        </w:rPr>
        <w:t>Remov</w:t>
      </w:r>
      <w:r>
        <w:rPr>
          <w:b/>
        </w:rPr>
        <w:t>ing</w:t>
      </w:r>
      <w:r w:rsidR="1188695D" w:rsidRPr="001C35E2">
        <w:rPr>
          <w:b/>
        </w:rPr>
        <w:t xml:space="preserve"> activity tests to access the Child Care Subsidy to support continuity of access to high quality early education and care for children, especially for low income families</w:t>
      </w:r>
      <w:r>
        <w:rPr>
          <w:b/>
        </w:rPr>
        <w:t>.</w:t>
      </w:r>
    </w:p>
    <w:p w14:paraId="1C9BA1E4" w14:textId="4A517F14" w:rsidR="25F42C7C" w:rsidRPr="001C35E2" w:rsidRDefault="001C35E2" w:rsidP="001C35E2">
      <w:pPr>
        <w:rPr>
          <w:rFonts w:asciiTheme="minorHAnsi" w:eastAsiaTheme="minorEastAsia" w:hAnsiTheme="minorHAnsi"/>
          <w:b/>
        </w:rPr>
      </w:pPr>
      <w:r>
        <w:rPr>
          <w:b/>
        </w:rPr>
        <w:t xml:space="preserve">(4) </w:t>
      </w:r>
      <w:r w:rsidR="1188695D" w:rsidRPr="001C35E2">
        <w:rPr>
          <w:b/>
        </w:rPr>
        <w:t>Extend</w:t>
      </w:r>
      <w:r>
        <w:rPr>
          <w:b/>
        </w:rPr>
        <w:t>ing</w:t>
      </w:r>
      <w:r w:rsidR="1188695D" w:rsidRPr="001C35E2">
        <w:rPr>
          <w:b/>
        </w:rPr>
        <w:t xml:space="preserve"> access to the Additional Child Care Subsidy (Temporary Financial Hardship subsidy) beyond the current </w:t>
      </w:r>
      <w:r w:rsidR="00515F9E" w:rsidRPr="001C35E2">
        <w:rPr>
          <w:b/>
        </w:rPr>
        <w:t>13-week</w:t>
      </w:r>
      <w:r w:rsidR="1188695D" w:rsidRPr="001C35E2">
        <w:rPr>
          <w:b/>
        </w:rPr>
        <w:t xml:space="preserve"> period.</w:t>
      </w:r>
    </w:p>
    <w:p w14:paraId="4BAFEF9D" w14:textId="1A76E67E" w:rsidR="7B33A330" w:rsidRDefault="25F42C7C" w:rsidP="000C6B7B">
      <w:pPr>
        <w:pStyle w:val="Recommendation"/>
      </w:pPr>
      <w:r w:rsidRPr="004173A5">
        <w:rPr>
          <w:color w:val="C00000"/>
        </w:rPr>
        <w:t>Budget impact:</w:t>
      </w:r>
      <w:r>
        <w:rPr>
          <w:b w:val="0"/>
        </w:rPr>
        <w:t xml:space="preserve"> </w:t>
      </w:r>
      <w:r w:rsidRPr="00EC1DF7">
        <w:rPr>
          <w:rFonts w:eastAsiaTheme="minorEastAsia"/>
          <w:bCs/>
          <w:i/>
          <w:color w:val="000000" w:themeColor="text1"/>
          <w:szCs w:val="20"/>
        </w:rPr>
        <w:t>-$</w:t>
      </w:r>
      <w:r w:rsidR="23A213D4" w:rsidRPr="00EC1DF7">
        <w:rPr>
          <w:rFonts w:eastAsiaTheme="minorEastAsia"/>
          <w:bCs/>
          <w:i/>
          <w:color w:val="000000" w:themeColor="text1"/>
          <w:szCs w:val="20"/>
        </w:rPr>
        <w:t>5,500</w:t>
      </w:r>
      <w:r w:rsidRPr="00EC1DF7">
        <w:rPr>
          <w:rFonts w:eastAsiaTheme="minorEastAsia"/>
          <w:bCs/>
          <w:i/>
          <w:color w:val="000000" w:themeColor="text1"/>
          <w:szCs w:val="20"/>
        </w:rPr>
        <w:t xml:space="preserve"> million (-$</w:t>
      </w:r>
      <w:r w:rsidR="568452A5" w:rsidRPr="00EC1DF7">
        <w:rPr>
          <w:rFonts w:eastAsiaTheme="minorEastAsia"/>
          <w:bCs/>
          <w:i/>
          <w:color w:val="000000" w:themeColor="text1"/>
          <w:szCs w:val="20"/>
        </w:rPr>
        <w:t>5,600</w:t>
      </w:r>
      <w:r w:rsidRPr="00EC1DF7">
        <w:rPr>
          <w:rFonts w:eastAsiaTheme="minorEastAsia"/>
          <w:bCs/>
          <w:i/>
          <w:color w:val="000000" w:themeColor="text1"/>
          <w:szCs w:val="20"/>
        </w:rPr>
        <w:t xml:space="preserve"> million in 2022-23)</w:t>
      </w:r>
    </w:p>
    <w:p w14:paraId="7FA88F31" w14:textId="509EEF0B" w:rsidR="7B33A330" w:rsidRDefault="7B33A330" w:rsidP="7B33A330">
      <w:pPr>
        <w:pStyle w:val="ListNumber"/>
        <w:numPr>
          <w:ilvl w:val="0"/>
          <w:numId w:val="0"/>
        </w:numPr>
      </w:pPr>
    </w:p>
    <w:p w14:paraId="7FDA9062" w14:textId="4E1B41C1" w:rsidR="31C72E1A" w:rsidRDefault="31C72E1A" w:rsidP="003520E9">
      <w:pPr>
        <w:pStyle w:val="Heading2"/>
      </w:pPr>
      <w:bookmarkStart w:id="68" w:name="_Toc63685962"/>
      <w:r>
        <w:t>Ensure equality for Aboriginal and Torres Strait Islander children in their early years</w:t>
      </w:r>
      <w:bookmarkEnd w:id="68"/>
    </w:p>
    <w:p w14:paraId="676AF025" w14:textId="233EC7EB" w:rsidR="31C72E1A" w:rsidRDefault="31C72E1A" w:rsidP="7B33A330">
      <w:pPr>
        <w:spacing w:line="276" w:lineRule="auto"/>
        <w:rPr>
          <w:rFonts w:eastAsia="Verdana" w:cs="Verdana"/>
          <w:color w:val="auto"/>
          <w:szCs w:val="20"/>
        </w:rPr>
      </w:pPr>
      <w:r w:rsidRPr="7B33A330">
        <w:rPr>
          <w:rFonts w:eastAsia="Verdana" w:cs="Verdana"/>
          <w:color w:val="auto"/>
          <w:szCs w:val="20"/>
        </w:rPr>
        <w:t>Aboriginal and Torres Strait Islander children are supported by their families, their communities and their culture. Despite this support, Aboriginal and Torres Strait Islander children continue to face challenges arising from colonisation and its effects. Achieving equality means we need to dismantle the systems that perpetuate the ongoing trauma experienced by Aboriginal and Torres Strait Islander children.</w:t>
      </w:r>
    </w:p>
    <w:p w14:paraId="2746298D" w14:textId="11050586" w:rsidR="31C72E1A" w:rsidRPr="00EC1DF7" w:rsidRDefault="00DD2325" w:rsidP="001C35E2">
      <w:pPr>
        <w:keepNext/>
        <w:spacing w:line="276" w:lineRule="auto"/>
        <w:rPr>
          <w:rFonts w:eastAsia="Verdana" w:cs="Verdana"/>
          <w:b/>
          <w:bCs/>
          <w:color w:val="auto"/>
          <w:szCs w:val="20"/>
        </w:rPr>
      </w:pPr>
      <w:r>
        <w:rPr>
          <w:rFonts w:eastAsia="Verdana" w:cs="Verdana"/>
          <w:b/>
          <w:bCs/>
          <w:color w:val="C00000"/>
          <w:szCs w:val="20"/>
        </w:rPr>
        <w:lastRenderedPageBreak/>
        <w:t xml:space="preserve">Recommendation </w:t>
      </w:r>
      <w:r w:rsidR="0026289A">
        <w:rPr>
          <w:rFonts w:eastAsia="Verdana" w:cs="Verdana"/>
          <w:b/>
          <w:bCs/>
          <w:color w:val="C00000"/>
          <w:szCs w:val="20"/>
        </w:rPr>
        <w:t>40</w:t>
      </w:r>
      <w:r w:rsidR="004173A5">
        <w:rPr>
          <w:rFonts w:eastAsia="Verdana" w:cs="Verdana"/>
          <w:b/>
          <w:bCs/>
          <w:color w:val="C00000"/>
          <w:szCs w:val="20"/>
        </w:rPr>
        <w:t>:</w:t>
      </w:r>
      <w:r w:rsidR="31C72E1A" w:rsidRPr="7B33A330">
        <w:rPr>
          <w:rFonts w:eastAsia="Verdana" w:cs="Verdana"/>
          <w:b/>
          <w:bCs/>
          <w:color w:val="auto"/>
          <w:szCs w:val="20"/>
        </w:rPr>
        <w:t xml:space="preserve"> </w:t>
      </w:r>
      <w:r w:rsidR="31C72E1A" w:rsidRPr="00EC1DF7">
        <w:rPr>
          <w:rFonts w:eastAsia="Verdana" w:cs="Verdana"/>
          <w:b/>
          <w:bCs/>
          <w:color w:val="auto"/>
          <w:szCs w:val="20"/>
        </w:rPr>
        <w:t>To improve access to early childhood services by Aboriginal and Torres Strait Islander children, the following steps should be taken in line with the SNAICC</w:t>
      </w:r>
      <w:r w:rsidR="001C35E2">
        <w:rPr>
          <w:rFonts w:eastAsia="Verdana" w:cs="Verdana"/>
          <w:b/>
          <w:bCs/>
          <w:color w:val="auto"/>
          <w:szCs w:val="20"/>
        </w:rPr>
        <w:t xml:space="preserve"> and Early Childhood Australia </w:t>
      </w:r>
      <w:r w:rsidR="31C72E1A" w:rsidRPr="00EC1DF7">
        <w:rPr>
          <w:rFonts w:eastAsia="Verdana" w:cs="Verdana"/>
          <w:b/>
          <w:bCs/>
          <w:color w:val="auto"/>
          <w:szCs w:val="20"/>
        </w:rPr>
        <w:t>position paper – Working Together to ensure Equality for Aboriginal and Torres Strait Islander Children:</w:t>
      </w:r>
    </w:p>
    <w:p w14:paraId="4856167C" w14:textId="303D9AD9" w:rsidR="31C72E1A" w:rsidRPr="001C35E2" w:rsidRDefault="001C35E2" w:rsidP="001C35E2">
      <w:pPr>
        <w:rPr>
          <w:b/>
        </w:rPr>
      </w:pPr>
      <w:r>
        <w:rPr>
          <w:b/>
        </w:rPr>
        <w:t xml:space="preserve">(1) </w:t>
      </w:r>
      <w:r w:rsidR="31C72E1A" w:rsidRPr="001C35E2">
        <w:rPr>
          <w:b/>
        </w:rPr>
        <w:t>Ensure Aboriginal and Torres Strait Islander three and four year olds have a minimum of three days per week of high-quality preschool wi</w:t>
      </w:r>
      <w:r>
        <w:rPr>
          <w:b/>
        </w:rPr>
        <w:t>th a bachelor-qualified teacher.</w:t>
      </w:r>
    </w:p>
    <w:p w14:paraId="712AAAC4" w14:textId="2C409B9F" w:rsidR="31C72E1A" w:rsidRPr="001C35E2" w:rsidRDefault="001C35E2" w:rsidP="001C35E2">
      <w:pPr>
        <w:rPr>
          <w:b/>
        </w:rPr>
      </w:pPr>
      <w:r>
        <w:rPr>
          <w:b/>
        </w:rPr>
        <w:t xml:space="preserve">(2) </w:t>
      </w:r>
      <w:r w:rsidR="31C72E1A" w:rsidRPr="001C35E2">
        <w:rPr>
          <w:b/>
        </w:rPr>
        <w:t xml:space="preserve">Provide a minimum entitlement of 30 hours of 95% subsidised care per week for all Aboriginal and Torres Strait Islander children as an ongoing measure to </w:t>
      </w:r>
      <w:proofErr w:type="gramStart"/>
      <w:r w:rsidR="31C72E1A" w:rsidRPr="001C35E2">
        <w:rPr>
          <w:b/>
        </w:rPr>
        <w:t>Close</w:t>
      </w:r>
      <w:proofErr w:type="gramEnd"/>
      <w:r w:rsidR="31C72E1A" w:rsidRPr="001C35E2">
        <w:rPr>
          <w:b/>
        </w:rPr>
        <w:t xml:space="preserve"> the Gap in early education and care attendance and Australian Early Development Census (AEDC) outcomes</w:t>
      </w:r>
      <w:r>
        <w:rPr>
          <w:b/>
        </w:rPr>
        <w:t>.</w:t>
      </w:r>
    </w:p>
    <w:p w14:paraId="15758271" w14:textId="1CE9A47C" w:rsidR="31C72E1A" w:rsidRPr="001C35E2" w:rsidRDefault="001C35E2" w:rsidP="001C35E2">
      <w:pPr>
        <w:rPr>
          <w:b/>
        </w:rPr>
      </w:pPr>
      <w:r>
        <w:rPr>
          <w:b/>
        </w:rPr>
        <w:t xml:space="preserve">(3) </w:t>
      </w:r>
      <w:r w:rsidR="31C72E1A" w:rsidRPr="001C35E2">
        <w:rPr>
          <w:b/>
        </w:rPr>
        <w:t xml:space="preserve">Invest to increase the coverage and capacity of Aboriginal and Torres Strait Islander community-controlled integrated early years services through a new specific funding model and program designed to meet the needs of Aboriginal and Torres Strait Islander children and families.  </w:t>
      </w:r>
    </w:p>
    <w:p w14:paraId="075B988D" w14:textId="65139FE3" w:rsidR="7B33A330" w:rsidRPr="00EC1DF7" w:rsidRDefault="001C35E2" w:rsidP="001C35E2">
      <w:r>
        <w:rPr>
          <w:b/>
        </w:rPr>
        <w:t xml:space="preserve">(4) </w:t>
      </w:r>
      <w:r w:rsidR="31C72E1A" w:rsidRPr="001C35E2">
        <w:rPr>
          <w:b/>
        </w:rPr>
        <w:t>Fund a targeted program to support evidence informed, culturally safe, and well integrated early childhood and family-focussed programs, across the nurturing care spectrum in early education and care services that work with high numbers of Aboriginal and Torres Strait Islander children.</w:t>
      </w:r>
    </w:p>
    <w:p w14:paraId="27D35959" w14:textId="495F8B9C" w:rsidR="31C72E1A" w:rsidRPr="00EC1DF7" w:rsidRDefault="31C72E1A" w:rsidP="7B33A330">
      <w:pPr>
        <w:pStyle w:val="Recommendation"/>
        <w:rPr>
          <w:i/>
        </w:rPr>
      </w:pPr>
      <w:r w:rsidRPr="004173A5">
        <w:rPr>
          <w:color w:val="C00000"/>
        </w:rPr>
        <w:t>Budget impact:</w:t>
      </w:r>
      <w:r>
        <w:rPr>
          <w:b w:val="0"/>
        </w:rPr>
        <w:t xml:space="preserve"> </w:t>
      </w:r>
      <w:r w:rsidRPr="00EC1DF7">
        <w:rPr>
          <w:rFonts w:eastAsiaTheme="minorEastAsia"/>
          <w:bCs/>
          <w:i/>
          <w:color w:val="000000" w:themeColor="text1"/>
          <w:szCs w:val="20"/>
        </w:rPr>
        <w:t>-$73 million (-$75 million in 2022-23)</w:t>
      </w:r>
    </w:p>
    <w:p w14:paraId="2FF1C217" w14:textId="1672003A" w:rsidR="7B33A330" w:rsidRDefault="7B33A330" w:rsidP="7B33A330">
      <w:pPr>
        <w:pStyle w:val="ListNumber"/>
        <w:numPr>
          <w:ilvl w:val="0"/>
          <w:numId w:val="0"/>
        </w:numPr>
      </w:pPr>
    </w:p>
    <w:p w14:paraId="4539899E" w14:textId="5235B732" w:rsidR="342A627A" w:rsidRDefault="342A627A" w:rsidP="003520E9">
      <w:pPr>
        <w:pStyle w:val="Heading2"/>
      </w:pPr>
      <w:bookmarkStart w:id="69" w:name="_Toc63685963"/>
      <w:r>
        <w:t>Establish an Evaluator-General to oversee the evaluation and monitoring of policy, programs and initiatives</w:t>
      </w:r>
      <w:bookmarkEnd w:id="69"/>
      <w:r>
        <w:t xml:space="preserve"> </w:t>
      </w:r>
    </w:p>
    <w:p w14:paraId="5E44CE09" w14:textId="17A60A93" w:rsidR="342A627A" w:rsidRDefault="342A627A" w:rsidP="7B33A330">
      <w:pPr>
        <w:spacing w:line="276" w:lineRule="auto"/>
        <w:rPr>
          <w:rFonts w:eastAsia="Verdana" w:cs="Verdana"/>
          <w:szCs w:val="20"/>
        </w:rPr>
      </w:pPr>
      <w:r w:rsidRPr="7B33A330">
        <w:rPr>
          <w:rFonts w:eastAsia="Verdana" w:cs="Verdana"/>
          <w:szCs w:val="20"/>
        </w:rPr>
        <w:t>Ensuring that programs and initiatives delivered by government are effective is vital so that public money is invested well. Evaluations of programs undertaken by departments and agencies are of inconsistent quality; reports and data are not always promptly released; and there is a lack of coordination of effort to make use of data across government, and learn from evaluations in other portfolios. Rather than centralising all data and evaluations, the first step to improving this situation is to establish a central oversight agency to improve consistency and coordination in the evaluation of programs.</w:t>
      </w:r>
    </w:p>
    <w:p w14:paraId="506865DE" w14:textId="2252CDED" w:rsidR="342A627A" w:rsidRPr="00524C81" w:rsidRDefault="00DD2325" w:rsidP="7B33A330">
      <w:pPr>
        <w:pStyle w:val="Recommendation"/>
        <w:rPr>
          <w:color w:val="auto"/>
        </w:rPr>
      </w:pPr>
      <w:r>
        <w:rPr>
          <w:color w:val="C00000"/>
        </w:rPr>
        <w:t xml:space="preserve">Recommendation </w:t>
      </w:r>
      <w:r w:rsidR="001C35E2">
        <w:rPr>
          <w:color w:val="C00000"/>
        </w:rPr>
        <w:t>4</w:t>
      </w:r>
      <w:r w:rsidR="0026289A">
        <w:rPr>
          <w:color w:val="C00000"/>
        </w:rPr>
        <w:t>1</w:t>
      </w:r>
      <w:r w:rsidR="004173A5">
        <w:rPr>
          <w:color w:val="C00000"/>
        </w:rPr>
        <w:t>:</w:t>
      </w:r>
      <w:r w:rsidR="342A627A">
        <w:t xml:space="preserve"> </w:t>
      </w:r>
      <w:r w:rsidR="342A627A" w:rsidRPr="7B33A330">
        <w:rPr>
          <w:color w:val="auto"/>
        </w:rPr>
        <w:t>A high-level independent body should be established to oversee rigorous evaluation (quantitative and qualitative) of the impact of public policies, programs and initiatives with maximum input from people who use social services, and evaluations and data should be promptly released (subject to privacy rules).</w:t>
      </w:r>
    </w:p>
    <w:p w14:paraId="39795C76" w14:textId="77777777" w:rsidR="7B33A330" w:rsidRDefault="7B33A330" w:rsidP="7B33A330">
      <w:pPr>
        <w:pStyle w:val="Recommendation"/>
        <w:rPr>
          <w:color w:val="000000" w:themeColor="text1"/>
        </w:rPr>
      </w:pPr>
    </w:p>
    <w:p w14:paraId="16C77ABF" w14:textId="1740F60B" w:rsidR="342A627A" w:rsidRDefault="342A627A" w:rsidP="7B33A330">
      <w:pPr>
        <w:pStyle w:val="Recommendation"/>
        <w:rPr>
          <w:rFonts w:eastAsiaTheme="minorEastAsia"/>
          <w:bCs/>
          <w:color w:val="000000" w:themeColor="text1"/>
          <w:szCs w:val="20"/>
        </w:rPr>
      </w:pPr>
      <w:r w:rsidRPr="004173A5">
        <w:rPr>
          <w:color w:val="C00000"/>
        </w:rPr>
        <w:t>Budget impact:</w:t>
      </w:r>
      <w:r w:rsidRPr="004173A5">
        <w:rPr>
          <w:b w:val="0"/>
          <w:color w:val="C00000"/>
        </w:rPr>
        <w:t xml:space="preserve"> </w:t>
      </w:r>
      <w:r w:rsidRPr="00EC1DF7">
        <w:rPr>
          <w:rFonts w:eastAsiaTheme="minorEastAsia"/>
          <w:bCs/>
          <w:i/>
          <w:color w:val="000000" w:themeColor="text1"/>
          <w:szCs w:val="20"/>
        </w:rPr>
        <w:t>-$5 million (-$5 million in 2022-23)</w:t>
      </w:r>
    </w:p>
    <w:p w14:paraId="474868FC" w14:textId="7E8782E7" w:rsidR="7B33A330" w:rsidRDefault="7B33A330" w:rsidP="7B33A330">
      <w:pPr>
        <w:pStyle w:val="ListNumber"/>
        <w:numPr>
          <w:ilvl w:val="0"/>
          <w:numId w:val="0"/>
        </w:numPr>
      </w:pPr>
    </w:p>
    <w:p w14:paraId="1E61F586" w14:textId="77777777" w:rsidR="00E40FC5" w:rsidRDefault="00E40FC5" w:rsidP="7B33A330">
      <w:pPr>
        <w:pStyle w:val="ListNumber"/>
        <w:numPr>
          <w:ilvl w:val="0"/>
          <w:numId w:val="0"/>
        </w:numPr>
      </w:pPr>
    </w:p>
    <w:p w14:paraId="53B466CE" w14:textId="71C1EC53" w:rsidR="158C0865" w:rsidRDefault="2A147ABC" w:rsidP="003520E9">
      <w:pPr>
        <w:pStyle w:val="Heading2"/>
      </w:pPr>
      <w:bookmarkStart w:id="70" w:name="_Toc63685964"/>
      <w:r>
        <w:lastRenderedPageBreak/>
        <w:t>Increase funding to peaks and advocacy organisations to ensure marginalised voices are heard in public and policy debates</w:t>
      </w:r>
      <w:bookmarkEnd w:id="70"/>
      <w:r>
        <w:t xml:space="preserve"> </w:t>
      </w:r>
    </w:p>
    <w:p w14:paraId="67034B93" w14:textId="0F714D8C" w:rsidR="2A147ABC" w:rsidRDefault="2A147ABC" w:rsidP="7B33A330">
      <w:pPr>
        <w:spacing w:line="276" w:lineRule="auto"/>
        <w:rPr>
          <w:rFonts w:eastAsia="Verdana" w:cs="Verdana"/>
          <w:szCs w:val="20"/>
        </w:rPr>
      </w:pPr>
      <w:r w:rsidRPr="7B33A330">
        <w:rPr>
          <w:rFonts w:eastAsia="Verdana" w:cs="Verdana"/>
          <w:szCs w:val="20"/>
        </w:rPr>
        <w:t xml:space="preserve">Public debate in Australia is heavily influenced by well-resourced interests. These powerful voices often dominate, and communities and groups affected by poverty, disadvantage and marginalisation can sometimes struggle to be heard. One of the most significant factors that affect a community or people’s capacity to engage in effective advocacy is the resources available to it. Yet over the past seven years we have seen significant funding cuts and defunding of organisations that represent or are </w:t>
      </w:r>
      <w:r w:rsidR="51A5A04B" w:rsidRPr="7B33A330">
        <w:rPr>
          <w:rFonts w:eastAsia="Verdana" w:cs="Verdana"/>
          <w:szCs w:val="20"/>
        </w:rPr>
        <w:t>focused</w:t>
      </w:r>
      <w:r w:rsidRPr="7B33A330">
        <w:rPr>
          <w:rFonts w:eastAsia="Verdana" w:cs="Verdana"/>
          <w:szCs w:val="20"/>
        </w:rPr>
        <w:t xml:space="preserve"> on Aboriginal and Torres Strait Islander peoples, LGBTI people, young people, refugees and migrants, people experiencing homelessness or struggling in the housing market and other disadvantaged people and communities.</w:t>
      </w:r>
    </w:p>
    <w:p w14:paraId="25363287" w14:textId="2EECDDE1" w:rsidR="2A147ABC" w:rsidRDefault="00DD2325" w:rsidP="7B33A330">
      <w:pPr>
        <w:pStyle w:val="Recommendation"/>
        <w:rPr>
          <w:color w:val="auto"/>
        </w:rPr>
      </w:pPr>
      <w:r>
        <w:rPr>
          <w:color w:val="C00000"/>
        </w:rPr>
        <w:t xml:space="preserve">Recommendation </w:t>
      </w:r>
      <w:r w:rsidR="001C35E2">
        <w:rPr>
          <w:color w:val="C00000"/>
        </w:rPr>
        <w:t>4</w:t>
      </w:r>
      <w:r w:rsidR="0026289A">
        <w:rPr>
          <w:color w:val="C00000"/>
        </w:rPr>
        <w:t>2</w:t>
      </w:r>
      <w:r w:rsidR="004173A5">
        <w:rPr>
          <w:color w:val="C00000"/>
        </w:rPr>
        <w:t>:</w:t>
      </w:r>
      <w:r w:rsidR="2A147ABC" w:rsidRPr="004173A5">
        <w:rPr>
          <w:color w:val="auto"/>
        </w:rPr>
        <w:t xml:space="preserve"> </w:t>
      </w:r>
      <w:r w:rsidR="2A147ABC" w:rsidRPr="7B33A330">
        <w:rPr>
          <w:color w:val="auto"/>
        </w:rPr>
        <w:t>In order to ensure that everyone’s voice is heard in our public debate, peak bodies and advocacy organisations representing people faci</w:t>
      </w:r>
      <w:r w:rsidR="4BC33C09" w:rsidRPr="7B33A330">
        <w:rPr>
          <w:color w:val="auto"/>
        </w:rPr>
        <w:t xml:space="preserve">ng disadvantage should be adequately funded. </w:t>
      </w:r>
    </w:p>
    <w:p w14:paraId="77C31A58" w14:textId="08B8A9E3" w:rsidR="7B33A330" w:rsidRPr="00524C81" w:rsidRDefault="2A147ABC" w:rsidP="7B33A330">
      <w:pPr>
        <w:pStyle w:val="Recommendation"/>
        <w:rPr>
          <w:rFonts w:eastAsia="Verdana" w:cs="Verdana"/>
          <w:bCs/>
          <w:color w:val="auto"/>
          <w:szCs w:val="20"/>
        </w:rPr>
      </w:pPr>
      <w:r w:rsidRPr="7B33A330">
        <w:rPr>
          <w:color w:val="auto"/>
        </w:rPr>
        <w:t xml:space="preserve"> </w:t>
      </w:r>
    </w:p>
    <w:p w14:paraId="6692C8E1" w14:textId="323BA36C" w:rsidR="2A147ABC" w:rsidRDefault="2A147ABC" w:rsidP="7B33A330">
      <w:pPr>
        <w:pStyle w:val="Recommendation"/>
        <w:rPr>
          <w:rFonts w:eastAsiaTheme="minorEastAsia"/>
          <w:bCs/>
          <w:color w:val="000000" w:themeColor="text1"/>
          <w:szCs w:val="20"/>
        </w:rPr>
      </w:pPr>
      <w:r w:rsidRPr="004173A5">
        <w:rPr>
          <w:color w:val="C00000"/>
        </w:rPr>
        <w:t>Budget impact:</w:t>
      </w:r>
      <w:r>
        <w:rPr>
          <w:b w:val="0"/>
        </w:rPr>
        <w:t xml:space="preserve"> </w:t>
      </w:r>
      <w:r w:rsidRPr="00EC1DF7">
        <w:rPr>
          <w:rFonts w:eastAsiaTheme="minorEastAsia"/>
          <w:bCs/>
          <w:i/>
          <w:color w:val="000000" w:themeColor="text1"/>
          <w:szCs w:val="20"/>
        </w:rPr>
        <w:t>-$</w:t>
      </w:r>
      <w:r w:rsidR="25EFDFBE" w:rsidRPr="00EC1DF7">
        <w:rPr>
          <w:rFonts w:eastAsiaTheme="minorEastAsia"/>
          <w:bCs/>
          <w:i/>
          <w:color w:val="000000" w:themeColor="text1"/>
          <w:szCs w:val="20"/>
        </w:rPr>
        <w:t>10</w:t>
      </w:r>
      <w:r w:rsidRPr="00EC1DF7">
        <w:rPr>
          <w:rFonts w:eastAsiaTheme="minorEastAsia"/>
          <w:bCs/>
          <w:i/>
          <w:color w:val="000000" w:themeColor="text1"/>
          <w:szCs w:val="20"/>
        </w:rPr>
        <w:t xml:space="preserve"> million (-$</w:t>
      </w:r>
      <w:r w:rsidR="565733B6" w:rsidRPr="00EC1DF7">
        <w:rPr>
          <w:rFonts w:eastAsiaTheme="minorEastAsia"/>
          <w:bCs/>
          <w:i/>
          <w:color w:val="000000" w:themeColor="text1"/>
          <w:szCs w:val="20"/>
        </w:rPr>
        <w:t>10</w:t>
      </w:r>
      <w:r w:rsidRPr="00EC1DF7">
        <w:rPr>
          <w:rFonts w:eastAsiaTheme="minorEastAsia"/>
          <w:bCs/>
          <w:i/>
          <w:color w:val="000000" w:themeColor="text1"/>
          <w:szCs w:val="20"/>
        </w:rPr>
        <w:t xml:space="preserve"> million in 2022-23)</w:t>
      </w:r>
    </w:p>
    <w:p w14:paraId="78D8CD47" w14:textId="2F14D72B" w:rsidR="7B33A330" w:rsidRDefault="00EC1DF7" w:rsidP="00E40FC5">
      <w:pPr>
        <w:rPr>
          <w:b/>
          <w:bCs/>
          <w:sz w:val="40"/>
          <w:szCs w:val="40"/>
        </w:rPr>
      </w:pPr>
      <w:r>
        <w:rPr>
          <w:b/>
          <w:bCs/>
          <w:sz w:val="40"/>
          <w:szCs w:val="40"/>
        </w:rPr>
        <w:br w:type="page"/>
      </w:r>
    </w:p>
    <w:p w14:paraId="4D8F5D05" w14:textId="77777777" w:rsidR="00E40FC5" w:rsidRDefault="00E40FC5" w:rsidP="00E40FC5">
      <w:pPr>
        <w:rPr>
          <w:b/>
          <w:bCs/>
          <w:sz w:val="40"/>
          <w:szCs w:val="40"/>
        </w:rPr>
      </w:pPr>
    </w:p>
    <w:p w14:paraId="47C3A6DE" w14:textId="5F8E7DC8" w:rsidR="0068094C" w:rsidRDefault="0068094C" w:rsidP="004C47B2">
      <w:pPr>
        <w:pStyle w:val="Heading1"/>
      </w:pPr>
      <w:r>
        <w:t xml:space="preserve"> </w:t>
      </w:r>
      <w:bookmarkStart w:id="71" w:name="_Toc63685965"/>
      <w:r>
        <w:t>Strengthen preventive health care and public health services</w:t>
      </w:r>
      <w:bookmarkEnd w:id="71"/>
      <w:r>
        <w:t xml:space="preserve"> </w:t>
      </w:r>
    </w:p>
    <w:p w14:paraId="7DD503A7" w14:textId="3384FA62" w:rsidR="0068094C" w:rsidRDefault="00977074" w:rsidP="000C6B7B">
      <w:pPr>
        <w:pStyle w:val="Heading2"/>
        <w:numPr>
          <w:ilvl w:val="0"/>
          <w:numId w:val="0"/>
        </w:numPr>
        <w:ind w:left="1276" w:hanging="916"/>
      </w:pPr>
      <w:bookmarkStart w:id="72" w:name="_Toc63685966"/>
      <w:r>
        <w:t>Summary</w:t>
      </w:r>
      <w:bookmarkEnd w:id="72"/>
    </w:p>
    <w:p w14:paraId="2A17AD63" w14:textId="3E1FDB5A" w:rsidR="35119FF0" w:rsidRPr="00F64995" w:rsidRDefault="35119FF0" w:rsidP="00F13F51">
      <w:pPr>
        <w:pStyle w:val="ListParagraph"/>
        <w:numPr>
          <w:ilvl w:val="0"/>
          <w:numId w:val="3"/>
        </w:numPr>
        <w:rPr>
          <w:rFonts w:asciiTheme="minorHAnsi" w:eastAsiaTheme="minorEastAsia" w:hAnsiTheme="minorHAnsi"/>
        </w:rPr>
      </w:pPr>
      <w:r w:rsidRPr="00F64995">
        <w:t xml:space="preserve">On present policy settings, the cost of health, disability services and aged care will rise by $21 billion a year by 2024. </w:t>
      </w:r>
    </w:p>
    <w:p w14:paraId="46EB88FA" w14:textId="4BBB13E9" w:rsidR="35119FF0" w:rsidRPr="00F64995" w:rsidRDefault="35119FF0" w:rsidP="00F13F51">
      <w:pPr>
        <w:pStyle w:val="ListParagraph"/>
        <w:numPr>
          <w:ilvl w:val="0"/>
          <w:numId w:val="3"/>
        </w:numPr>
        <w:rPr>
          <w:rFonts w:asciiTheme="minorHAnsi" w:eastAsiaTheme="minorEastAsia" w:hAnsiTheme="minorHAnsi"/>
        </w:rPr>
      </w:pPr>
      <w:r w:rsidRPr="00F64995">
        <w:t xml:space="preserve">In order to address this </w:t>
      </w:r>
      <w:r w:rsidR="00515F9E" w:rsidRPr="00F64995">
        <w:t>growth,</w:t>
      </w:r>
      <w:r w:rsidRPr="00F64995">
        <w:t xml:space="preserve"> we need to see a shift in focus and investment toward preventive health, by lifting expenditure on preventive health to 5% of the Commonwealth health budget, so that we improve people’s health and well</w:t>
      </w:r>
      <w:r w:rsidR="00D67482">
        <w:t>be</w:t>
      </w:r>
      <w:r w:rsidRPr="00F64995">
        <w:t>ing and reduce the burden on the health system.</w:t>
      </w:r>
    </w:p>
    <w:p w14:paraId="2777AFAA" w14:textId="6D62CB14" w:rsidR="35119FF0" w:rsidRPr="00F64995" w:rsidRDefault="35119FF0" w:rsidP="00F13F51">
      <w:pPr>
        <w:pStyle w:val="ListParagraph"/>
        <w:numPr>
          <w:ilvl w:val="0"/>
          <w:numId w:val="3"/>
        </w:numPr>
        <w:rPr>
          <w:rFonts w:asciiTheme="minorHAnsi" w:eastAsiaTheme="minorEastAsia" w:hAnsiTheme="minorHAnsi"/>
        </w:rPr>
      </w:pPr>
      <w:r w:rsidRPr="00F64995">
        <w:t>We also need to reduce wasteful spending in health like the Private Health Insurance Rebate and the Extended Medicare Safety Net, to reduce costs and health price inflation.</w:t>
      </w:r>
    </w:p>
    <w:p w14:paraId="1F8F1AD8" w14:textId="55716393" w:rsidR="002D4A7A" w:rsidRPr="00F64995" w:rsidRDefault="002D4A7A" w:rsidP="00F13F51">
      <w:pPr>
        <w:pStyle w:val="ListParagraph"/>
        <w:numPr>
          <w:ilvl w:val="0"/>
          <w:numId w:val="3"/>
        </w:numPr>
      </w:pPr>
      <w:r w:rsidRPr="00F64995">
        <w:t xml:space="preserve">During the </w:t>
      </w:r>
      <w:r w:rsidR="00504DD5" w:rsidRPr="00F64995">
        <w:t>COVID-19</w:t>
      </w:r>
      <w:r w:rsidR="00D67482">
        <w:t xml:space="preserve"> p</w:t>
      </w:r>
      <w:r w:rsidRPr="00F64995">
        <w:t>andemic, we need to invest in community-led health promotion to ensure that the vaccine rollout, along with ongoing prevention efforts, are successful.</w:t>
      </w:r>
    </w:p>
    <w:p w14:paraId="0773F1D8" w14:textId="138973F6" w:rsidR="7B33A330" w:rsidRPr="00F64995" w:rsidRDefault="35119FF0" w:rsidP="00F13F51">
      <w:pPr>
        <w:pStyle w:val="ListParagraph"/>
        <w:numPr>
          <w:ilvl w:val="0"/>
          <w:numId w:val="3"/>
        </w:numPr>
        <w:rPr>
          <w:rFonts w:asciiTheme="minorHAnsi" w:eastAsiaTheme="minorEastAsia" w:hAnsiTheme="minorHAnsi"/>
        </w:rPr>
      </w:pPr>
      <w:r w:rsidRPr="00F64995">
        <w:t>A key priority should also be to address one of the key gaps in our health system – the lack of a universal dental health scheme.</w:t>
      </w:r>
    </w:p>
    <w:p w14:paraId="78F374B2" w14:textId="0EC78038" w:rsidR="7B33A330" w:rsidRDefault="7B33A330" w:rsidP="7B33A330">
      <w:pPr>
        <w:pStyle w:val="List3"/>
      </w:pPr>
    </w:p>
    <w:p w14:paraId="1DA6542E" w14:textId="77777777" w:rsidR="0068094C" w:rsidRDefault="0068094C" w:rsidP="0068094C">
      <w:pPr>
        <w:pStyle w:val="List3"/>
        <w:ind w:left="0" w:firstLine="0"/>
      </w:pPr>
    </w:p>
    <w:p w14:paraId="2BB020DF" w14:textId="5A1F63F9" w:rsidR="0068094C" w:rsidRPr="000C6B7B" w:rsidRDefault="0068094C" w:rsidP="000C6B7B">
      <w:pPr>
        <w:pStyle w:val="Heading2"/>
      </w:pPr>
      <w:bookmarkStart w:id="73" w:name="_Toc63685967"/>
      <w:r w:rsidRPr="000C6B7B">
        <w:t>Introduction</w:t>
      </w:r>
      <w:bookmarkEnd w:id="73"/>
    </w:p>
    <w:p w14:paraId="2D81E481" w14:textId="2721C5D7" w:rsidR="2EAB098C" w:rsidRDefault="2EAB098C" w:rsidP="7B33A330">
      <w:pPr>
        <w:spacing w:line="276" w:lineRule="auto"/>
        <w:rPr>
          <w:rFonts w:eastAsia="Verdana" w:cs="Verdana"/>
          <w:szCs w:val="20"/>
        </w:rPr>
      </w:pPr>
      <w:r w:rsidRPr="7B33A330">
        <w:rPr>
          <w:rFonts w:eastAsia="Verdana" w:cs="Verdana"/>
          <w:szCs w:val="20"/>
        </w:rPr>
        <w:t>Although Australia’s health system is based on a model of universal healthcare, people on low incomes or who live in disadvantaged or isolated communities experience particular problems accessing services that are readily available to other people in Australia. These include the capacity to access and pay for general medical and oral health care, as well as specialist care. In addition, people on low incomes often find it difficult to balance the costs of prescriptions, medical appointments and health maintenance, with other household expenses.</w:t>
      </w:r>
    </w:p>
    <w:p w14:paraId="5EBBEEBB" w14:textId="7FECD55A" w:rsidR="2EAB098C" w:rsidRDefault="2EAB098C" w:rsidP="7B33A330">
      <w:pPr>
        <w:spacing w:line="276" w:lineRule="auto"/>
        <w:rPr>
          <w:rFonts w:eastAsia="Verdana" w:cs="Verdana"/>
          <w:szCs w:val="20"/>
        </w:rPr>
      </w:pPr>
      <w:r w:rsidRPr="7B33A330">
        <w:rPr>
          <w:rFonts w:eastAsia="Verdana" w:cs="Verdana"/>
          <w:szCs w:val="20"/>
        </w:rPr>
        <w:t xml:space="preserve">The Parliamentary Budget Office estimates that, </w:t>
      </w:r>
      <w:r w:rsidRPr="7B33A330">
        <w:rPr>
          <w:rFonts w:eastAsia="Verdana" w:cs="Verdana"/>
          <w:i/>
          <w:iCs/>
          <w:szCs w:val="20"/>
        </w:rPr>
        <w:t>on present policy setting</w:t>
      </w:r>
      <w:r w:rsidRPr="7B33A330">
        <w:rPr>
          <w:rFonts w:eastAsia="Verdana" w:cs="Verdana"/>
          <w:szCs w:val="20"/>
        </w:rPr>
        <w:t>s, the cost of health, disability services and aged care will rise by $21 billion a year by 2024.</w:t>
      </w:r>
      <w:r w:rsidRPr="7B33A330">
        <w:rPr>
          <w:rStyle w:val="FootnoteReference"/>
          <w:rFonts w:eastAsia="Verdana" w:cs="Verdana"/>
          <w:szCs w:val="20"/>
        </w:rPr>
        <w:footnoteReference w:id="50"/>
      </w:r>
      <w:r w:rsidRPr="7B33A330">
        <w:rPr>
          <w:rFonts w:eastAsia="Verdana" w:cs="Verdana"/>
          <w:szCs w:val="20"/>
        </w:rPr>
        <w:t xml:space="preserve"> This is before accounting for unmet needs in areas such as dental health, mental health, and aged care.</w:t>
      </w:r>
    </w:p>
    <w:p w14:paraId="21545E47" w14:textId="201D7701" w:rsidR="2EAB098C" w:rsidRDefault="2EAB098C" w:rsidP="7B33A330">
      <w:pPr>
        <w:spacing w:line="276" w:lineRule="auto"/>
        <w:rPr>
          <w:rFonts w:eastAsia="Verdana" w:cs="Verdana"/>
          <w:szCs w:val="20"/>
        </w:rPr>
      </w:pPr>
      <w:r w:rsidRPr="7B33A330">
        <w:rPr>
          <w:rFonts w:eastAsia="Verdana" w:cs="Verdana"/>
          <w:szCs w:val="20"/>
        </w:rPr>
        <w:t xml:space="preserve">Therefore, budget policies in health should focus not on cutting expenditure, but on a shift in priorities towards primary and preventive care, and a far better distribution of health expenditure so that it achieves value for money in an effective, accessible and affordable health care system. </w:t>
      </w:r>
    </w:p>
    <w:p w14:paraId="26C2CA35" w14:textId="7D1B1CB8" w:rsidR="2EAB098C" w:rsidRDefault="2EAB098C" w:rsidP="7B33A330">
      <w:pPr>
        <w:spacing w:line="276" w:lineRule="auto"/>
        <w:rPr>
          <w:rFonts w:eastAsia="Verdana" w:cs="Verdana"/>
          <w:szCs w:val="20"/>
        </w:rPr>
      </w:pPr>
      <w:r w:rsidRPr="7B33A330">
        <w:rPr>
          <w:rFonts w:eastAsia="Verdana" w:cs="Verdana"/>
          <w:szCs w:val="20"/>
        </w:rPr>
        <w:t xml:space="preserve">The first step in health reform should be to reduce the worst gaps in health services. We propose a transition to a universal public dental scheme, and in the revenue section of </w:t>
      </w:r>
      <w:r w:rsidRPr="7B33A330">
        <w:rPr>
          <w:rFonts w:eastAsia="Verdana" w:cs="Verdana"/>
          <w:szCs w:val="20"/>
        </w:rPr>
        <w:lastRenderedPageBreak/>
        <w:t>this statement we advocate policies to strengthen the revenue base for health, aged care and disability services.</w:t>
      </w:r>
    </w:p>
    <w:p w14:paraId="6A16C714" w14:textId="1AD03066" w:rsidR="7B33A330" w:rsidRPr="004173A5" w:rsidRDefault="2EAB098C" w:rsidP="004173A5">
      <w:pPr>
        <w:spacing w:line="276" w:lineRule="auto"/>
        <w:rPr>
          <w:rFonts w:eastAsia="Verdana" w:cs="Verdana"/>
          <w:szCs w:val="20"/>
        </w:rPr>
      </w:pPr>
      <w:r w:rsidRPr="7B33A330">
        <w:rPr>
          <w:rFonts w:eastAsia="Verdana" w:cs="Verdana"/>
          <w:szCs w:val="20"/>
        </w:rPr>
        <w:t xml:space="preserve">To ensure our health care system is sustainable, poorly targeted and ineffective subsidies that inflate the cost of care, including the Private Health Insurance Rebate and Extended Medicare Safety Net, should be abolished and the savings redirected to more effective health care programs. </w:t>
      </w:r>
    </w:p>
    <w:p w14:paraId="3041E394" w14:textId="77777777" w:rsidR="0068094C" w:rsidRDefault="0068094C" w:rsidP="0068094C"/>
    <w:p w14:paraId="284F55BE" w14:textId="431A1188" w:rsidR="0068094C" w:rsidRDefault="20FBF342" w:rsidP="003520E9">
      <w:pPr>
        <w:pStyle w:val="Heading2"/>
      </w:pPr>
      <w:bookmarkStart w:id="74" w:name="_Toc63685968"/>
      <w:r>
        <w:t>Invest in health promotion and prevention programs</w:t>
      </w:r>
      <w:bookmarkEnd w:id="74"/>
    </w:p>
    <w:p w14:paraId="722B00AE" w14:textId="2F5A1B85" w:rsidR="0068094C" w:rsidRPr="00F03627" w:rsidRDefault="20FBF342" w:rsidP="7B33A330">
      <w:pPr>
        <w:spacing w:line="276" w:lineRule="auto"/>
        <w:rPr>
          <w:rFonts w:eastAsia="Verdana" w:cs="Verdana"/>
          <w:szCs w:val="20"/>
        </w:rPr>
      </w:pPr>
      <w:r w:rsidRPr="7B33A330">
        <w:rPr>
          <w:rFonts w:eastAsia="Verdana" w:cs="Verdana"/>
          <w:szCs w:val="20"/>
        </w:rPr>
        <w:t>Too much of our public health spend is directed towards tertiary or hospital services, with inadequate investment in preventive health initiatives. We fail to prevent a whole range of conditions (namely chronic disease, but also preventable communicable diseases) that significantly inhibit people’s health and wellbeing while also placing an unsustainable burden on our health system. Stronger investment in preventive health care and supporting people to adopt healthier lifestyles would save significant future health care costs.</w:t>
      </w:r>
      <w:r w:rsidR="0068094C" w:rsidRPr="7B33A330">
        <w:rPr>
          <w:rStyle w:val="FootnoteReference"/>
          <w:rFonts w:eastAsia="Verdana" w:cs="Verdana"/>
          <w:szCs w:val="20"/>
        </w:rPr>
        <w:footnoteReference w:id="51"/>
      </w:r>
    </w:p>
    <w:p w14:paraId="132B1AAB" w14:textId="7F572A31" w:rsidR="0068094C" w:rsidRDefault="004173A5" w:rsidP="7B33A330">
      <w:pPr>
        <w:pStyle w:val="Recommendation"/>
        <w:rPr>
          <w:color w:val="000000" w:themeColor="text1"/>
        </w:rPr>
      </w:pPr>
      <w:r>
        <w:rPr>
          <w:color w:val="C00000"/>
        </w:rPr>
        <w:t xml:space="preserve">Recommendation </w:t>
      </w:r>
      <w:r w:rsidR="001C35E2">
        <w:rPr>
          <w:color w:val="C00000"/>
        </w:rPr>
        <w:t>4</w:t>
      </w:r>
      <w:r w:rsidR="0026289A">
        <w:rPr>
          <w:color w:val="C00000"/>
        </w:rPr>
        <w:t>3</w:t>
      </w:r>
      <w:r>
        <w:rPr>
          <w:color w:val="C00000"/>
        </w:rPr>
        <w:t>:</w:t>
      </w:r>
      <w:r w:rsidR="0068094C" w:rsidRPr="004173A5">
        <w:rPr>
          <w:color w:val="C00000"/>
        </w:rPr>
        <w:t xml:space="preserve"> </w:t>
      </w:r>
      <w:r w:rsidR="32A32008" w:rsidRPr="7B33A330">
        <w:rPr>
          <w:color w:val="auto"/>
        </w:rPr>
        <w:t>Increase investment in health promotion and prevention (including nutrition, obesity, tobacco and alcohol use, mental health, diabetes and cancer prevention, and communicable diseases prevention) to 5% of total Commonwealth health spending</w:t>
      </w:r>
    </w:p>
    <w:p w14:paraId="42C6D796" w14:textId="77777777" w:rsidR="0068094C" w:rsidRDefault="0068094C" w:rsidP="0068094C">
      <w:pPr>
        <w:pStyle w:val="Recommendation"/>
        <w:rPr>
          <w:color w:val="000000" w:themeColor="text1"/>
        </w:rPr>
      </w:pPr>
    </w:p>
    <w:p w14:paraId="2FC5F6F7" w14:textId="43495881" w:rsidR="2AAA052F" w:rsidRDefault="2AAA052F" w:rsidP="000B50DA">
      <w:pPr>
        <w:pStyle w:val="Recommendation"/>
        <w:rPr>
          <w:bCs/>
        </w:rPr>
      </w:pPr>
      <w:r w:rsidRPr="004173A5">
        <w:rPr>
          <w:color w:val="C00000"/>
        </w:rPr>
        <w:t>Budget impact:</w:t>
      </w:r>
      <w:r w:rsidRPr="004173A5">
        <w:rPr>
          <w:b w:val="0"/>
          <w:color w:val="C00000"/>
        </w:rPr>
        <w:t xml:space="preserve"> </w:t>
      </w:r>
      <w:r w:rsidRPr="00EC1DF7">
        <w:rPr>
          <w:rFonts w:eastAsiaTheme="minorEastAsia"/>
          <w:bCs/>
          <w:i/>
          <w:color w:val="000000" w:themeColor="text1"/>
          <w:szCs w:val="20"/>
        </w:rPr>
        <w:t>-$</w:t>
      </w:r>
      <w:r w:rsidR="17F8D94B" w:rsidRPr="00EC1DF7">
        <w:rPr>
          <w:rFonts w:eastAsiaTheme="minorEastAsia"/>
          <w:bCs/>
          <w:i/>
          <w:color w:val="000000" w:themeColor="text1"/>
          <w:szCs w:val="20"/>
        </w:rPr>
        <w:t>2,</w:t>
      </w:r>
      <w:r w:rsidR="002463B9">
        <w:rPr>
          <w:rFonts w:eastAsiaTheme="minorEastAsia"/>
          <w:bCs/>
          <w:i/>
          <w:color w:val="000000" w:themeColor="text1"/>
          <w:szCs w:val="20"/>
        </w:rPr>
        <w:t>700</w:t>
      </w:r>
      <w:r w:rsidRPr="00EC1DF7">
        <w:rPr>
          <w:rFonts w:eastAsiaTheme="minorEastAsia"/>
          <w:bCs/>
          <w:i/>
          <w:color w:val="000000" w:themeColor="text1"/>
          <w:szCs w:val="20"/>
        </w:rPr>
        <w:t xml:space="preserve"> million (-$</w:t>
      </w:r>
      <w:r w:rsidR="2FFD024B" w:rsidRPr="00EC1DF7">
        <w:rPr>
          <w:rFonts w:eastAsiaTheme="minorEastAsia"/>
          <w:bCs/>
          <w:i/>
          <w:color w:val="000000" w:themeColor="text1"/>
          <w:szCs w:val="20"/>
        </w:rPr>
        <w:t>2,</w:t>
      </w:r>
      <w:r w:rsidR="002463B9">
        <w:rPr>
          <w:rFonts w:eastAsiaTheme="minorEastAsia"/>
          <w:bCs/>
          <w:i/>
          <w:color w:val="000000" w:themeColor="text1"/>
          <w:szCs w:val="20"/>
        </w:rPr>
        <w:t>800</w:t>
      </w:r>
      <w:r w:rsidRPr="00EC1DF7">
        <w:rPr>
          <w:rFonts w:eastAsiaTheme="minorEastAsia"/>
          <w:bCs/>
          <w:i/>
          <w:color w:val="000000" w:themeColor="text1"/>
          <w:szCs w:val="20"/>
        </w:rPr>
        <w:t xml:space="preserve"> million in 2022-23)</w:t>
      </w:r>
      <w:r w:rsidRPr="00EC1DF7">
        <w:rPr>
          <w:i/>
        </w:rPr>
        <w:t xml:space="preserve"> </w:t>
      </w:r>
    </w:p>
    <w:p w14:paraId="54E11D2A" w14:textId="77777777" w:rsidR="0068094C" w:rsidRDefault="0068094C" w:rsidP="0068094C">
      <w:pPr>
        <w:pStyle w:val="Recommendation"/>
        <w:rPr>
          <w:b w:val="0"/>
        </w:rPr>
      </w:pPr>
    </w:p>
    <w:p w14:paraId="31126E5D" w14:textId="77777777" w:rsidR="0068094C" w:rsidRPr="00204C41" w:rsidRDefault="0068094C" w:rsidP="0068094C">
      <w:pPr>
        <w:pStyle w:val="ListNumber"/>
        <w:numPr>
          <w:ilvl w:val="0"/>
          <w:numId w:val="0"/>
        </w:numPr>
        <w:ind w:left="360" w:hanging="360"/>
      </w:pPr>
    </w:p>
    <w:p w14:paraId="44984D74" w14:textId="014B31EF" w:rsidR="00FD1810" w:rsidRDefault="02EF3200" w:rsidP="003520E9">
      <w:pPr>
        <w:pStyle w:val="Heading2"/>
      </w:pPr>
      <w:bookmarkStart w:id="75" w:name="_Toc63685969"/>
      <w:r>
        <w:t>Invest in community</w:t>
      </w:r>
      <w:r w:rsidR="04850A76">
        <w:t xml:space="preserve">-led </w:t>
      </w:r>
      <w:r>
        <w:t xml:space="preserve">health promotion for </w:t>
      </w:r>
      <w:r w:rsidR="00504DD5">
        <w:t>COVID-19</w:t>
      </w:r>
      <w:bookmarkEnd w:id="75"/>
    </w:p>
    <w:p w14:paraId="1B325779" w14:textId="77777777" w:rsidR="00EC1DF7" w:rsidRDefault="207305B3" w:rsidP="7B33A330">
      <w:pPr>
        <w:jc w:val="both"/>
        <w:rPr>
          <w:rFonts w:eastAsia="Verdana" w:cs="Verdana"/>
          <w:szCs w:val="20"/>
        </w:rPr>
      </w:pPr>
      <w:r w:rsidRPr="7B33A330">
        <w:rPr>
          <w:rFonts w:eastAsia="Verdana" w:cs="Verdana"/>
          <w:szCs w:val="20"/>
        </w:rPr>
        <w:t xml:space="preserve">During the COVID-19 pandemic in Australia, the Aboriginal Community Controlled sector has played a leadership role in planning protective strategies and communicating health messages about prevention, risk and health restrictions to Aboriginal and Torres Strait Islander peoples and communities. Aboriginal and Torres Strait peoples have turned to their ACCHOs for health promotion and education messages and guidance during this pandemic, as the trusted actors on health issues for their community. </w:t>
      </w:r>
    </w:p>
    <w:p w14:paraId="2678B613" w14:textId="764BDB51" w:rsidR="207305B3" w:rsidRDefault="207305B3" w:rsidP="7B33A330">
      <w:pPr>
        <w:jc w:val="both"/>
        <w:rPr>
          <w:rFonts w:eastAsia="Verdana" w:cs="Verdana"/>
          <w:szCs w:val="20"/>
        </w:rPr>
      </w:pPr>
      <w:r w:rsidRPr="7B33A330">
        <w:rPr>
          <w:rFonts w:eastAsia="Verdana" w:cs="Verdana"/>
          <w:szCs w:val="20"/>
        </w:rPr>
        <w:t>This trusted community leadership has been critical for getting strategies right and communicating the right messages out about the risks and impacts of COVD19 on Aboriginal and Torres Strait Islander people and communities</w:t>
      </w:r>
      <w:r w:rsidR="001C35E2">
        <w:rPr>
          <w:rFonts w:eastAsia="Verdana" w:cs="Verdana"/>
          <w:szCs w:val="20"/>
        </w:rPr>
        <w:t>.</w:t>
      </w:r>
      <w:r w:rsidRPr="7B33A330">
        <w:rPr>
          <w:rStyle w:val="FootnoteReference"/>
          <w:rFonts w:eastAsia="Verdana" w:cs="Verdana"/>
          <w:szCs w:val="20"/>
        </w:rPr>
        <w:footnoteReference w:id="52"/>
      </w:r>
      <w:r w:rsidRPr="7B33A330">
        <w:rPr>
          <w:rFonts w:eastAsia="Verdana" w:cs="Verdana"/>
          <w:szCs w:val="20"/>
        </w:rPr>
        <w:t xml:space="preserve"> </w:t>
      </w:r>
    </w:p>
    <w:p w14:paraId="0C9A1B8E" w14:textId="627DE9B2" w:rsidR="207305B3" w:rsidRDefault="207305B3" w:rsidP="7B33A330">
      <w:pPr>
        <w:jc w:val="both"/>
        <w:rPr>
          <w:rFonts w:eastAsia="Verdana" w:cs="Verdana"/>
          <w:szCs w:val="20"/>
        </w:rPr>
      </w:pPr>
      <w:r w:rsidRPr="7B33A330">
        <w:rPr>
          <w:rFonts w:eastAsia="Verdana" w:cs="Verdana"/>
          <w:szCs w:val="20"/>
        </w:rPr>
        <w:t xml:space="preserve">Other non-Aboriginal community-controlled organisations, including in CALD communities, LGBTIQ communities and communities of people with disability have also worked hard to plan and communicate health promotion and education messages to their communities. All of this work has occurred in the absence of a coordinated national strategy for working </w:t>
      </w:r>
      <w:r w:rsidRPr="7B33A330">
        <w:rPr>
          <w:rFonts w:eastAsia="Verdana" w:cs="Verdana"/>
          <w:szCs w:val="20"/>
        </w:rPr>
        <w:lastRenderedPageBreak/>
        <w:t>in close collaboration with higher risk groups, and without funding for community-controlled organisations to deliver it.</w:t>
      </w:r>
    </w:p>
    <w:p w14:paraId="7E832764" w14:textId="3E777D61" w:rsidR="207305B3" w:rsidRDefault="207305B3" w:rsidP="7B33A330">
      <w:pPr>
        <w:jc w:val="both"/>
        <w:rPr>
          <w:rFonts w:eastAsia="Verdana" w:cs="Verdana"/>
          <w:szCs w:val="20"/>
        </w:rPr>
      </w:pPr>
      <w:r w:rsidRPr="7B33A330">
        <w:rPr>
          <w:rFonts w:eastAsia="Verdana" w:cs="Verdana"/>
          <w:szCs w:val="20"/>
        </w:rPr>
        <w:t xml:space="preserve">Community leaders are particularly important in both building trust for sustained ongoing response and recovery planning, and for providing rapid feedback to government and health decision-makers about how to improve protective action both from the health and associated economic and social risks playing out in specific communities. </w:t>
      </w:r>
    </w:p>
    <w:p w14:paraId="02B38BF0" w14:textId="7B8D37DD" w:rsidR="207305B3" w:rsidRDefault="207305B3" w:rsidP="7B33A330">
      <w:pPr>
        <w:jc w:val="both"/>
        <w:rPr>
          <w:rFonts w:eastAsia="Verdana" w:cs="Verdana"/>
          <w:szCs w:val="20"/>
        </w:rPr>
      </w:pPr>
      <w:r w:rsidRPr="7B33A330">
        <w:rPr>
          <w:rFonts w:eastAsia="Verdana" w:cs="Verdana"/>
          <w:szCs w:val="20"/>
        </w:rPr>
        <w:t xml:space="preserve">While national and state-wide health promotion and health education is important, it is also important that these efforts are complemented by a strategy to reach specific at-risk and hard to reach populations with messages about </w:t>
      </w:r>
      <w:r w:rsidR="00515F9E" w:rsidRPr="7B33A330">
        <w:rPr>
          <w:rFonts w:eastAsia="Verdana" w:cs="Verdana"/>
          <w:szCs w:val="20"/>
        </w:rPr>
        <w:t>vaccination</w:t>
      </w:r>
      <w:r w:rsidR="33F6C0CE" w:rsidRPr="7B33A330">
        <w:rPr>
          <w:rFonts w:eastAsia="Verdana" w:cs="Verdana"/>
          <w:szCs w:val="20"/>
        </w:rPr>
        <w:t xml:space="preserve">, </w:t>
      </w:r>
      <w:r w:rsidRPr="7B33A330">
        <w:rPr>
          <w:rFonts w:eastAsia="Verdana" w:cs="Verdana"/>
          <w:szCs w:val="20"/>
        </w:rPr>
        <w:t xml:space="preserve">prevention, testing and isolation. This strategy must be backed up by funding for targeted health promotion and education led by community organisations representing hard to reach and at-risk populations. </w:t>
      </w:r>
    </w:p>
    <w:p w14:paraId="557590FC" w14:textId="21CAABEC" w:rsidR="0068094C" w:rsidRDefault="007376C2" w:rsidP="7B33A330">
      <w:pPr>
        <w:rPr>
          <w:b/>
          <w:bCs/>
        </w:rPr>
      </w:pPr>
      <w:r>
        <w:rPr>
          <w:b/>
          <w:bCs/>
          <w:color w:val="C00000"/>
        </w:rPr>
        <w:t xml:space="preserve">Recommendation </w:t>
      </w:r>
      <w:r w:rsidR="001C35E2">
        <w:rPr>
          <w:b/>
          <w:bCs/>
          <w:color w:val="C00000"/>
        </w:rPr>
        <w:t>4</w:t>
      </w:r>
      <w:r w:rsidR="0026289A">
        <w:rPr>
          <w:b/>
          <w:bCs/>
          <w:color w:val="C00000"/>
        </w:rPr>
        <w:t>4</w:t>
      </w:r>
      <w:r>
        <w:rPr>
          <w:b/>
          <w:bCs/>
          <w:color w:val="C00000"/>
        </w:rPr>
        <w:t>:</w:t>
      </w:r>
      <w:r w:rsidR="0068094C" w:rsidRPr="007376C2">
        <w:rPr>
          <w:b/>
          <w:bCs/>
        </w:rPr>
        <w:t xml:space="preserve"> </w:t>
      </w:r>
      <w:r w:rsidR="7F645707" w:rsidRPr="7B33A330">
        <w:rPr>
          <w:b/>
          <w:bCs/>
        </w:rPr>
        <w:t>In order to ensure that health promotion and education messages about COVID-19 prevention, testing</w:t>
      </w:r>
      <w:r w:rsidR="49516DC3" w:rsidRPr="7B33A330">
        <w:rPr>
          <w:b/>
          <w:bCs/>
        </w:rPr>
        <w:t>, vaccination</w:t>
      </w:r>
      <w:r w:rsidR="7F645707" w:rsidRPr="7B33A330">
        <w:rPr>
          <w:b/>
          <w:bCs/>
        </w:rPr>
        <w:t xml:space="preserve"> and isolation are reaching hard to reach and at-risk populations, we recommend the following: </w:t>
      </w:r>
    </w:p>
    <w:p w14:paraId="5D733DEC" w14:textId="39014F51" w:rsidR="0068094C" w:rsidRDefault="001C35E2" w:rsidP="7B33A330">
      <w:pPr>
        <w:rPr>
          <w:b/>
          <w:bCs/>
        </w:rPr>
      </w:pPr>
      <w:r>
        <w:rPr>
          <w:b/>
          <w:bCs/>
        </w:rPr>
        <w:t xml:space="preserve">(1) </w:t>
      </w:r>
      <w:r w:rsidR="7F645707" w:rsidRPr="7B33A330">
        <w:rPr>
          <w:b/>
          <w:bCs/>
        </w:rPr>
        <w:t xml:space="preserve">Develop formal health promotion and education strategies for specific hard to reach and at-risk populations that are informed by the data and evidence and developed in partnership with the relevant communities and the organisations that represent them. </w:t>
      </w:r>
    </w:p>
    <w:p w14:paraId="2DF455A1" w14:textId="254B6782" w:rsidR="0068094C" w:rsidRDefault="001C35E2" w:rsidP="7B33A330">
      <w:pPr>
        <w:rPr>
          <w:b/>
          <w:bCs/>
        </w:rPr>
      </w:pPr>
      <w:r>
        <w:rPr>
          <w:b/>
          <w:bCs/>
        </w:rPr>
        <w:t xml:space="preserve">(2) </w:t>
      </w:r>
      <w:r w:rsidR="7F645707" w:rsidRPr="7B33A330">
        <w:rPr>
          <w:b/>
          <w:bCs/>
        </w:rPr>
        <w:t xml:space="preserve">Develop a partnership approach between government and community organisations delivering health promotion and education, where decision making on health promotion and education activities is led by community organisations and relevant epidemiology data is shared. </w:t>
      </w:r>
    </w:p>
    <w:p w14:paraId="62431CDC" w14:textId="27069CD6" w:rsidR="0068094C" w:rsidRPr="00524C81" w:rsidRDefault="001C35E2" w:rsidP="00524C81">
      <w:pPr>
        <w:rPr>
          <w:b/>
          <w:bCs/>
        </w:rPr>
      </w:pPr>
      <w:r>
        <w:rPr>
          <w:b/>
          <w:bCs/>
        </w:rPr>
        <w:t xml:space="preserve">(3) </w:t>
      </w:r>
      <w:r w:rsidR="7F645707" w:rsidRPr="7B33A330">
        <w:rPr>
          <w:b/>
          <w:bCs/>
        </w:rPr>
        <w:t>Provide targeted funding for community organisations representing key population groups to deliver peer-led health promotion and education to their own communities.</w:t>
      </w:r>
    </w:p>
    <w:p w14:paraId="5D253111" w14:textId="16914F1F" w:rsidR="2156D1B6" w:rsidRDefault="2156D1B6" w:rsidP="000B50DA">
      <w:pPr>
        <w:pStyle w:val="Recommendation"/>
        <w:rPr>
          <w:bCs/>
        </w:rPr>
      </w:pPr>
      <w:r w:rsidRPr="00F64995">
        <w:rPr>
          <w:color w:val="C00000"/>
        </w:rPr>
        <w:t>Budget impact:</w:t>
      </w:r>
      <w:r w:rsidRPr="00EC1DF7">
        <w:rPr>
          <w:b w:val="0"/>
          <w:i/>
        </w:rPr>
        <w:t xml:space="preserve"> </w:t>
      </w:r>
      <w:r w:rsidRPr="00EC1DF7">
        <w:rPr>
          <w:rFonts w:eastAsiaTheme="minorEastAsia"/>
          <w:bCs/>
          <w:i/>
          <w:color w:val="000000" w:themeColor="text1"/>
          <w:szCs w:val="20"/>
        </w:rPr>
        <w:t>-$</w:t>
      </w:r>
      <w:r w:rsidR="4CE6D60F" w:rsidRPr="00EC1DF7">
        <w:rPr>
          <w:rFonts w:eastAsiaTheme="minorEastAsia"/>
          <w:bCs/>
          <w:i/>
          <w:color w:val="000000" w:themeColor="text1"/>
          <w:szCs w:val="20"/>
        </w:rPr>
        <w:t>50</w:t>
      </w:r>
      <w:r w:rsidRPr="00EC1DF7">
        <w:rPr>
          <w:rFonts w:eastAsiaTheme="minorEastAsia"/>
          <w:bCs/>
          <w:i/>
          <w:color w:val="000000" w:themeColor="text1"/>
          <w:szCs w:val="20"/>
        </w:rPr>
        <w:t xml:space="preserve"> million (-$</w:t>
      </w:r>
      <w:r w:rsidR="700EF311" w:rsidRPr="00EC1DF7">
        <w:rPr>
          <w:rFonts w:eastAsiaTheme="minorEastAsia"/>
          <w:bCs/>
          <w:i/>
          <w:color w:val="000000" w:themeColor="text1"/>
          <w:szCs w:val="20"/>
        </w:rPr>
        <w:t>0</w:t>
      </w:r>
      <w:r w:rsidRPr="00EC1DF7">
        <w:rPr>
          <w:rFonts w:eastAsiaTheme="minorEastAsia"/>
          <w:bCs/>
          <w:i/>
          <w:color w:val="000000" w:themeColor="text1"/>
          <w:szCs w:val="20"/>
        </w:rPr>
        <w:t xml:space="preserve"> million in 2022-23)</w:t>
      </w:r>
      <w:r w:rsidRPr="00EC1DF7">
        <w:rPr>
          <w:i/>
        </w:rPr>
        <w:t xml:space="preserve"> </w:t>
      </w:r>
    </w:p>
    <w:p w14:paraId="0DD14EA1" w14:textId="561A6CD6" w:rsidR="000B50DA" w:rsidRDefault="000B50DA" w:rsidP="000B50DA">
      <w:pPr>
        <w:pStyle w:val="ListNumber"/>
        <w:numPr>
          <w:ilvl w:val="0"/>
          <w:numId w:val="0"/>
        </w:numPr>
      </w:pPr>
    </w:p>
    <w:p w14:paraId="2BEB0E59" w14:textId="4609521D" w:rsidR="000B50DA" w:rsidRDefault="64E065DE" w:rsidP="003520E9">
      <w:pPr>
        <w:pStyle w:val="Heading2"/>
      </w:pPr>
      <w:bookmarkStart w:id="76" w:name="_Toc63685970"/>
      <w:r>
        <w:t>Transition to a universal dental health care scheme</w:t>
      </w:r>
      <w:bookmarkEnd w:id="76"/>
    </w:p>
    <w:p w14:paraId="0BCB9366" w14:textId="2BFE9E5A" w:rsidR="000B50DA" w:rsidRDefault="64E065DE" w:rsidP="7B33A330">
      <w:pPr>
        <w:spacing w:line="276" w:lineRule="auto"/>
        <w:rPr>
          <w:rFonts w:eastAsia="Verdana" w:cs="Verdana"/>
          <w:szCs w:val="20"/>
        </w:rPr>
      </w:pPr>
      <w:r w:rsidRPr="7B33A330">
        <w:rPr>
          <w:rFonts w:eastAsia="Verdana" w:cs="Verdana"/>
          <w:szCs w:val="20"/>
        </w:rPr>
        <w:t>One of the most significant gaps in our public health system is the provision of affordable, accessible dental care for all. While seeing a GP usually results in Medicare bearing all or most of the cost, seeing a dentist often results in significant out-of-pocket costs, even for those with private health insurance. This makes dental care unaffordable for many people on low incomes, and many go without the treatment they need. This creates costs in our broader health system, but also impacts on people’s ability to live their lives, including to eat well, work and be engaged in their communities. Australia should transition dental care to a u</w:t>
      </w:r>
      <w:r w:rsidR="00BB22C6">
        <w:rPr>
          <w:rFonts w:eastAsia="Verdana" w:cs="Verdana"/>
          <w:szCs w:val="20"/>
        </w:rPr>
        <w:t>niversal scheme, funded by the F</w:t>
      </w:r>
      <w:r w:rsidRPr="7B33A330">
        <w:rPr>
          <w:rFonts w:eastAsia="Verdana" w:cs="Verdana"/>
          <w:szCs w:val="20"/>
        </w:rPr>
        <w:t>ederal Government.</w:t>
      </w:r>
    </w:p>
    <w:p w14:paraId="10DB09AA" w14:textId="5F500CAC" w:rsidR="000B50DA" w:rsidRDefault="00F64995" w:rsidP="7B33A330">
      <w:pPr>
        <w:pStyle w:val="Recommendation"/>
        <w:rPr>
          <w:color w:val="000000" w:themeColor="text1"/>
        </w:rPr>
      </w:pPr>
      <w:r>
        <w:rPr>
          <w:color w:val="C00000"/>
        </w:rPr>
        <w:t xml:space="preserve">Recommendation </w:t>
      </w:r>
      <w:r w:rsidR="001C35E2">
        <w:rPr>
          <w:color w:val="C00000"/>
        </w:rPr>
        <w:t>4</w:t>
      </w:r>
      <w:r w:rsidR="0026289A">
        <w:rPr>
          <w:color w:val="C00000"/>
        </w:rPr>
        <w:t>5</w:t>
      </w:r>
      <w:r w:rsidR="007376C2">
        <w:rPr>
          <w:color w:val="C00000"/>
        </w:rPr>
        <w:t>:</w:t>
      </w:r>
      <w:r w:rsidR="64E065DE">
        <w:t xml:space="preserve"> </w:t>
      </w:r>
      <w:r w:rsidR="64E065DE" w:rsidRPr="7B33A330">
        <w:rPr>
          <w:color w:val="auto"/>
        </w:rPr>
        <w:t>Create a universal, federally funded dental care scheme</w:t>
      </w:r>
      <w:r w:rsidR="6A3E97FE" w:rsidRPr="7B33A330">
        <w:rPr>
          <w:color w:val="auto"/>
        </w:rPr>
        <w:t>. As a first step in the transition to a full scheme, public dental services investment should increase by $1.1 billion</w:t>
      </w:r>
      <w:r w:rsidR="001C35E2">
        <w:rPr>
          <w:color w:val="auto"/>
        </w:rPr>
        <w:t>.</w:t>
      </w:r>
    </w:p>
    <w:p w14:paraId="1BFFC3BF" w14:textId="77777777" w:rsidR="000B50DA" w:rsidRDefault="000B50DA" w:rsidP="7B33A330">
      <w:pPr>
        <w:pStyle w:val="Recommendation"/>
        <w:rPr>
          <w:color w:val="000000" w:themeColor="text1"/>
        </w:rPr>
      </w:pPr>
    </w:p>
    <w:p w14:paraId="41E32350" w14:textId="72400271" w:rsidR="000B50DA" w:rsidRDefault="64E065DE" w:rsidP="7B33A330">
      <w:pPr>
        <w:pStyle w:val="Recommendation"/>
      </w:pPr>
      <w:r w:rsidRPr="007376C2">
        <w:rPr>
          <w:color w:val="C00000"/>
        </w:rPr>
        <w:t>Budget impact:</w:t>
      </w:r>
      <w:r w:rsidRPr="00276D1C">
        <w:rPr>
          <w:b w:val="0"/>
          <w:i/>
        </w:rPr>
        <w:t xml:space="preserve"> </w:t>
      </w:r>
      <w:r w:rsidRPr="00276D1C">
        <w:rPr>
          <w:rFonts w:eastAsiaTheme="minorEastAsia"/>
          <w:bCs/>
          <w:i/>
          <w:color w:val="000000" w:themeColor="text1"/>
          <w:szCs w:val="20"/>
        </w:rPr>
        <w:t>-$</w:t>
      </w:r>
      <w:r w:rsidR="7B74E3E5" w:rsidRPr="00276D1C">
        <w:rPr>
          <w:rFonts w:eastAsiaTheme="minorEastAsia"/>
          <w:bCs/>
          <w:i/>
          <w:color w:val="000000" w:themeColor="text1"/>
          <w:szCs w:val="20"/>
        </w:rPr>
        <w:t>1,100</w:t>
      </w:r>
      <w:r w:rsidRPr="00276D1C">
        <w:rPr>
          <w:rFonts w:eastAsiaTheme="minorEastAsia"/>
          <w:bCs/>
          <w:i/>
          <w:color w:val="000000" w:themeColor="text1"/>
          <w:szCs w:val="20"/>
        </w:rPr>
        <w:t xml:space="preserve"> million (-$</w:t>
      </w:r>
      <w:r w:rsidR="5B4DA0D5" w:rsidRPr="00276D1C">
        <w:rPr>
          <w:rFonts w:eastAsiaTheme="minorEastAsia"/>
          <w:bCs/>
          <w:i/>
          <w:color w:val="000000" w:themeColor="text1"/>
          <w:szCs w:val="20"/>
        </w:rPr>
        <w:t>1,200</w:t>
      </w:r>
      <w:r w:rsidRPr="00276D1C">
        <w:rPr>
          <w:rFonts w:eastAsiaTheme="minorEastAsia"/>
          <w:bCs/>
          <w:i/>
          <w:color w:val="000000" w:themeColor="text1"/>
          <w:szCs w:val="20"/>
        </w:rPr>
        <w:t xml:space="preserve"> million in 2022-23)</w:t>
      </w:r>
    </w:p>
    <w:p w14:paraId="6082E2A8" w14:textId="67B2F992" w:rsidR="000B50DA" w:rsidRDefault="000B50DA" w:rsidP="000B50DA">
      <w:pPr>
        <w:pStyle w:val="ListNumber"/>
        <w:numPr>
          <w:ilvl w:val="0"/>
          <w:numId w:val="0"/>
        </w:numPr>
      </w:pPr>
    </w:p>
    <w:p w14:paraId="40082313" w14:textId="251F6E36" w:rsidR="6FF35054" w:rsidRDefault="6FF35054" w:rsidP="003520E9">
      <w:pPr>
        <w:pStyle w:val="Heading2"/>
      </w:pPr>
      <w:bookmarkStart w:id="77" w:name="_Toc63685971"/>
      <w:r>
        <w:lastRenderedPageBreak/>
        <w:t>Abolish the Private Health Insurance Rebate</w:t>
      </w:r>
      <w:bookmarkEnd w:id="77"/>
    </w:p>
    <w:p w14:paraId="0EDFD89C" w14:textId="2888572D" w:rsidR="6FF35054" w:rsidRDefault="6FF35054" w:rsidP="7B33A330">
      <w:pPr>
        <w:spacing w:line="276" w:lineRule="auto"/>
        <w:rPr>
          <w:rFonts w:eastAsia="Verdana" w:cs="Verdana"/>
          <w:szCs w:val="20"/>
        </w:rPr>
      </w:pPr>
      <w:r w:rsidRPr="7B33A330">
        <w:rPr>
          <w:rFonts w:eastAsia="Verdana" w:cs="Verdana"/>
          <w:szCs w:val="20"/>
        </w:rPr>
        <w:t>Despite being a significant component of health expenditure, the Private Health Insurance Rebate (PHIR) has failed in its promise to take pressure off public hospitals by increasing use of private health insurance. Total savings of $6.3 billion from abolishing the rebate would be offset by a modest increase in demand for public hospital services.</w:t>
      </w:r>
      <w:r w:rsidRPr="7B33A330">
        <w:rPr>
          <w:rStyle w:val="FootnoteReference"/>
          <w:rFonts w:eastAsia="Verdana" w:cs="Verdana"/>
          <w:szCs w:val="20"/>
        </w:rPr>
        <w:footnoteReference w:id="53"/>
      </w:r>
    </w:p>
    <w:p w14:paraId="7D79BC1E" w14:textId="162F527C" w:rsidR="6FF35054" w:rsidRDefault="00F64995" w:rsidP="7B33A330">
      <w:pPr>
        <w:pStyle w:val="Recommendation"/>
        <w:rPr>
          <w:color w:val="000000" w:themeColor="text1"/>
        </w:rPr>
      </w:pPr>
      <w:r>
        <w:rPr>
          <w:color w:val="C00000"/>
        </w:rPr>
        <w:t xml:space="preserve">Recommendation </w:t>
      </w:r>
      <w:r w:rsidR="001C35E2">
        <w:rPr>
          <w:color w:val="C00000"/>
        </w:rPr>
        <w:t>4</w:t>
      </w:r>
      <w:r w:rsidR="0026289A">
        <w:rPr>
          <w:color w:val="C00000"/>
        </w:rPr>
        <w:t>6</w:t>
      </w:r>
      <w:r w:rsidR="007376C2">
        <w:rPr>
          <w:color w:val="C00000"/>
        </w:rPr>
        <w:t>:</w:t>
      </w:r>
      <w:r w:rsidR="6FF35054">
        <w:t xml:space="preserve"> </w:t>
      </w:r>
      <w:r w:rsidR="23C70DC7" w:rsidRPr="7B33A330">
        <w:rPr>
          <w:color w:val="auto"/>
        </w:rPr>
        <w:t>Abolish the Private Health Insurance Rebate which costs $6.4 billion per annum, and reinvest $2.3 billion in public hospitals.</w:t>
      </w:r>
    </w:p>
    <w:p w14:paraId="07783A31" w14:textId="61ED38AF" w:rsidR="7B33A330" w:rsidRDefault="7B33A330" w:rsidP="7B33A330">
      <w:pPr>
        <w:pStyle w:val="Recommendation"/>
        <w:rPr>
          <w:color w:val="000000" w:themeColor="text1"/>
        </w:rPr>
      </w:pPr>
    </w:p>
    <w:p w14:paraId="77727EAE" w14:textId="34C9E582" w:rsidR="6FF35054" w:rsidRDefault="6FF35054" w:rsidP="7B33A330">
      <w:pPr>
        <w:pStyle w:val="Recommendation"/>
      </w:pPr>
      <w:r w:rsidRPr="007376C2">
        <w:rPr>
          <w:color w:val="C00000"/>
        </w:rPr>
        <w:t>Budget impact:</w:t>
      </w:r>
      <w:r w:rsidRPr="007376C2">
        <w:rPr>
          <w:b w:val="0"/>
          <w:color w:val="C00000"/>
        </w:rPr>
        <w:t xml:space="preserve"> </w:t>
      </w:r>
      <w:r w:rsidRPr="00276D1C">
        <w:rPr>
          <w:rFonts w:eastAsiaTheme="minorEastAsia"/>
          <w:bCs/>
          <w:i/>
          <w:color w:val="000000" w:themeColor="text1"/>
          <w:szCs w:val="20"/>
        </w:rPr>
        <w:t>$</w:t>
      </w:r>
      <w:r w:rsidR="6033E24F" w:rsidRPr="00276D1C">
        <w:rPr>
          <w:rFonts w:eastAsiaTheme="minorEastAsia"/>
          <w:bCs/>
          <w:i/>
          <w:color w:val="000000" w:themeColor="text1"/>
          <w:szCs w:val="20"/>
        </w:rPr>
        <w:t>4,1</w:t>
      </w:r>
      <w:r w:rsidRPr="00276D1C">
        <w:rPr>
          <w:rFonts w:eastAsiaTheme="minorEastAsia"/>
          <w:bCs/>
          <w:i/>
          <w:color w:val="000000" w:themeColor="text1"/>
          <w:szCs w:val="20"/>
        </w:rPr>
        <w:t>00 million ($</w:t>
      </w:r>
      <w:r w:rsidR="2B9DBF23" w:rsidRPr="00276D1C">
        <w:rPr>
          <w:rFonts w:eastAsiaTheme="minorEastAsia"/>
          <w:bCs/>
          <w:i/>
          <w:color w:val="000000" w:themeColor="text1"/>
          <w:szCs w:val="20"/>
        </w:rPr>
        <w:t>4,2</w:t>
      </w:r>
      <w:r w:rsidRPr="00276D1C">
        <w:rPr>
          <w:rFonts w:eastAsiaTheme="minorEastAsia"/>
          <w:bCs/>
          <w:i/>
          <w:color w:val="000000" w:themeColor="text1"/>
          <w:szCs w:val="20"/>
        </w:rPr>
        <w:t>00 million in 2022-23)</w:t>
      </w:r>
    </w:p>
    <w:p w14:paraId="3C5FC5B5" w14:textId="2BE56046" w:rsidR="000B50DA" w:rsidRDefault="000B50DA" w:rsidP="000B50DA">
      <w:pPr>
        <w:pStyle w:val="ListNumber"/>
        <w:numPr>
          <w:ilvl w:val="0"/>
          <w:numId w:val="0"/>
        </w:numPr>
      </w:pPr>
    </w:p>
    <w:p w14:paraId="7962BFB0" w14:textId="19A9E2E4" w:rsidR="3677A23E" w:rsidRDefault="3677A23E" w:rsidP="003520E9">
      <w:pPr>
        <w:pStyle w:val="Heading2"/>
      </w:pPr>
      <w:bookmarkStart w:id="78" w:name="_Toc63685972"/>
      <w:r>
        <w:t>Abolish the Extended Medicare Safety Net</w:t>
      </w:r>
      <w:bookmarkEnd w:id="78"/>
    </w:p>
    <w:p w14:paraId="3F060CDE" w14:textId="77777777" w:rsidR="00276D1C" w:rsidRDefault="3677A23E" w:rsidP="7B33A330">
      <w:pPr>
        <w:spacing w:line="276" w:lineRule="auto"/>
        <w:rPr>
          <w:rFonts w:eastAsia="Verdana" w:cs="Verdana"/>
          <w:color w:val="auto"/>
          <w:szCs w:val="20"/>
        </w:rPr>
      </w:pPr>
      <w:r w:rsidRPr="7B33A330">
        <w:rPr>
          <w:rFonts w:eastAsia="Verdana" w:cs="Verdana"/>
          <w:color w:val="auto"/>
          <w:szCs w:val="20"/>
        </w:rPr>
        <w:t>Poorly designed consumer subsidies such as the Extended Medicare Safety Net (EMSN) exacerbate inflation in health costs. An independent review of that program found that less than 4 per cent of EMSN benefits go to the most socioeconomically disadvantaged 20 per cent of the population. This is because they struggle to afford the gap fees that enable the</w:t>
      </w:r>
      <w:r w:rsidR="00F55E3B">
        <w:rPr>
          <w:rFonts w:eastAsia="Verdana" w:cs="Verdana"/>
          <w:color w:val="auto"/>
          <w:szCs w:val="20"/>
        </w:rPr>
        <w:t>m to reach the EMSN thresholds.</w:t>
      </w:r>
      <w:r w:rsidRPr="7B33A330">
        <w:rPr>
          <w:rStyle w:val="FootnoteReference"/>
          <w:rFonts w:eastAsia="Verdana" w:cs="Verdana"/>
          <w:color w:val="auto"/>
          <w:szCs w:val="20"/>
        </w:rPr>
        <w:footnoteReference w:id="54"/>
      </w:r>
      <w:r w:rsidR="00F55E3B">
        <w:rPr>
          <w:rFonts w:eastAsia="Verdana" w:cs="Verdana"/>
          <w:color w:val="auto"/>
          <w:szCs w:val="20"/>
        </w:rPr>
        <w:t xml:space="preserve"> </w:t>
      </w:r>
    </w:p>
    <w:p w14:paraId="16248720" w14:textId="662884D3" w:rsidR="3677A23E" w:rsidRDefault="3677A23E" w:rsidP="7B33A330">
      <w:pPr>
        <w:spacing w:line="276" w:lineRule="auto"/>
      </w:pPr>
      <w:r w:rsidRPr="7B33A330">
        <w:rPr>
          <w:rFonts w:eastAsia="Verdana" w:cs="Verdana"/>
          <w:color w:val="auto"/>
          <w:szCs w:val="20"/>
        </w:rPr>
        <w:t>While EMSN benefit caps were set on all consultations as part of the 2012-13 budget, ACOSS is concerned by the lack of public data to assess whether this has reduced the costs (or reduced growth in costs) of specialist and allied health services and led to a more equitable distribution of EMSN benefits across the income distribution. More fundamental reform is needed, including greater transparency for consumers on the outpatient fees charged by specialists and out-of-pocket costs to patients.</w:t>
      </w:r>
    </w:p>
    <w:p w14:paraId="76E7B929" w14:textId="220AB9EC" w:rsidR="3677A23E" w:rsidRDefault="007376C2" w:rsidP="7B33A330">
      <w:pPr>
        <w:pStyle w:val="Recommendation"/>
        <w:rPr>
          <w:color w:val="auto"/>
        </w:rPr>
      </w:pPr>
      <w:r>
        <w:rPr>
          <w:color w:val="C00000"/>
        </w:rPr>
        <w:t>Recomme</w:t>
      </w:r>
      <w:r w:rsidR="00F64995">
        <w:rPr>
          <w:color w:val="C00000"/>
        </w:rPr>
        <w:t xml:space="preserve">ndation </w:t>
      </w:r>
      <w:r w:rsidR="001C35E2">
        <w:rPr>
          <w:color w:val="C00000"/>
        </w:rPr>
        <w:t>4</w:t>
      </w:r>
      <w:r w:rsidR="0026289A">
        <w:rPr>
          <w:color w:val="C00000"/>
        </w:rPr>
        <w:t>7</w:t>
      </w:r>
      <w:r>
        <w:rPr>
          <w:color w:val="C00000"/>
        </w:rPr>
        <w:t>:</w:t>
      </w:r>
      <w:r w:rsidR="3677A23E">
        <w:t xml:space="preserve"> </w:t>
      </w:r>
      <w:r w:rsidR="3677A23E" w:rsidRPr="7B33A330">
        <w:rPr>
          <w:color w:val="auto"/>
        </w:rPr>
        <w:t>A</w:t>
      </w:r>
      <w:r w:rsidR="3651A89A" w:rsidRPr="7B33A330">
        <w:rPr>
          <w:color w:val="auto"/>
        </w:rPr>
        <w:t>bolish the Extended Medicare Safety Net, which costs $500 million a year and is driving up medical costs.</w:t>
      </w:r>
    </w:p>
    <w:p w14:paraId="6B914920" w14:textId="2BE56046" w:rsidR="7B33A330" w:rsidRDefault="7B33A330" w:rsidP="7B33A330">
      <w:pPr>
        <w:pStyle w:val="Recommendation"/>
        <w:rPr>
          <w:color w:val="000000" w:themeColor="text1"/>
        </w:rPr>
      </w:pPr>
    </w:p>
    <w:p w14:paraId="7C663F2A" w14:textId="2179AEB5" w:rsidR="3677A23E" w:rsidRDefault="3677A23E" w:rsidP="7B33A330">
      <w:pPr>
        <w:pStyle w:val="Recommendation"/>
        <w:rPr>
          <w:rFonts w:eastAsiaTheme="minorEastAsia"/>
          <w:bCs/>
          <w:color w:val="000000" w:themeColor="text1"/>
          <w:szCs w:val="20"/>
        </w:rPr>
      </w:pPr>
      <w:r w:rsidRPr="007376C2">
        <w:rPr>
          <w:color w:val="C00000"/>
        </w:rPr>
        <w:t>Budget impact:</w:t>
      </w:r>
      <w:r w:rsidRPr="007376C2">
        <w:rPr>
          <w:b w:val="0"/>
          <w:color w:val="C00000"/>
        </w:rPr>
        <w:t xml:space="preserve"> </w:t>
      </w:r>
      <w:r w:rsidRPr="00276D1C">
        <w:rPr>
          <w:rFonts w:eastAsiaTheme="minorEastAsia"/>
          <w:bCs/>
          <w:i/>
          <w:color w:val="000000" w:themeColor="text1"/>
          <w:szCs w:val="20"/>
        </w:rPr>
        <w:t>$</w:t>
      </w:r>
      <w:r w:rsidR="6CF67C37" w:rsidRPr="00276D1C">
        <w:rPr>
          <w:rFonts w:eastAsiaTheme="minorEastAsia"/>
          <w:bCs/>
          <w:i/>
          <w:color w:val="000000" w:themeColor="text1"/>
          <w:szCs w:val="20"/>
        </w:rPr>
        <w:t>5</w:t>
      </w:r>
      <w:r w:rsidRPr="00276D1C">
        <w:rPr>
          <w:rFonts w:eastAsiaTheme="minorEastAsia"/>
          <w:bCs/>
          <w:i/>
          <w:color w:val="000000" w:themeColor="text1"/>
          <w:szCs w:val="20"/>
        </w:rPr>
        <w:t>00 million ($</w:t>
      </w:r>
      <w:r w:rsidR="398525C2" w:rsidRPr="00276D1C">
        <w:rPr>
          <w:rFonts w:eastAsiaTheme="minorEastAsia"/>
          <w:bCs/>
          <w:i/>
          <w:color w:val="000000" w:themeColor="text1"/>
          <w:szCs w:val="20"/>
        </w:rPr>
        <w:t>511</w:t>
      </w:r>
      <w:r w:rsidRPr="00276D1C">
        <w:rPr>
          <w:rFonts w:eastAsiaTheme="minorEastAsia"/>
          <w:bCs/>
          <w:i/>
          <w:color w:val="000000" w:themeColor="text1"/>
          <w:szCs w:val="20"/>
        </w:rPr>
        <w:t xml:space="preserve"> million in 2022-23)</w:t>
      </w:r>
    </w:p>
    <w:p w14:paraId="3F913869" w14:textId="2BC5477D" w:rsidR="7B33A330" w:rsidRDefault="7B33A330" w:rsidP="7B33A330">
      <w:pPr>
        <w:pStyle w:val="ListNumber"/>
        <w:numPr>
          <w:ilvl w:val="0"/>
          <w:numId w:val="0"/>
        </w:numPr>
      </w:pPr>
    </w:p>
    <w:p w14:paraId="191F938F" w14:textId="48D10692" w:rsidR="0D791541" w:rsidRDefault="0D791541" w:rsidP="003520E9">
      <w:pPr>
        <w:pStyle w:val="Heading2"/>
      </w:pPr>
      <w:bookmarkStart w:id="79" w:name="_Toc63685973"/>
      <w:r>
        <w:lastRenderedPageBreak/>
        <w:t>Reducing harms from overuse of alcohol and sugary drinks</w:t>
      </w:r>
      <w:bookmarkEnd w:id="79"/>
      <w:r>
        <w:t xml:space="preserve"> </w:t>
      </w:r>
    </w:p>
    <w:p w14:paraId="2DE8C384" w14:textId="181C4432" w:rsidR="0D791541" w:rsidRDefault="0D791541" w:rsidP="7B33A330">
      <w:pPr>
        <w:spacing w:line="276" w:lineRule="auto"/>
        <w:rPr>
          <w:rFonts w:eastAsia="Verdana" w:cs="Verdana"/>
          <w:color w:val="auto"/>
          <w:szCs w:val="20"/>
        </w:rPr>
      </w:pPr>
      <w:r w:rsidRPr="7B33A330">
        <w:rPr>
          <w:rFonts w:eastAsia="Verdana" w:cs="Verdana"/>
          <w:color w:val="auto"/>
          <w:szCs w:val="20"/>
        </w:rPr>
        <w:t>Excessive sugar consumption is a major reason that almost two-thirds of Australian residents are overweight or obese; one of the highest rates in the OECD. Sharp increases in the incidence of overweight and obesity (especially among children) over the last few decades are associated with growth in chronic illness such as diabetes</w:t>
      </w:r>
      <w:r w:rsidR="0001160E">
        <w:rPr>
          <w:rFonts w:eastAsia="Verdana" w:cs="Verdana"/>
          <w:color w:val="auto"/>
          <w:szCs w:val="20"/>
        </w:rPr>
        <w:t>.</w:t>
      </w:r>
      <w:r w:rsidRPr="7B33A330">
        <w:rPr>
          <w:rStyle w:val="FootnoteReference"/>
          <w:rFonts w:eastAsia="Verdana" w:cs="Verdana"/>
          <w:color w:val="auto"/>
          <w:szCs w:val="20"/>
        </w:rPr>
        <w:footnoteReference w:id="55"/>
      </w:r>
      <w:r w:rsidRPr="7B33A330">
        <w:rPr>
          <w:rFonts w:eastAsia="Verdana" w:cs="Verdana"/>
          <w:color w:val="auto"/>
          <w:szCs w:val="20"/>
        </w:rPr>
        <w:t xml:space="preserve"> It is also very harmful to teeth, especially for children.</w:t>
      </w:r>
    </w:p>
    <w:p w14:paraId="006A338C" w14:textId="60C6C66F" w:rsidR="0D791541" w:rsidRDefault="0D791541" w:rsidP="7B33A330">
      <w:pPr>
        <w:spacing w:line="276" w:lineRule="auto"/>
        <w:rPr>
          <w:rFonts w:eastAsia="Verdana" w:cs="Verdana"/>
          <w:color w:val="auto"/>
          <w:szCs w:val="20"/>
          <w:vertAlign w:val="superscript"/>
        </w:rPr>
      </w:pPr>
      <w:r w:rsidRPr="7B33A330">
        <w:rPr>
          <w:rFonts w:eastAsia="Verdana" w:cs="Verdana"/>
          <w:color w:val="auto"/>
          <w:szCs w:val="20"/>
        </w:rPr>
        <w:t>In</w:t>
      </w:r>
      <w:r w:rsidR="1201F386" w:rsidRPr="7B33A330">
        <w:rPr>
          <w:rFonts w:eastAsia="Verdana" w:cs="Verdana"/>
          <w:color w:val="auto"/>
          <w:szCs w:val="20"/>
        </w:rPr>
        <w:t xml:space="preserve"> Chapter 10, </w:t>
      </w:r>
      <w:r w:rsidRPr="7B33A330">
        <w:rPr>
          <w:rFonts w:eastAsia="Verdana" w:cs="Verdana"/>
          <w:color w:val="auto"/>
          <w:szCs w:val="20"/>
        </w:rPr>
        <w:t>we recommend that a ‘sugar tax’ be introduced on certain sweetened drinks to address social, health and economic costs of over-consumption of sugar. This should be part of a wider strategy including regulatory reform (to restrict advertising targeting children, improve the transparency of labelling of food and beverages, and restrict the financing of sporting and similar activities by producers), and health promotion campaigns.</w:t>
      </w:r>
      <w:r w:rsidRPr="7B33A330">
        <w:rPr>
          <w:rStyle w:val="FootnoteReference"/>
          <w:rFonts w:eastAsia="Verdana" w:cs="Verdana"/>
          <w:color w:val="auto"/>
          <w:szCs w:val="20"/>
        </w:rPr>
        <w:footnoteReference w:id="56"/>
      </w:r>
    </w:p>
    <w:p w14:paraId="3B7C8D3C" w14:textId="77777777" w:rsidR="00276D1C" w:rsidRDefault="0D791541" w:rsidP="7B33A330">
      <w:pPr>
        <w:spacing w:line="276" w:lineRule="auto"/>
        <w:rPr>
          <w:rFonts w:eastAsia="Verdana" w:cs="Verdana"/>
          <w:color w:val="auto"/>
          <w:szCs w:val="20"/>
        </w:rPr>
      </w:pPr>
      <w:r w:rsidRPr="7B33A330">
        <w:rPr>
          <w:rFonts w:eastAsia="Verdana" w:cs="Verdana"/>
          <w:color w:val="auto"/>
          <w:szCs w:val="20"/>
        </w:rPr>
        <w:t xml:space="preserve">Overall alcohol consumption has fallen in Australia. </w:t>
      </w:r>
    </w:p>
    <w:p w14:paraId="58BD3039" w14:textId="344316EE" w:rsidR="0D791541" w:rsidRDefault="0D791541" w:rsidP="7B33A330">
      <w:pPr>
        <w:spacing w:line="276" w:lineRule="auto"/>
        <w:rPr>
          <w:rFonts w:eastAsia="Verdana" w:cs="Verdana"/>
          <w:color w:val="auto"/>
          <w:szCs w:val="20"/>
        </w:rPr>
      </w:pPr>
      <w:r w:rsidRPr="7B33A330">
        <w:rPr>
          <w:rFonts w:eastAsia="Verdana" w:cs="Verdana"/>
          <w:color w:val="auto"/>
          <w:szCs w:val="20"/>
        </w:rPr>
        <w:t>However, there has been persistent growth in consumption of wine, and growing concern about the impact of excessive consumption of cheap wines on drinkers, their families and communities, especially its contribution to family violence.</w:t>
      </w:r>
    </w:p>
    <w:p w14:paraId="17C93248" w14:textId="255857DA" w:rsidR="0D791541" w:rsidRDefault="0D791541" w:rsidP="7B33A330">
      <w:pPr>
        <w:spacing w:line="276" w:lineRule="auto"/>
        <w:rPr>
          <w:rFonts w:eastAsia="Verdana" w:cs="Verdana"/>
          <w:color w:val="auto"/>
          <w:szCs w:val="20"/>
        </w:rPr>
      </w:pPr>
      <w:r w:rsidRPr="7B33A330">
        <w:rPr>
          <w:rFonts w:eastAsia="Verdana" w:cs="Verdana"/>
          <w:color w:val="auto"/>
          <w:szCs w:val="20"/>
        </w:rPr>
        <w:t xml:space="preserve">In the same chapter we recommend that alcohol taxes be reformed to reduce the incidence of binge drinking and associated social harms. </w:t>
      </w:r>
    </w:p>
    <w:p w14:paraId="2178A95F" w14:textId="397D4874" w:rsidR="0D791541" w:rsidRDefault="0D791541" w:rsidP="7B33A330">
      <w:pPr>
        <w:spacing w:line="276" w:lineRule="auto"/>
        <w:rPr>
          <w:rFonts w:eastAsia="Verdana" w:cs="Verdana"/>
          <w:color w:val="auto"/>
          <w:szCs w:val="20"/>
        </w:rPr>
      </w:pPr>
      <w:r w:rsidRPr="7B33A330">
        <w:rPr>
          <w:rFonts w:eastAsia="Verdana" w:cs="Verdana"/>
          <w:color w:val="auto"/>
          <w:szCs w:val="20"/>
        </w:rPr>
        <w:t xml:space="preserve">While such taxes on consumption are generally regressive, the above reforms would improve the health and wellbeing of low-income families and children. </w:t>
      </w:r>
    </w:p>
    <w:p w14:paraId="08368B2F" w14:textId="2FDF37D1" w:rsidR="00276D1C" w:rsidRDefault="0D791541" w:rsidP="00524C81">
      <w:r>
        <w:br/>
      </w:r>
      <w:r>
        <w:br/>
      </w:r>
    </w:p>
    <w:p w14:paraId="216D23C5" w14:textId="77777777" w:rsidR="00276D1C" w:rsidRDefault="00276D1C">
      <w:r>
        <w:br w:type="page"/>
      </w:r>
    </w:p>
    <w:p w14:paraId="3FA4A867" w14:textId="0E2DA5DA" w:rsidR="00374E9D" w:rsidRDefault="00FF6FCE" w:rsidP="00374E9D">
      <w:pPr>
        <w:pStyle w:val="Heading1"/>
      </w:pPr>
      <w:r>
        <w:lastRenderedPageBreak/>
        <w:t xml:space="preserve"> </w:t>
      </w:r>
      <w:bookmarkStart w:id="80" w:name="_Toc63685974"/>
      <w:r w:rsidR="00374E9D">
        <w:t>Aboriginal and Torres Strait Islander communities</w:t>
      </w:r>
      <w:bookmarkEnd w:id="80"/>
    </w:p>
    <w:p w14:paraId="2ADD3CCE" w14:textId="779B4444" w:rsidR="00374E9D" w:rsidRDefault="00977074" w:rsidP="000C6B7B">
      <w:pPr>
        <w:pStyle w:val="Heading2"/>
        <w:numPr>
          <w:ilvl w:val="0"/>
          <w:numId w:val="0"/>
        </w:numPr>
        <w:ind w:left="1276" w:hanging="916"/>
      </w:pPr>
      <w:bookmarkStart w:id="81" w:name="_Toc63685975"/>
      <w:r>
        <w:t>Summary</w:t>
      </w:r>
      <w:bookmarkEnd w:id="81"/>
    </w:p>
    <w:p w14:paraId="33BE278B" w14:textId="5DEFD6CA" w:rsidR="00374E9D" w:rsidRPr="00504429" w:rsidRDefault="00374E9D" w:rsidP="00374E9D">
      <w:pPr>
        <w:pStyle w:val="ListParagraph"/>
        <w:rPr>
          <w:rFonts w:asciiTheme="minorHAnsi" w:eastAsiaTheme="minorEastAsia" w:hAnsiTheme="minorHAnsi"/>
        </w:rPr>
      </w:pPr>
      <w:r w:rsidRPr="00504429">
        <w:t xml:space="preserve">If </w:t>
      </w:r>
      <w:r w:rsidR="001C35E2">
        <w:t>g</w:t>
      </w:r>
      <w:r w:rsidRPr="00504429">
        <w:t xml:space="preserve">overnments are serious about improving outcomes for Aboriginal and Torres Strait Islander people, they must support local, community driven solutions. The recommendations in this submission are designed to support community-led reform. </w:t>
      </w:r>
    </w:p>
    <w:p w14:paraId="20FFDA89" w14:textId="77777777" w:rsidR="00374E9D" w:rsidRPr="00504429" w:rsidRDefault="00374E9D" w:rsidP="00374E9D">
      <w:pPr>
        <w:pStyle w:val="ListParagraph"/>
      </w:pPr>
      <w:r w:rsidRPr="00504429">
        <w:t>ACOSS strongly supports the ‘</w:t>
      </w:r>
      <w:bookmarkStart w:id="82" w:name="_GoBack"/>
      <w:r w:rsidRPr="00504429">
        <w:t>Uluru</w:t>
      </w:r>
      <w:bookmarkEnd w:id="82"/>
      <w:r w:rsidRPr="00504429">
        <w:t xml:space="preserve"> Statement from the Heart’ to give Aboriginal and Torres Strait Islander people a say in the decisions that affect their lives. This will help ensure that we do things differently and more productively, and allow Aboriginal and Torres Strait Islander people to claim their rightful place in the nation.</w:t>
      </w:r>
    </w:p>
    <w:p w14:paraId="126F87D9" w14:textId="77777777" w:rsidR="00374E9D" w:rsidRDefault="00374E9D" w:rsidP="00374E9D">
      <w:pPr>
        <w:pStyle w:val="List3"/>
      </w:pPr>
    </w:p>
    <w:p w14:paraId="5BBB4DA6" w14:textId="3CC75592" w:rsidR="00374E9D" w:rsidRDefault="00374E9D" w:rsidP="003520E9">
      <w:pPr>
        <w:pStyle w:val="Heading2"/>
      </w:pPr>
      <w:bookmarkStart w:id="83" w:name="_Toc63685976"/>
      <w:r>
        <w:t>Introduction</w:t>
      </w:r>
      <w:bookmarkEnd w:id="83"/>
    </w:p>
    <w:p w14:paraId="3B9EAD86" w14:textId="77777777" w:rsidR="00374E9D" w:rsidRDefault="00374E9D" w:rsidP="00374E9D">
      <w:r>
        <w:t xml:space="preserve">Governments must support local, community driven solutions if they are serious about improving outcomes for Aboriginal and Torres Strait Islander people. Building capacity in communities is critical to improve the quality of life and wellbeing. ACOSS strongly supports the ‘Uluru Statement from the Heart’ and rejects the government’s refusal to engage with Aboriginal and Torres Strait Islander people in their united plea to have a voice to Parliament. Giving Aboriginal and Torres Strait Islander people a say in the decisions that affect their lives will help ensure that we do things differently and more productively, and allow Aboriginal and Torres Strait Islander people to claim their rightful place in the nation. </w:t>
      </w:r>
    </w:p>
    <w:p w14:paraId="5173CDD0" w14:textId="77777777" w:rsidR="00374E9D" w:rsidRDefault="00374E9D" w:rsidP="00374E9D">
      <w:r>
        <w:t>The following recommendations (which are featured elsewhere in the submission) are priorities for reform with respect to policies, programs and services that affect Aboriginal and Torres Strait Islander people:</w:t>
      </w:r>
    </w:p>
    <w:p w14:paraId="62AB8020" w14:textId="560592FC" w:rsidR="00374E9D" w:rsidRDefault="00374E9D" w:rsidP="00F13F51">
      <w:pPr>
        <w:pStyle w:val="ListParagraph"/>
        <w:numPr>
          <w:ilvl w:val="1"/>
          <w:numId w:val="30"/>
        </w:numPr>
        <w:ind w:left="381"/>
      </w:pPr>
      <w:r>
        <w:t>Provide core funding for the institutional capacity of Aboriginal and Torres Strait Islander representation in policy making and national decision-making (see Chapter 6 Improving access and affordability of essential community services).</w:t>
      </w:r>
    </w:p>
    <w:p w14:paraId="685F241D" w14:textId="6E199E85" w:rsidR="00374E9D" w:rsidRDefault="00374E9D" w:rsidP="00F13F51">
      <w:pPr>
        <w:pStyle w:val="ListParagraph"/>
        <w:numPr>
          <w:ilvl w:val="1"/>
          <w:numId w:val="30"/>
        </w:numPr>
        <w:ind w:left="381"/>
      </w:pPr>
      <w:r>
        <w:t>Ensure Aboriginal and Torres Strait Islander children get access to high quality early education that is culturally safe, delivered by appropriately skilled teachers (see Chapter 6 Improving access and affordability of essential community services).</w:t>
      </w:r>
    </w:p>
    <w:p w14:paraId="24F95A3B" w14:textId="5FC2CA66" w:rsidR="00374E9D" w:rsidRDefault="00374E9D" w:rsidP="00F13F51">
      <w:pPr>
        <w:pStyle w:val="ListParagraph"/>
        <w:numPr>
          <w:ilvl w:val="1"/>
          <w:numId w:val="30"/>
        </w:numPr>
        <w:ind w:left="381"/>
      </w:pPr>
      <w:r>
        <w:t>Abolish compulsory income management and the cashless debit</w:t>
      </w:r>
      <w:r w:rsidR="00BE354F">
        <w:t xml:space="preserve"> card</w:t>
      </w:r>
      <w:r>
        <w:t xml:space="preserve"> in all states and territories, putting in place both transition arrangements for individuals and communities wishing to retain voluntary income management and cashless card schemes; and opt-in schemes which have been co-designed with communities and to include supports and services as elected by communities, which could include financial counselling, drug and alcohol services, mental health and social support services (see Chapter 2 A permanent boost to the lowest incomes).</w:t>
      </w:r>
    </w:p>
    <w:p w14:paraId="6F054B46" w14:textId="1E6A76D5" w:rsidR="00374E9D" w:rsidRDefault="00374E9D" w:rsidP="00F13F51">
      <w:pPr>
        <w:pStyle w:val="ListParagraph"/>
        <w:numPr>
          <w:ilvl w:val="1"/>
          <w:numId w:val="30"/>
        </w:numPr>
        <w:ind w:left="381"/>
      </w:pPr>
      <w:r>
        <w:t>Replace the Community Development Program with a new employment services scheme for people in remote Aboriginal and Torres Strait Islander communities along the lines of the Remote Development and Employment Scheme proposed by APO NT, ensuring the new scheme maintains entitlements to social security payments and does not discriminate against participants (see Chapter 3: Restoring jobs for people out of paid work).</w:t>
      </w:r>
    </w:p>
    <w:p w14:paraId="3925A136" w14:textId="21158A41" w:rsidR="00374E9D" w:rsidRPr="00945D9C" w:rsidRDefault="00374E9D" w:rsidP="00F13F51">
      <w:pPr>
        <w:pStyle w:val="ListParagraph"/>
        <w:numPr>
          <w:ilvl w:val="1"/>
          <w:numId w:val="30"/>
        </w:numPr>
        <w:ind w:left="381"/>
      </w:pPr>
      <w:r>
        <w:lastRenderedPageBreak/>
        <w:t xml:space="preserve">Develop </w:t>
      </w:r>
      <w:r w:rsidRPr="008507A3">
        <w:t xml:space="preserve">a new national Aboriginal and Torres Strait Islander housing strategy for urban, rural, regional and remote areas, and a new remote housing agreement (see Chapter </w:t>
      </w:r>
      <w:r w:rsidR="00675C6B" w:rsidRPr="00945D9C">
        <w:t>5</w:t>
      </w:r>
      <w:r w:rsidRPr="00945D9C">
        <w:t>: Make access to housing affordable for people with low incomes).</w:t>
      </w:r>
    </w:p>
    <w:p w14:paraId="73A653EE" w14:textId="7609CABF" w:rsidR="00374E9D" w:rsidRPr="00945D9C" w:rsidRDefault="00374E9D" w:rsidP="00F13F51">
      <w:pPr>
        <w:pStyle w:val="ListParagraph"/>
        <w:numPr>
          <w:ilvl w:val="1"/>
          <w:numId w:val="30"/>
        </w:numPr>
        <w:ind w:left="381"/>
      </w:pPr>
      <w:r w:rsidRPr="00945D9C">
        <w:t>Establish an Aboriginal and Torres Strait Islander Communities Clean Energy Fund to invest in clean energy and energy efficiency for remote communities, including solar and other subsidies for Aboriginal and Torres Strait Islander householders (see Chapter 4: Accelerate a just climate transition and strengthen community climate resilience).</w:t>
      </w:r>
    </w:p>
    <w:p w14:paraId="14DA96E0" w14:textId="0F70FD78" w:rsidR="008C156F" w:rsidRPr="00945D9C" w:rsidRDefault="005D62C3" w:rsidP="008C156F">
      <w:pPr>
        <w:pStyle w:val="List3"/>
        <w:numPr>
          <w:ilvl w:val="0"/>
          <w:numId w:val="52"/>
        </w:numPr>
        <w:rPr>
          <w:szCs w:val="20"/>
        </w:rPr>
      </w:pPr>
      <w:r w:rsidRPr="00EF656B">
        <w:rPr>
          <w:szCs w:val="20"/>
        </w:rPr>
        <w:t xml:space="preserve">Support </w:t>
      </w:r>
      <w:r w:rsidRPr="00EF656B">
        <w:rPr>
          <w:rFonts w:eastAsia="Verdana" w:cs="Verdana"/>
          <w:szCs w:val="20"/>
        </w:rPr>
        <w:t>Aboriginal and Torres Strait Islander peoples and communities to participate in whole-of c</w:t>
      </w:r>
      <w:r w:rsidRPr="008507A3">
        <w:rPr>
          <w:rFonts w:eastAsia="Verdana" w:cs="Verdana"/>
          <w:bCs/>
          <w:color w:val="auto"/>
          <w:szCs w:val="20"/>
        </w:rPr>
        <w:t>ommunity response to building climate resilience and to better prepare for, respond and recover from natural disasters that build on traditional and local knowledge Support (</w:t>
      </w:r>
      <w:r w:rsidRPr="008507A3">
        <w:rPr>
          <w:szCs w:val="20"/>
        </w:rPr>
        <w:t>see Chapter 4: Accelerate a just climate transition and strengthen community climate resilience)</w:t>
      </w:r>
      <w:r w:rsidR="0001160E">
        <w:rPr>
          <w:szCs w:val="20"/>
        </w:rPr>
        <w:t>.</w:t>
      </w:r>
    </w:p>
    <w:p w14:paraId="0386F551" w14:textId="20DAD848" w:rsidR="002227D8" w:rsidRPr="00945D9C" w:rsidRDefault="00374E9D" w:rsidP="008C156F">
      <w:pPr>
        <w:pStyle w:val="List3"/>
        <w:numPr>
          <w:ilvl w:val="0"/>
          <w:numId w:val="52"/>
        </w:numPr>
        <w:rPr>
          <w:szCs w:val="20"/>
        </w:rPr>
      </w:pPr>
      <w:r w:rsidRPr="00945D9C">
        <w:rPr>
          <w:szCs w:val="20"/>
        </w:rPr>
        <w:t>Fund a fresh food transport subsidy for remote communities from the revenue raised via a sugar tax (see Chapter 10: A fairer tax system that supports economic development).</w:t>
      </w:r>
    </w:p>
    <w:p w14:paraId="3CB48B1A" w14:textId="466AE706" w:rsidR="095B6043" w:rsidRDefault="002227D8" w:rsidP="004C47B2">
      <w:pPr>
        <w:pStyle w:val="Heading1"/>
      </w:pPr>
      <w:r>
        <w:br w:type="column"/>
      </w:r>
      <w:r w:rsidR="00FF6FCE">
        <w:lastRenderedPageBreak/>
        <w:t xml:space="preserve"> </w:t>
      </w:r>
      <w:bookmarkStart w:id="84" w:name="_Toc63685977"/>
      <w:r w:rsidR="095B6043">
        <w:t>Decent re</w:t>
      </w:r>
      <w:r w:rsidR="30B1BE2D">
        <w:t>tirement incomes and services</w:t>
      </w:r>
      <w:bookmarkEnd w:id="84"/>
      <w:r w:rsidR="30B1BE2D">
        <w:t xml:space="preserve"> </w:t>
      </w:r>
    </w:p>
    <w:p w14:paraId="2CC18D25" w14:textId="2D9D7526" w:rsidR="30B1BE2D" w:rsidRPr="003A57DB" w:rsidRDefault="00977074" w:rsidP="000C6B7B">
      <w:pPr>
        <w:pStyle w:val="Heading2"/>
        <w:numPr>
          <w:ilvl w:val="0"/>
          <w:numId w:val="0"/>
        </w:numPr>
        <w:ind w:left="1276" w:hanging="916"/>
      </w:pPr>
      <w:bookmarkStart w:id="85" w:name="_Toc63685978"/>
      <w:r w:rsidRPr="003A57DB">
        <w:t>Summary</w:t>
      </w:r>
      <w:bookmarkEnd w:id="85"/>
    </w:p>
    <w:p w14:paraId="4D588311" w14:textId="737DBDDF" w:rsidR="1C3DEC72" w:rsidRDefault="1C3DEC72" w:rsidP="00F13F51">
      <w:pPr>
        <w:pStyle w:val="List3"/>
        <w:numPr>
          <w:ilvl w:val="0"/>
          <w:numId w:val="10"/>
        </w:numPr>
        <w:rPr>
          <w:rFonts w:asciiTheme="minorHAnsi" w:eastAsiaTheme="minorEastAsia" w:hAnsiTheme="minorHAnsi"/>
          <w:szCs w:val="20"/>
        </w:rPr>
      </w:pPr>
      <w:r>
        <w:t xml:space="preserve">In its response to the </w:t>
      </w:r>
      <w:r w:rsidRPr="7B33A330">
        <w:rPr>
          <w:rFonts w:eastAsia="Verdana" w:cs="Verdana"/>
          <w:sz w:val="19"/>
          <w:szCs w:val="19"/>
        </w:rPr>
        <w:t>Retirement Income</w:t>
      </w:r>
      <w:r w:rsidRPr="7B33A330">
        <w:t xml:space="preserve"> Review, the government should give t</w:t>
      </w:r>
      <w:r w:rsidR="137142CE">
        <w:t>he</w:t>
      </w:r>
      <w:r w:rsidR="19618719">
        <w:t xml:space="preserve"> highest priority to reducing </w:t>
      </w:r>
      <w:r w:rsidR="36F271CE">
        <w:t xml:space="preserve">the </w:t>
      </w:r>
      <w:r w:rsidR="5E07CFEA">
        <w:t>most severe</w:t>
      </w:r>
      <w:r w:rsidR="36F271CE">
        <w:t xml:space="preserve"> </w:t>
      </w:r>
      <w:r w:rsidR="19618719">
        <w:t>poverty</w:t>
      </w:r>
      <w:r w:rsidR="642472FB">
        <w:t xml:space="preserve"> among older people</w:t>
      </w:r>
      <w:r w:rsidR="19618719">
        <w:t xml:space="preserve">, which is experienced by people renting privately and those relying on </w:t>
      </w:r>
      <w:r w:rsidR="00A618BF">
        <w:t>JobSeeker</w:t>
      </w:r>
      <w:r w:rsidR="039C835B">
        <w:t xml:space="preserve"> Payment</w:t>
      </w:r>
      <w:r w:rsidR="0D42408D">
        <w:t xml:space="preserve"> (which should be increased for people of all ages – see Chapter 2: </w:t>
      </w:r>
      <w:r w:rsidR="00802708">
        <w:t>A permanent boost to the lowest incomes</w:t>
      </w:r>
      <w:r w:rsidR="0D42408D">
        <w:t>)</w:t>
      </w:r>
      <w:r w:rsidR="039C835B">
        <w:t>.</w:t>
      </w:r>
    </w:p>
    <w:p w14:paraId="7DB0A015" w14:textId="6A46B17E" w:rsidR="19618719" w:rsidRDefault="19618719" w:rsidP="00F13F51">
      <w:pPr>
        <w:pStyle w:val="List3"/>
        <w:numPr>
          <w:ilvl w:val="0"/>
          <w:numId w:val="10"/>
        </w:numPr>
        <w:rPr>
          <w:rFonts w:asciiTheme="minorHAnsi" w:eastAsiaTheme="minorEastAsia" w:hAnsiTheme="minorHAnsi"/>
          <w:szCs w:val="20"/>
        </w:rPr>
      </w:pPr>
      <w:r>
        <w:t>Pensions should continue to be targeted towards people at risk of poverty and any easing of income or assets tests should as far as possible be cost-neutral</w:t>
      </w:r>
      <w:r w:rsidR="03CBD5C6">
        <w:t>.</w:t>
      </w:r>
    </w:p>
    <w:p w14:paraId="2B2F4F11" w14:textId="33585427" w:rsidR="19618719" w:rsidRDefault="19618719" w:rsidP="00F13F51">
      <w:pPr>
        <w:pStyle w:val="List3"/>
        <w:numPr>
          <w:ilvl w:val="0"/>
          <w:numId w:val="10"/>
        </w:numPr>
        <w:rPr>
          <w:rFonts w:asciiTheme="minorHAnsi" w:eastAsiaTheme="minorEastAsia" w:hAnsiTheme="minorHAnsi"/>
          <w:szCs w:val="20"/>
        </w:rPr>
      </w:pPr>
      <w:r>
        <w:t xml:space="preserve">Compulsory super should </w:t>
      </w:r>
      <w:r w:rsidR="6DDAEC32">
        <w:t xml:space="preserve">remain </w:t>
      </w:r>
      <w:r>
        <w:t>universal, at a uniform contribution rate</w:t>
      </w:r>
      <w:r w:rsidR="370E1E85">
        <w:t>.</w:t>
      </w:r>
    </w:p>
    <w:p w14:paraId="5ED3195B" w14:textId="344D1220" w:rsidR="370E1E85" w:rsidRDefault="370E1E85" w:rsidP="00F13F51">
      <w:pPr>
        <w:pStyle w:val="List3"/>
        <w:numPr>
          <w:ilvl w:val="0"/>
          <w:numId w:val="10"/>
        </w:numPr>
        <w:rPr>
          <w:rFonts w:asciiTheme="minorHAnsi" w:eastAsiaTheme="minorEastAsia" w:hAnsiTheme="minorHAnsi"/>
          <w:szCs w:val="20"/>
        </w:rPr>
      </w:pPr>
      <w:r>
        <w:t>The</w:t>
      </w:r>
      <w:r w:rsidR="19618719">
        <w:t xml:space="preserve"> Super Guarantee </w:t>
      </w:r>
      <w:r w:rsidR="52037038">
        <w:t xml:space="preserve">should increase to </w:t>
      </w:r>
      <w:r w:rsidR="19618719">
        <w:t>10%</w:t>
      </w:r>
      <w:r w:rsidR="12333ABA">
        <w:t xml:space="preserve"> as scheduled.</w:t>
      </w:r>
    </w:p>
    <w:p w14:paraId="7BC9E81D" w14:textId="49BB7918" w:rsidR="12333ABA" w:rsidRDefault="12333ABA" w:rsidP="00F13F51">
      <w:pPr>
        <w:pStyle w:val="List3"/>
        <w:numPr>
          <w:ilvl w:val="0"/>
          <w:numId w:val="10"/>
        </w:numPr>
        <w:rPr>
          <w:szCs w:val="20"/>
        </w:rPr>
      </w:pPr>
      <w:r>
        <w:t>Increases above 10%</w:t>
      </w:r>
      <w:r w:rsidR="19618719">
        <w:t xml:space="preserve"> should only proceed if th</w:t>
      </w:r>
      <w:r w:rsidR="4E2025B5">
        <w:t xml:space="preserve">is would demonstrably benefit </w:t>
      </w:r>
      <w:r w:rsidR="19618719">
        <w:t>people with low and modest incomes</w:t>
      </w:r>
      <w:r w:rsidR="151CF1CA">
        <w:t>.</w:t>
      </w:r>
    </w:p>
    <w:p w14:paraId="4C4C49C4" w14:textId="7996741A" w:rsidR="19618719" w:rsidRDefault="19618719" w:rsidP="00F13F51">
      <w:pPr>
        <w:pStyle w:val="List3"/>
        <w:numPr>
          <w:ilvl w:val="0"/>
          <w:numId w:val="10"/>
        </w:numPr>
        <w:spacing w:after="0"/>
        <w:rPr>
          <w:rFonts w:asciiTheme="minorHAnsi" w:eastAsiaTheme="minorEastAsia" w:hAnsiTheme="minorHAnsi"/>
          <w:szCs w:val="20"/>
        </w:rPr>
      </w:pPr>
      <w:r>
        <w:t xml:space="preserve">Tax concessions for contributions </w:t>
      </w:r>
      <w:r w:rsidR="602EBF60">
        <w:t xml:space="preserve">should first be </w:t>
      </w:r>
      <w:r>
        <w:t>reformed so that they receive at least the same subsidy, per dollar contributed, as people with higher incomes</w:t>
      </w:r>
      <w:r w:rsidR="14BACF88">
        <w:t>.</w:t>
      </w:r>
    </w:p>
    <w:p w14:paraId="3F56FE02" w14:textId="0B96B46E" w:rsidR="6C8F137E" w:rsidRDefault="6C8F137E" w:rsidP="00F13F51">
      <w:pPr>
        <w:pStyle w:val="List3"/>
        <w:numPr>
          <w:ilvl w:val="0"/>
          <w:numId w:val="10"/>
        </w:numPr>
        <w:spacing w:after="0"/>
        <w:rPr>
          <w:szCs w:val="20"/>
        </w:rPr>
      </w:pPr>
      <w:r>
        <w:t xml:space="preserve">This could be achieved at no extra fiscal cost by replacing existing tax breaks for contributions with a uniform annual rebate up to a </w:t>
      </w:r>
      <w:r w:rsidR="56290828">
        <w:t>(</w:t>
      </w:r>
      <w:r>
        <w:t>lower</w:t>
      </w:r>
      <w:r w:rsidR="417485A7">
        <w:t>)</w:t>
      </w:r>
      <w:r>
        <w:t xml:space="preserve"> annual cap.</w:t>
      </w:r>
    </w:p>
    <w:p w14:paraId="49C206B0" w14:textId="0449E719" w:rsidR="19618719" w:rsidRDefault="19618719" w:rsidP="00F13F51">
      <w:pPr>
        <w:pStyle w:val="List3"/>
        <w:numPr>
          <w:ilvl w:val="0"/>
          <w:numId w:val="10"/>
        </w:numPr>
        <w:spacing w:after="0"/>
        <w:rPr>
          <w:rFonts w:asciiTheme="minorHAnsi" w:eastAsiaTheme="minorEastAsia" w:hAnsiTheme="minorHAnsi"/>
          <w:szCs w:val="20"/>
        </w:rPr>
      </w:pPr>
      <w:r>
        <w:t>Tax concessions for superannuation cost $4</w:t>
      </w:r>
      <w:r w:rsidR="1068CF8B">
        <w:t>2</w:t>
      </w:r>
      <w:r>
        <w:t xml:space="preserve"> billion a year, a</w:t>
      </w:r>
      <w:r w:rsidR="7595B1A2">
        <w:t xml:space="preserve">lmost </w:t>
      </w:r>
      <w:r>
        <w:t xml:space="preserve">the same as the Age Pension, and </w:t>
      </w:r>
      <w:r w:rsidR="7DCD1741">
        <w:t>disproportionately</w:t>
      </w:r>
      <w:r>
        <w:t xml:space="preserve"> benefit high income-earners</w:t>
      </w:r>
      <w:r w:rsidR="15FBCA26">
        <w:t>.</w:t>
      </w:r>
    </w:p>
    <w:p w14:paraId="61949206" w14:textId="5931428D" w:rsidR="19618719" w:rsidRDefault="19618719" w:rsidP="00F13F51">
      <w:pPr>
        <w:pStyle w:val="List3"/>
        <w:numPr>
          <w:ilvl w:val="0"/>
          <w:numId w:val="10"/>
        </w:numPr>
        <w:rPr>
          <w:rFonts w:asciiTheme="minorHAnsi" w:eastAsiaTheme="minorEastAsia" w:hAnsiTheme="minorHAnsi"/>
          <w:szCs w:val="20"/>
        </w:rPr>
      </w:pPr>
      <w:r>
        <w:t>Only 16% of people over 64 years pays income tax, though many have the capacity to do so. In addition, once their super fund pays them a pension it pays no tax on its investment income</w:t>
      </w:r>
      <w:r w:rsidR="188C7241">
        <w:t>.</w:t>
      </w:r>
    </w:p>
    <w:p w14:paraId="46D9D8C1" w14:textId="0C0D2915" w:rsidR="19618719" w:rsidRDefault="19618719" w:rsidP="00F13F51">
      <w:pPr>
        <w:pStyle w:val="List3"/>
        <w:numPr>
          <w:ilvl w:val="0"/>
          <w:numId w:val="10"/>
        </w:numPr>
        <w:rPr>
          <w:rFonts w:asciiTheme="minorHAnsi" w:eastAsiaTheme="minorEastAsia" w:hAnsiTheme="minorHAnsi"/>
          <w:szCs w:val="20"/>
        </w:rPr>
      </w:pPr>
      <w:r>
        <w:t>This is not sustainable if future governments are to guarantee decent health and aged care services for an ageing population</w:t>
      </w:r>
      <w:r w:rsidR="5C417DF8">
        <w:t>.</w:t>
      </w:r>
    </w:p>
    <w:p w14:paraId="0767009D" w14:textId="2E862900" w:rsidR="1C4170D0" w:rsidRDefault="1C4170D0" w:rsidP="00F13F51">
      <w:pPr>
        <w:pStyle w:val="List3"/>
        <w:numPr>
          <w:ilvl w:val="0"/>
          <w:numId w:val="10"/>
        </w:numPr>
        <w:rPr>
          <w:rFonts w:asciiTheme="minorHAnsi" w:eastAsiaTheme="minorEastAsia" w:hAnsiTheme="minorHAnsi"/>
          <w:szCs w:val="20"/>
        </w:rPr>
      </w:pPr>
      <w:r>
        <w:t>S</w:t>
      </w:r>
      <w:r w:rsidR="19618719">
        <w:t>uper</w:t>
      </w:r>
      <w:r w:rsidR="44650FDA">
        <w:t>annuation</w:t>
      </w:r>
      <w:r w:rsidR="19618719">
        <w:t xml:space="preserve"> fund earnings post-retirement should be taxed at the same 15% rate as they are </w:t>
      </w:r>
      <w:r w:rsidR="20C58FAB">
        <w:t>in the accumulation phase</w:t>
      </w:r>
      <w:r w:rsidR="19618719">
        <w:t>, with the revenue earmarked to guarantee affordable access to quality aged care services</w:t>
      </w:r>
      <w:r w:rsidR="21F1D63E">
        <w:t>.</w:t>
      </w:r>
    </w:p>
    <w:p w14:paraId="66E6126F" w14:textId="0E49D8DE" w:rsidR="48B55772" w:rsidRDefault="48B55772" w:rsidP="00F13F51">
      <w:pPr>
        <w:pStyle w:val="List3"/>
        <w:numPr>
          <w:ilvl w:val="0"/>
          <w:numId w:val="10"/>
        </w:numPr>
        <w:rPr>
          <w:szCs w:val="20"/>
        </w:rPr>
      </w:pPr>
      <w:r>
        <w:t xml:space="preserve">Additional sources of revenue to </w:t>
      </w:r>
      <w:r w:rsidR="7B0FB146">
        <w:t>meet</w:t>
      </w:r>
      <w:r>
        <w:t xml:space="preserve"> the </w:t>
      </w:r>
      <w:r w:rsidR="60D3D023">
        <w:t xml:space="preserve">growing </w:t>
      </w:r>
      <w:r>
        <w:t xml:space="preserve">fiscal cost of </w:t>
      </w:r>
      <w:r w:rsidR="0685CE96">
        <w:t xml:space="preserve">quality </w:t>
      </w:r>
      <w:r>
        <w:t>health, aged care and disability services include curbs on avoidance of the Medicare Lev</w:t>
      </w:r>
      <w:r w:rsidR="5F531E0C">
        <w:t>y and reductions in age-based tax concessions.</w:t>
      </w:r>
      <w:r>
        <w:t xml:space="preserve"> </w:t>
      </w:r>
    </w:p>
    <w:p w14:paraId="33E358B7" w14:textId="6F41D077" w:rsidR="7B33A330" w:rsidRDefault="7B33A330" w:rsidP="7B33A330">
      <w:pPr>
        <w:pStyle w:val="List3"/>
        <w:ind w:left="283"/>
      </w:pPr>
    </w:p>
    <w:p w14:paraId="7FC8AFDA" w14:textId="19C2A1E1" w:rsidR="30B1BE2D" w:rsidRPr="002227D8" w:rsidRDefault="30B1BE2D" w:rsidP="003520E9">
      <w:pPr>
        <w:pStyle w:val="Heading2"/>
      </w:pPr>
      <w:bookmarkStart w:id="86" w:name="_Toc63685979"/>
      <w:r w:rsidRPr="7B33A330">
        <w:t>Introduction</w:t>
      </w:r>
      <w:bookmarkEnd w:id="86"/>
    </w:p>
    <w:p w14:paraId="40609D53" w14:textId="3DB81829" w:rsidR="71029DEB" w:rsidRDefault="71029DEB" w:rsidP="7B33A330">
      <w:r>
        <w:t>Our retirement income system rests on three pillars:</w:t>
      </w:r>
    </w:p>
    <w:p w14:paraId="65FC0B8D" w14:textId="00F39199" w:rsidR="71029DEB" w:rsidRDefault="71029DEB" w:rsidP="00F13F51">
      <w:pPr>
        <w:pStyle w:val="ListParagraph"/>
        <w:numPr>
          <w:ilvl w:val="0"/>
          <w:numId w:val="9"/>
        </w:numPr>
        <w:rPr>
          <w:rFonts w:asciiTheme="minorHAnsi" w:eastAsiaTheme="minorEastAsia" w:hAnsiTheme="minorHAnsi"/>
        </w:rPr>
      </w:pPr>
      <w:r>
        <w:t>age pensions and other social security payments,</w:t>
      </w:r>
    </w:p>
    <w:p w14:paraId="499591C9" w14:textId="2AAC3273" w:rsidR="71029DEB" w:rsidRDefault="71029DEB" w:rsidP="00F13F51">
      <w:pPr>
        <w:pStyle w:val="ListParagraph"/>
        <w:numPr>
          <w:ilvl w:val="0"/>
          <w:numId w:val="9"/>
        </w:numPr>
      </w:pPr>
      <w:r>
        <w:t>compulsory superannuation, and</w:t>
      </w:r>
    </w:p>
    <w:p w14:paraId="383D1937" w14:textId="4530AE08" w:rsidR="7B33A330" w:rsidRDefault="71029DEB" w:rsidP="7B33A330">
      <w:pPr>
        <w:pStyle w:val="ListParagraph"/>
        <w:numPr>
          <w:ilvl w:val="0"/>
          <w:numId w:val="9"/>
        </w:numPr>
      </w:pPr>
      <w:proofErr w:type="gramStart"/>
      <w:r>
        <w:t>tax</w:t>
      </w:r>
      <w:proofErr w:type="gramEnd"/>
      <w:r>
        <w:t xml:space="preserve"> concessions for superannuation.</w:t>
      </w:r>
      <w:r w:rsidRPr="7B33A330">
        <w:rPr>
          <w:rStyle w:val="FootnoteReference"/>
        </w:rPr>
        <w:footnoteReference w:id="57"/>
      </w:r>
      <w:r>
        <w:t xml:space="preserve"> </w:t>
      </w:r>
    </w:p>
    <w:p w14:paraId="77913854" w14:textId="77777777" w:rsidR="000C6B7B" w:rsidRPr="000C6B7B" w:rsidRDefault="000C6B7B" w:rsidP="000C6B7B">
      <w:pPr>
        <w:pStyle w:val="List3"/>
      </w:pPr>
    </w:p>
    <w:p w14:paraId="798C6085" w14:textId="499E4CE8" w:rsidR="71029DEB" w:rsidRDefault="71029DEB" w:rsidP="7B33A330">
      <w:r>
        <w:t xml:space="preserve">The purpose of the </w:t>
      </w:r>
      <w:r w:rsidRPr="7B33A330">
        <w:rPr>
          <w:i/>
          <w:iCs/>
        </w:rPr>
        <w:t>social security pillar</w:t>
      </w:r>
      <w:r>
        <w:t xml:space="preserve"> should be to prevent poverty. Since it was increased substantially in 2009, the Age Pension is well-designed to achieve this goal </w:t>
      </w:r>
      <w:r>
        <w:lastRenderedPageBreak/>
        <w:t xml:space="preserve">though the payment is still frugal and in general terms recipients only avoid poverty if they own their homes outright. </w:t>
      </w:r>
    </w:p>
    <w:p w14:paraId="6E747EAF" w14:textId="4436B3FA" w:rsidR="219AE441" w:rsidRDefault="219AE441" w:rsidP="7B33A330">
      <w:r>
        <w:t xml:space="preserve">Pensions should continue to be targeted to </w:t>
      </w:r>
      <w:r w:rsidR="4AECFA94">
        <w:t xml:space="preserve">people at risk of </w:t>
      </w:r>
      <w:r>
        <w:t xml:space="preserve">poverty. Any easing of income or assets tests should </w:t>
      </w:r>
      <w:r w:rsidR="1E9700F5">
        <w:t>as far as possible be cost-</w:t>
      </w:r>
      <w:r>
        <w:t xml:space="preserve">neutral. </w:t>
      </w:r>
    </w:p>
    <w:p w14:paraId="014CC547" w14:textId="7454E90C" w:rsidR="71029DEB" w:rsidRDefault="71029DEB" w:rsidP="7B33A330">
      <w:r>
        <w:t xml:space="preserve">The </w:t>
      </w:r>
      <w:r w:rsidR="112EB286">
        <w:t xml:space="preserve">Retirement Incomes Report </w:t>
      </w:r>
      <w:r>
        <w:t>shows that</w:t>
      </w:r>
      <w:r w:rsidR="0FCBBCA7">
        <w:t>,</w:t>
      </w:r>
      <w:r>
        <w:t xml:space="preserve"> </w:t>
      </w:r>
      <w:r w:rsidR="4CBBABDF" w:rsidRPr="7B33A330">
        <w:rPr>
          <w:rFonts w:eastAsia="Verdana" w:cs="Verdana"/>
          <w:sz w:val="19"/>
          <w:szCs w:val="19"/>
        </w:rPr>
        <w:t xml:space="preserve">overwhelmingly </w:t>
      </w:r>
      <w:r>
        <w:t xml:space="preserve">those older people most at risk of poverty are renting their homes, or relying on </w:t>
      </w:r>
      <w:r w:rsidR="00A618BF">
        <w:t>JobSeeker</w:t>
      </w:r>
      <w:r w:rsidR="53E4634E">
        <w:t xml:space="preserve"> Payment</w:t>
      </w:r>
      <w:r>
        <w:t xml:space="preserve"> because they do n</w:t>
      </w:r>
      <w:r w:rsidR="00524C81">
        <w:t>ot yet qualify for a pension.</w:t>
      </w:r>
      <w:r w:rsidR="00524C81">
        <w:rPr>
          <w:rStyle w:val="FootnoteReference"/>
        </w:rPr>
        <w:footnoteReference w:id="58"/>
      </w:r>
      <w:r>
        <w:t xml:space="preserve"> As argued in </w:t>
      </w:r>
      <w:r w:rsidRPr="00802708">
        <w:rPr>
          <w:iCs/>
        </w:rPr>
        <w:t xml:space="preserve">Chapter </w:t>
      </w:r>
      <w:r w:rsidR="0973D9C7" w:rsidRPr="00802708">
        <w:rPr>
          <w:iCs/>
        </w:rPr>
        <w:t>2</w:t>
      </w:r>
      <w:r w:rsidRPr="00802708">
        <w:rPr>
          <w:iCs/>
        </w:rPr>
        <w:t xml:space="preserve"> (</w:t>
      </w:r>
      <w:r w:rsidR="00802708">
        <w:t>A permanent boost to the lowest incomes</w:t>
      </w:r>
      <w:r w:rsidRPr="00802708">
        <w:rPr>
          <w:iCs/>
        </w:rPr>
        <w:t>)</w:t>
      </w:r>
      <w:r w:rsidRPr="00802708">
        <w:t xml:space="preserve"> and </w:t>
      </w:r>
      <w:r w:rsidRPr="00802708">
        <w:rPr>
          <w:iCs/>
        </w:rPr>
        <w:t xml:space="preserve">Chapter </w:t>
      </w:r>
      <w:r w:rsidR="15C2E3CA" w:rsidRPr="00802708">
        <w:rPr>
          <w:iCs/>
        </w:rPr>
        <w:t>5</w:t>
      </w:r>
      <w:r w:rsidRPr="00802708">
        <w:rPr>
          <w:iCs/>
        </w:rPr>
        <w:t xml:space="preserve"> (</w:t>
      </w:r>
      <w:r w:rsidR="00675C6B">
        <w:t>Make access to housing affordable for people with low incomes</w:t>
      </w:r>
      <w:r w:rsidRPr="00802708">
        <w:rPr>
          <w:iCs/>
        </w:rPr>
        <w:t>)</w:t>
      </w:r>
      <w:r w:rsidRPr="00802708">
        <w:t>,</w:t>
      </w:r>
      <w:r>
        <w:t xml:space="preserve"> lifting allowance payments and Rent Assistance should be top priorities for social security reform</w:t>
      </w:r>
      <w:r w:rsidR="2B3ADC09">
        <w:t>.</w:t>
      </w:r>
      <w:r>
        <w:t xml:space="preserve"> </w:t>
      </w:r>
    </w:p>
    <w:p w14:paraId="36312F5F" w14:textId="7CC843B6" w:rsidR="71029DEB" w:rsidRDefault="71029DEB" w:rsidP="7B33A330">
      <w:r>
        <w:t xml:space="preserve">The purpose of </w:t>
      </w:r>
      <w:r w:rsidRPr="7B33A330">
        <w:rPr>
          <w:i/>
          <w:iCs/>
        </w:rPr>
        <w:t>compulsory retirement saving</w:t>
      </w:r>
      <w:r>
        <w:t xml:space="preserve"> should be to help people smooth their incomes throughout life, and to top up modest pension payments. A sensible principles-based benchmark for compulsory retirement saving would ensure that a worker on a median wage and their partner can come within reach of their average living standard during working life after they retire (taking account of pension entitlements).  </w:t>
      </w:r>
    </w:p>
    <w:p w14:paraId="0B53982C" w14:textId="35892604" w:rsidR="71029DEB" w:rsidRDefault="71029DEB" w:rsidP="7B33A330">
      <w:r>
        <w:t>Since compulsory super is forced saving, the system should take account of greater financial pressures people (especially those with low incomes) face during working life, including higher housing costs, raising children, and the financial risks of unemployment and unstable employment, marital separation and illness.</w:t>
      </w:r>
    </w:p>
    <w:p w14:paraId="3E7A1F7A" w14:textId="141B5212" w:rsidR="4D0E37CB" w:rsidRDefault="4D0E37CB" w:rsidP="7B33A330">
      <w:r w:rsidRPr="7B33A330">
        <w:rPr>
          <w:i/>
          <w:iCs/>
        </w:rPr>
        <w:t xml:space="preserve">Tax concessions </w:t>
      </w:r>
      <w:r w:rsidR="1803205F" w:rsidRPr="7B33A330">
        <w:t xml:space="preserve">should </w:t>
      </w:r>
      <w:r>
        <w:t>support compulsory and voluntary saving through superannuation to reach up to an ‘average</w:t>
      </w:r>
      <w:r w:rsidR="5F518D55">
        <w:t>'</w:t>
      </w:r>
      <w:r>
        <w:t xml:space="preserve"> living standard in retirement</w:t>
      </w:r>
      <w:r w:rsidR="05538F55">
        <w:t xml:space="preserve">, but no </w:t>
      </w:r>
      <w:r>
        <w:t>greater than this since tax concessions are ultimately subsidised by other taxpayers.</w:t>
      </w:r>
    </w:p>
    <w:p w14:paraId="4B159EAD" w14:textId="11B57CC9" w:rsidR="4D0E37CB" w:rsidRDefault="4D0E37CB" w:rsidP="7B33A330">
      <w:r>
        <w:t>Tax support for retirement saving should not support wealth accumulation for other purposes such as bequests (apart from transfers to dependents).</w:t>
      </w:r>
    </w:p>
    <w:p w14:paraId="1B7A9551" w14:textId="3FD67FE2" w:rsidR="610A8690" w:rsidRDefault="610A8690" w:rsidP="7B33A330">
      <w:r>
        <w:t xml:space="preserve">The Retirement Income </w:t>
      </w:r>
      <w:r w:rsidR="20253D28">
        <w:t xml:space="preserve">Review </w:t>
      </w:r>
      <w:r>
        <w:t xml:space="preserve">Report </w:t>
      </w:r>
      <w:r w:rsidR="1AF8DB3F">
        <w:t>convincingly</w:t>
      </w:r>
      <w:r>
        <w:t xml:space="preserve"> </w:t>
      </w:r>
      <w:r w:rsidR="2BA42283" w:rsidRPr="7B33A330">
        <w:rPr>
          <w:rFonts w:eastAsia="Verdana" w:cs="Verdana"/>
          <w:sz w:val="19"/>
          <w:szCs w:val="19"/>
        </w:rPr>
        <w:t xml:space="preserve">shows </w:t>
      </w:r>
      <w:r>
        <w:t xml:space="preserve">that superannuation tax concessions </w:t>
      </w:r>
      <w:r w:rsidR="53C69AC2">
        <w:t>are</w:t>
      </w:r>
      <w:r>
        <w:t xml:space="preserve"> highly inequita</w:t>
      </w:r>
      <w:r w:rsidR="583AE804">
        <w:t>b</w:t>
      </w:r>
      <w:r>
        <w:t xml:space="preserve">le, skewing lifetime public support for retirement incomes towards those </w:t>
      </w:r>
      <w:r w:rsidR="1E665495">
        <w:t>in the highest 20% of income</w:t>
      </w:r>
      <w:r w:rsidR="393E9D70">
        <w:t>-earners</w:t>
      </w:r>
      <w:r w:rsidR="1E135F32">
        <w:t xml:space="preserve"> (Figure </w:t>
      </w:r>
      <w:r w:rsidR="00F64995">
        <w:t>2</w:t>
      </w:r>
      <w:r w:rsidR="1E135F32">
        <w:t>)</w:t>
      </w:r>
      <w:r>
        <w:t>.</w:t>
      </w:r>
    </w:p>
    <w:p w14:paraId="131A4630" w14:textId="4D342761" w:rsidR="5C67D29B" w:rsidRDefault="5C67D29B" w:rsidP="002227D8">
      <w:pPr>
        <w:keepNext/>
        <w:rPr>
          <w:b/>
          <w:bCs/>
          <w:sz w:val="22"/>
        </w:rPr>
      </w:pPr>
      <w:r w:rsidRPr="7B33A330">
        <w:rPr>
          <w:b/>
          <w:bCs/>
          <w:sz w:val="22"/>
        </w:rPr>
        <w:lastRenderedPageBreak/>
        <w:t xml:space="preserve">Figure </w:t>
      </w:r>
      <w:r w:rsidR="00F64995">
        <w:rPr>
          <w:b/>
          <w:bCs/>
          <w:sz w:val="22"/>
        </w:rPr>
        <w:t>2</w:t>
      </w:r>
      <w:r w:rsidRPr="7B33A330">
        <w:rPr>
          <w:b/>
          <w:bCs/>
          <w:sz w:val="22"/>
        </w:rPr>
        <w:t>: Lifetime income support from the retirement income system</w:t>
      </w:r>
    </w:p>
    <w:p w14:paraId="38DDAD8B" w14:textId="20DB74D0" w:rsidR="568C9920" w:rsidRDefault="568C9920" w:rsidP="00F64995">
      <w:pPr>
        <w:jc w:val="center"/>
        <w:rPr>
          <w:sz w:val="18"/>
          <w:szCs w:val="18"/>
        </w:rPr>
      </w:pPr>
      <w:r>
        <w:rPr>
          <w:noProof/>
          <w:color w:val="2B579A"/>
          <w:shd w:val="clear" w:color="auto" w:fill="E6E6E6"/>
          <w:lang w:val="en-AU" w:eastAsia="en-AU"/>
        </w:rPr>
        <w:drawing>
          <wp:inline distT="0" distB="0" distL="0" distR="0" wp14:anchorId="5E2E53BD" wp14:editId="14209DAA">
            <wp:extent cx="4572000" cy="1990725"/>
            <wp:effectExtent l="0" t="0" r="0" b="0"/>
            <wp:docPr id="1049616427" name="Picture 104961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r>
        <w:br/>
      </w:r>
      <w:r w:rsidR="4D0E37CB">
        <w:t xml:space="preserve"> </w:t>
      </w:r>
      <w:r>
        <w:br/>
      </w:r>
      <w:r w:rsidR="1616ABEF" w:rsidRPr="7B33A330">
        <w:rPr>
          <w:sz w:val="18"/>
          <w:szCs w:val="18"/>
        </w:rPr>
        <w:t xml:space="preserve">Source: Retirement Income </w:t>
      </w:r>
      <w:r w:rsidR="1809A50D" w:rsidRPr="7B33A330">
        <w:rPr>
          <w:sz w:val="18"/>
          <w:szCs w:val="18"/>
        </w:rPr>
        <w:t xml:space="preserve">Review </w:t>
      </w:r>
      <w:r w:rsidR="1616ABEF" w:rsidRPr="7B33A330">
        <w:rPr>
          <w:sz w:val="18"/>
          <w:szCs w:val="18"/>
        </w:rPr>
        <w:t>Report (2020), op cit.</w:t>
      </w:r>
    </w:p>
    <w:p w14:paraId="045A66C2" w14:textId="18890C85" w:rsidR="419273AD" w:rsidRDefault="419273AD" w:rsidP="7B33A330">
      <w:r w:rsidRPr="7B33A330">
        <w:rPr>
          <w:i/>
          <w:iCs/>
        </w:rPr>
        <w:t xml:space="preserve">A decent life in retirement depends on more than income alone. </w:t>
      </w:r>
      <w:r>
        <w:t xml:space="preserve">Older people need assurance that good-quality aged care and health services are available as needed, and that they don’t face steep out-of-pocket costs. They need secure, affordable housing. </w:t>
      </w:r>
    </w:p>
    <w:p w14:paraId="10502AA0" w14:textId="7185D583" w:rsidR="13AEF3D9" w:rsidRDefault="419273AD" w:rsidP="7B33A330">
      <w:r>
        <w:t>The ageing of the population is projected to increase the cost of pensions and health and aged care under existing policy settings by $16 billion</w:t>
      </w:r>
      <w:r w:rsidR="00524C81">
        <w:t xml:space="preserve"> a year within a decade’s time.</w:t>
      </w:r>
      <w:r w:rsidR="00524C81">
        <w:rPr>
          <w:rStyle w:val="FootnoteReference"/>
        </w:rPr>
        <w:footnoteReference w:id="59"/>
      </w:r>
      <w:r>
        <w:t xml:space="preserve"> Covering these costs, and improving the</w:t>
      </w:r>
      <w:r w:rsidR="577F75F3">
        <w:t xml:space="preserve"> quality of health and aged care </w:t>
      </w:r>
      <w:r>
        <w:t>services, requires a robust stream of future public revenue. Yet only 16% of older people pays income tax (even though many more could afford to contribute as the superannuation system matures and the wealth of many older people increases).</w:t>
      </w:r>
      <w:r w:rsidRPr="7B33A330">
        <w:rPr>
          <w:rStyle w:val="FootnoteReference"/>
        </w:rPr>
        <w:footnoteReference w:id="60"/>
      </w:r>
      <w:r>
        <w:t xml:space="preserve"> This is not sustainable. </w:t>
      </w:r>
    </w:p>
    <w:p w14:paraId="088BCA05" w14:textId="77777777" w:rsidR="000B50DA" w:rsidRDefault="000B50DA"/>
    <w:p w14:paraId="31A9CD6D" w14:textId="6F684C8F" w:rsidR="30B1BE2D" w:rsidRPr="000C6B7B" w:rsidRDefault="014C9391" w:rsidP="000C6B7B">
      <w:pPr>
        <w:pStyle w:val="Heading2"/>
      </w:pPr>
      <w:bookmarkStart w:id="87" w:name="_Toc63685980"/>
      <w:r w:rsidRPr="000C6B7B">
        <w:t>A c</w:t>
      </w:r>
      <w:r w:rsidR="693ED066" w:rsidRPr="000C6B7B">
        <w:t>ompulsory super system that's fit for purpose and taxed fairly</w:t>
      </w:r>
      <w:bookmarkEnd w:id="87"/>
    </w:p>
    <w:p w14:paraId="192EB795" w14:textId="09F91BF6" w:rsidR="7B33A330" w:rsidRDefault="7B33A330" w:rsidP="7B33A330">
      <w:r>
        <w:br/>
      </w:r>
      <w:r w:rsidR="01E53ECA">
        <w:t>C</w:t>
      </w:r>
      <w:r w:rsidR="0B7803D3">
        <w:t xml:space="preserve">ompulsory superannuation has improved retirement incomes and living standards for many people who would otherwise rely on the Age Pension alone. It should continue as a universal system since universal systems benefit all, including those with the least resources. ACOSS does not support ‘carve outs’ for people with low incomes, or making any contributions at 10% or below voluntary.  </w:t>
      </w:r>
    </w:p>
    <w:p w14:paraId="3C082DC7" w14:textId="4BECD7F1" w:rsidR="006B1312" w:rsidRDefault="00472F0D" w:rsidP="7B33A330">
      <w:r>
        <w:t>The Superannuation G</w:t>
      </w:r>
      <w:r w:rsidR="2DC99E38">
        <w:t xml:space="preserve">uarantee </w:t>
      </w:r>
      <w:r>
        <w:t xml:space="preserve">(SG) </w:t>
      </w:r>
      <w:r w:rsidR="2DC99E38">
        <w:t xml:space="preserve">is legislated to increase from 9.5% currently to 12% by 2026. </w:t>
      </w:r>
    </w:p>
    <w:p w14:paraId="05CDD7A3" w14:textId="425B1A2E" w:rsidR="2DC99E38" w:rsidRDefault="589F1783" w:rsidP="7B33A330">
      <w:r>
        <w:t xml:space="preserve">ACOSS has consistently raised concerns that </w:t>
      </w:r>
      <w:r w:rsidR="2DC99E38">
        <w:t xml:space="preserve">contributions at </w:t>
      </w:r>
      <w:r w:rsidR="5E817BC5">
        <w:t xml:space="preserve">this level or higher may </w:t>
      </w:r>
      <w:r w:rsidR="2DC99E38">
        <w:t xml:space="preserve">force people with low lifetime incomes to save when they are under the greatest </w:t>
      </w:r>
      <w:r w:rsidR="2DC99E38">
        <w:lastRenderedPageBreak/>
        <w:t>financial pressure to fund a living standard in retirement that is higher than th</w:t>
      </w:r>
      <w:r w:rsidR="7EBEB59D">
        <w:t xml:space="preserve">at which </w:t>
      </w:r>
      <w:r w:rsidR="2DC99E38">
        <w:t xml:space="preserve">they had through working life. </w:t>
      </w:r>
    </w:p>
    <w:p w14:paraId="62413EAE" w14:textId="4F23707D" w:rsidR="0B442CB1" w:rsidRDefault="0B442CB1" w:rsidP="7B33A330">
      <w:r>
        <w:t xml:space="preserve">The next increase in the </w:t>
      </w:r>
      <w:r w:rsidR="00472F0D">
        <w:t>SG</w:t>
      </w:r>
      <w:r>
        <w:t xml:space="preserve"> from 9.5% to 10% of wages in July 2021 should </w:t>
      </w:r>
      <w:r w:rsidR="10DD6651">
        <w:t>proceed</w:t>
      </w:r>
      <w:r>
        <w:t xml:space="preserve">, since collective pay agreements may have already taken this increase into account when setting wages. </w:t>
      </w:r>
    </w:p>
    <w:p w14:paraId="5C7748D2" w14:textId="2EF3D421" w:rsidR="2DC99E38" w:rsidRDefault="2DC99E38" w:rsidP="7B33A330">
      <w:r>
        <w:t>Before the S</w:t>
      </w:r>
      <w:r w:rsidR="54EEB6BC">
        <w:t>G</w:t>
      </w:r>
      <w:r>
        <w:t xml:space="preserve"> is lifted above 10%, the benefits of higher compulsory contributions for the median wage-earner and those with lower incomes should be demonstrated, and tax concessions for contributions should be reformed</w:t>
      </w:r>
      <w:r w:rsidR="4E19300C">
        <w:t>.</w:t>
      </w:r>
      <w:r>
        <w:t xml:space="preserve">   </w:t>
      </w:r>
    </w:p>
    <w:p w14:paraId="6199B597" w14:textId="61888198" w:rsidR="4FC2008F" w:rsidRDefault="4FC2008F" w:rsidP="7B33A330">
      <w:r>
        <w:t xml:space="preserve">To the extent that SG contributions are in effect compulsory saving (rather than extra payments from employers), the SG should be set at a level which enables people on low and modest incomes to </w:t>
      </w:r>
      <w:r w:rsidR="11B4AF12">
        <w:t>attain a retirement living standard that is commensurate with that obtained during working life</w:t>
      </w:r>
      <w:r>
        <w:t>.</w:t>
      </w:r>
      <w:r w:rsidRPr="7B33A330">
        <w:rPr>
          <w:rStyle w:val="FootnoteReference"/>
        </w:rPr>
        <w:footnoteReference w:id="61"/>
      </w:r>
    </w:p>
    <w:p w14:paraId="46F43955" w14:textId="053CCA51" w:rsidR="4FC2008F" w:rsidRDefault="4FC2008F" w:rsidP="7B33A330">
      <w:r>
        <w:t xml:space="preserve">Research </w:t>
      </w:r>
      <w:r w:rsidR="468066D0">
        <w:t xml:space="preserve">by the </w:t>
      </w:r>
      <w:r w:rsidR="6C75E90F">
        <w:t>R</w:t>
      </w:r>
      <w:r w:rsidR="468066D0">
        <w:t xml:space="preserve">etirement Income Review </w:t>
      </w:r>
      <w:r>
        <w:t xml:space="preserve">indicates that </w:t>
      </w:r>
      <w:r w:rsidR="04257B5F">
        <w:t>mo</w:t>
      </w:r>
      <w:r w:rsidR="51C990D3">
        <w:t>s</w:t>
      </w:r>
      <w:r w:rsidR="04257B5F">
        <w:t xml:space="preserve">t wage earners will </w:t>
      </w:r>
      <w:r w:rsidR="0914E4D5">
        <w:t xml:space="preserve">achieve this goal through </w:t>
      </w:r>
      <w:r w:rsidR="04257B5F">
        <w:t xml:space="preserve">a combination of </w:t>
      </w:r>
      <w:r w:rsidR="39B49D4B">
        <w:t xml:space="preserve">the </w:t>
      </w:r>
      <w:r w:rsidR="04257B5F">
        <w:t xml:space="preserve">Age Pension and </w:t>
      </w:r>
      <w:r>
        <w:t>super</w:t>
      </w:r>
      <w:r w:rsidR="0B020ACB">
        <w:t>annuation contr</w:t>
      </w:r>
      <w:r w:rsidR="2E3768F9">
        <w:t>i</w:t>
      </w:r>
      <w:r w:rsidR="0B020ACB">
        <w:t xml:space="preserve">butions of </w:t>
      </w:r>
      <w:r>
        <w:t>9.5%</w:t>
      </w:r>
      <w:r w:rsidR="503D0A2E">
        <w:t xml:space="preserve"> of earnings</w:t>
      </w:r>
      <w:r w:rsidR="42546788">
        <w:t xml:space="preserve"> through</w:t>
      </w:r>
      <w:r w:rsidR="782BB71B">
        <w:t xml:space="preserve"> typical</w:t>
      </w:r>
      <w:r w:rsidR="42546788">
        <w:t xml:space="preserve"> working lives</w:t>
      </w:r>
      <w:r>
        <w:t>.</w:t>
      </w:r>
      <w:r w:rsidRPr="7B33A330">
        <w:rPr>
          <w:rStyle w:val="FootnoteReference"/>
        </w:rPr>
        <w:footnoteReference w:id="62"/>
      </w:r>
    </w:p>
    <w:p w14:paraId="70B23F91" w14:textId="7FDD53AC" w:rsidR="4FC2008F" w:rsidRDefault="4FC2008F" w:rsidP="7B33A330">
      <w:r>
        <w:t xml:space="preserve">In any event, tax </w:t>
      </w:r>
      <w:r w:rsidR="77ED1636">
        <w:t xml:space="preserve">concessions </w:t>
      </w:r>
      <w:r>
        <w:t>for superannuation contributions should be restructured to make them fair before the SG increases above 10%.</w:t>
      </w:r>
      <w:r w:rsidR="66A9C215">
        <w:t xml:space="preserve"> Pe</w:t>
      </w:r>
      <w:r>
        <w:t xml:space="preserve">ople on low and modest </w:t>
      </w:r>
      <w:r w:rsidR="204516AB">
        <w:t xml:space="preserve">incomes presently </w:t>
      </w:r>
      <w:r>
        <w:t>receive little or no support from $</w:t>
      </w:r>
      <w:r w:rsidR="187EAF24">
        <w:t>25</w:t>
      </w:r>
      <w:r>
        <w:t xml:space="preserve"> billion a year in </w:t>
      </w:r>
      <w:r w:rsidR="5553F053">
        <w:t>foregone public revenue.</w:t>
      </w:r>
      <w:r w:rsidR="33EAB8C3">
        <w:t xml:space="preserve"> A</w:t>
      </w:r>
      <w:r>
        <w:t xml:space="preserve"> worker earning $20,000 (more likely to be a woman) receives no tax support for employer contributions while another worker on $200,000 (more likely to be a man) saves 32 cents in tax per dollar contributed. This is due to the way their marginal tax rates interact with the inequitable </w:t>
      </w:r>
      <w:r w:rsidR="6860270F">
        <w:t xml:space="preserve">flat </w:t>
      </w:r>
      <w:r>
        <w:t>15% tax on employer contributions.</w:t>
      </w:r>
    </w:p>
    <w:p w14:paraId="21F9BD51" w14:textId="7D4A77AD" w:rsidR="5E62833A" w:rsidRDefault="5E62833A" w:rsidP="7B33A330">
      <w:r>
        <w:t xml:space="preserve">The system particularly disadvantages women, who have lower earnings and marginal tax rates than men. In 2017, 11% of female taxpayers earned less than $30,000 compared with 9% of men. At those income levels, people generally receive no tax benefit from super contributions since the Low Income Superannuation Tax Offset merely offsets the 15% tax deducted from their employer contributions. </w:t>
      </w:r>
    </w:p>
    <w:p w14:paraId="64E57357" w14:textId="6F617AD8" w:rsidR="72948079" w:rsidRDefault="72948079" w:rsidP="7B33A330">
      <w:r>
        <w:t>T</w:t>
      </w:r>
      <w:r w:rsidR="4FC2008F">
        <w:t xml:space="preserve">his flat superannuation tax </w:t>
      </w:r>
      <w:r w:rsidR="21D290E0">
        <w:t xml:space="preserve">should </w:t>
      </w:r>
      <w:r w:rsidR="4FC2008F">
        <w:t xml:space="preserve">be replaced with a rebate </w:t>
      </w:r>
      <w:r w:rsidR="75160963">
        <w:t xml:space="preserve">(for example, 20% of contributions from all sources) </w:t>
      </w:r>
      <w:r w:rsidR="4FC2008F">
        <w:t>that provides the same or greater support for each dollar of contributions for people with low incomes as that provided to middle and high income-earners. This would be paid for by reducing tax breaks for people with high incomes</w:t>
      </w:r>
      <w:r w:rsidR="704D35E3">
        <w:t>.</w:t>
      </w:r>
      <w:r w:rsidR="4FC2008F">
        <w:t xml:space="preserve"> </w:t>
      </w:r>
      <w:r w:rsidR="3C75FB17">
        <w:t>In addition, to make super worthwhile for people with very low incomes, a higher rebate (for example 100%) could be paid for (say) the first $500 a year contributed to super accounts.</w:t>
      </w:r>
    </w:p>
    <w:p w14:paraId="4E1F7359" w14:textId="5C3A821E" w:rsidR="000B50DA" w:rsidRDefault="548AEF89" w:rsidP="7B33A330">
      <w:r>
        <w:t xml:space="preserve">Tax breaks on contributions to be capped at a lower level than the present $25,000 a year (for example, $15,000) so that average wage earners are not subsidising luxurious retirement living standards. </w:t>
      </w:r>
    </w:p>
    <w:p w14:paraId="48935283" w14:textId="6EF4FFD2" w:rsidR="000B50DA" w:rsidRDefault="1FC4CE67" w:rsidP="7B33A330">
      <w:pPr>
        <w:rPr>
          <w:i/>
          <w:iCs/>
        </w:rPr>
      </w:pPr>
      <w:r>
        <w:lastRenderedPageBreak/>
        <w:t>Th</w:t>
      </w:r>
      <w:r w:rsidR="5D66543B">
        <w:t xml:space="preserve">e impact of this reform on the marginal tax rate applied to contributions just above the Superannuation Guarantee </w:t>
      </w:r>
      <w:r w:rsidR="140764B6">
        <w:t>I</w:t>
      </w:r>
      <w:r w:rsidR="20772C80">
        <w:t>s</w:t>
      </w:r>
      <w:r w:rsidR="140764B6">
        <w:t xml:space="preserve"> </w:t>
      </w:r>
      <w:r w:rsidR="6EA384D0">
        <w:t>i</w:t>
      </w:r>
      <w:r w:rsidR="717B1214">
        <w:t>llustrated in</w:t>
      </w:r>
      <w:r w:rsidR="717B1214" w:rsidRPr="00F64995">
        <w:t xml:space="preserve"> </w:t>
      </w:r>
      <w:r w:rsidR="00F64995" w:rsidRPr="00F64995">
        <w:t>(</w:t>
      </w:r>
      <w:r w:rsidR="717B1214" w:rsidRPr="00F64995">
        <w:rPr>
          <w:iCs/>
        </w:rPr>
        <w:t xml:space="preserve">Figure </w:t>
      </w:r>
      <w:r w:rsidR="00F64995" w:rsidRPr="00F64995">
        <w:rPr>
          <w:iCs/>
        </w:rPr>
        <w:t>3)</w:t>
      </w:r>
      <w:r w:rsidR="717B1214" w:rsidRPr="00F64995">
        <w:rPr>
          <w:iCs/>
        </w:rPr>
        <w:t xml:space="preserve">. </w:t>
      </w:r>
    </w:p>
    <w:p w14:paraId="1A414E09" w14:textId="04ACCCCA" w:rsidR="000B50DA" w:rsidRDefault="1FC4CE67" w:rsidP="7B33A330">
      <w:pPr>
        <w:rPr>
          <w:b/>
          <w:bCs/>
          <w:sz w:val="22"/>
        </w:rPr>
      </w:pPr>
      <w:r w:rsidRPr="7B33A330">
        <w:rPr>
          <w:b/>
          <w:bCs/>
          <w:sz w:val="22"/>
        </w:rPr>
        <w:t xml:space="preserve">Figure </w:t>
      </w:r>
      <w:r w:rsidR="00F64995">
        <w:rPr>
          <w:b/>
          <w:bCs/>
          <w:sz w:val="22"/>
        </w:rPr>
        <w:t>3</w:t>
      </w:r>
      <w:r w:rsidR="00C844B2">
        <w:rPr>
          <w:b/>
          <w:bCs/>
          <w:sz w:val="22"/>
        </w:rPr>
        <w:t xml:space="preserve"> </w:t>
      </w:r>
      <w:r w:rsidR="00C844B2" w:rsidRPr="00C844B2">
        <w:rPr>
          <w:b/>
          <w:bCs/>
          <w:sz w:val="22"/>
        </w:rPr>
        <w:t>Tax saved, in cents per dollar contributed about the Super Guarantee, at different income levels (existing system and ACOSS rebate)</w:t>
      </w:r>
    </w:p>
    <w:p w14:paraId="33925A9E" w14:textId="085ACF76" w:rsidR="000B50DA" w:rsidRDefault="00C844B2" w:rsidP="7B33A330">
      <w:r w:rsidRPr="00C844B2">
        <w:rPr>
          <w:noProof/>
          <w:lang w:val="en-AU" w:eastAsia="en-AU"/>
        </w:rPr>
        <w:drawing>
          <wp:inline distT="0" distB="0" distL="0" distR="0" wp14:anchorId="017A64CB" wp14:editId="4E435683">
            <wp:extent cx="4411980" cy="3139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1980" cy="3139440"/>
                    </a:xfrm>
                    <a:prstGeom prst="rect">
                      <a:avLst/>
                    </a:prstGeom>
                    <a:noFill/>
                    <a:ln>
                      <a:noFill/>
                    </a:ln>
                  </pic:spPr>
                </pic:pic>
              </a:graphicData>
            </a:graphic>
          </wp:inline>
        </w:drawing>
      </w:r>
    </w:p>
    <w:p w14:paraId="623DB3C1" w14:textId="77E6905B" w:rsidR="000B50DA" w:rsidRDefault="0D3205A8" w:rsidP="7B33A330">
      <w:pPr>
        <w:spacing w:line="276" w:lineRule="auto"/>
        <w:jc w:val="center"/>
      </w:pPr>
      <w:r w:rsidRPr="7B33A330">
        <w:rPr>
          <w:rFonts w:ascii="Calibri" w:eastAsia="Calibri" w:hAnsi="Calibri" w:cs="Calibri"/>
          <w:b/>
          <w:bCs/>
          <w:szCs w:val="20"/>
        </w:rPr>
        <w:t>Figure 3: Tax saved, in cents per dollar contributed about the Super Guarantee, at different income levels (existing system and ACOSS rebate)</w:t>
      </w:r>
    </w:p>
    <w:p w14:paraId="57EA71E9" w14:textId="2CE5F000" w:rsidR="000B50DA" w:rsidRDefault="1FC4CE67" w:rsidP="7B33A330">
      <w:pPr>
        <w:rPr>
          <w:sz w:val="18"/>
          <w:szCs w:val="18"/>
        </w:rPr>
      </w:pPr>
      <w:r w:rsidRPr="7B33A330">
        <w:rPr>
          <w:sz w:val="18"/>
          <w:szCs w:val="18"/>
        </w:rPr>
        <w:t>Note: Marginal tax rate of additional employer contributions above the superannuation guarantee. The existing 15% tax is offset by a rebate for those below the tax-free threshold, so that the tax concession in those cases is effectively zero.</w:t>
      </w:r>
      <w:r w:rsidR="000B50DA">
        <w:br/>
      </w:r>
      <w:r w:rsidRPr="7B33A330">
        <w:rPr>
          <w:sz w:val="18"/>
          <w:szCs w:val="18"/>
        </w:rPr>
        <w:t xml:space="preserve"> The proposed rebate is more generous for SG contributions for middle income earners than the present 15% tax rate, so most middle income-earners would be financially better off.</w:t>
      </w:r>
    </w:p>
    <w:p w14:paraId="3C359A83" w14:textId="4F751936" w:rsidR="14E685DB" w:rsidRDefault="00F64995" w:rsidP="7B33A330">
      <w:pPr>
        <w:pStyle w:val="Recommendation"/>
        <w:rPr>
          <w:color w:val="000000" w:themeColor="text1"/>
        </w:rPr>
      </w:pPr>
      <w:r>
        <w:rPr>
          <w:rFonts w:eastAsiaTheme="minorEastAsia"/>
          <w:bCs/>
          <w:color w:val="C00000"/>
          <w:szCs w:val="20"/>
        </w:rPr>
        <w:t xml:space="preserve">Recommendation </w:t>
      </w:r>
      <w:r w:rsidR="00D56259">
        <w:rPr>
          <w:rFonts w:eastAsiaTheme="minorEastAsia"/>
          <w:bCs/>
          <w:color w:val="C00000"/>
          <w:szCs w:val="20"/>
        </w:rPr>
        <w:t>4</w:t>
      </w:r>
      <w:r w:rsidR="0026289A">
        <w:rPr>
          <w:rFonts w:eastAsiaTheme="minorEastAsia"/>
          <w:bCs/>
          <w:color w:val="C00000"/>
          <w:szCs w:val="20"/>
        </w:rPr>
        <w:t>8</w:t>
      </w:r>
      <w:r w:rsidR="14E685DB" w:rsidRPr="007376C2">
        <w:rPr>
          <w:rFonts w:eastAsiaTheme="minorEastAsia"/>
          <w:bCs/>
          <w:color w:val="C00000"/>
          <w:szCs w:val="20"/>
        </w:rPr>
        <w:t xml:space="preserve">: </w:t>
      </w:r>
      <w:r w:rsidR="4E8142A8" w:rsidRPr="006B1312">
        <w:rPr>
          <w:rFonts w:eastAsiaTheme="minorEastAsia"/>
          <w:bCs/>
          <w:color w:val="000000" w:themeColor="text1"/>
          <w:szCs w:val="20"/>
        </w:rPr>
        <w:t>Universal c</w:t>
      </w:r>
      <w:r w:rsidR="14E685DB" w:rsidRPr="006B1312">
        <w:rPr>
          <w:rFonts w:eastAsiaTheme="minorEastAsia"/>
          <w:bCs/>
          <w:color w:val="000000" w:themeColor="text1"/>
          <w:szCs w:val="20"/>
        </w:rPr>
        <w:t>ompulsory super contributions should remain at 10% un</w:t>
      </w:r>
      <w:r w:rsidR="2713455B" w:rsidRPr="006B1312">
        <w:rPr>
          <w:rFonts w:eastAsiaTheme="minorEastAsia"/>
          <w:bCs/>
          <w:color w:val="000000" w:themeColor="text1"/>
          <w:szCs w:val="20"/>
        </w:rPr>
        <w:t>less</w:t>
      </w:r>
      <w:r w:rsidR="14E685DB" w:rsidRPr="006B1312">
        <w:rPr>
          <w:rFonts w:eastAsiaTheme="minorEastAsia"/>
          <w:bCs/>
          <w:color w:val="000000" w:themeColor="text1"/>
          <w:szCs w:val="20"/>
        </w:rPr>
        <w:t xml:space="preserve"> </w:t>
      </w:r>
      <w:r w:rsidR="7A1CBD4D" w:rsidRPr="006B1312">
        <w:rPr>
          <w:rFonts w:eastAsiaTheme="minorEastAsia"/>
          <w:bCs/>
          <w:color w:val="000000" w:themeColor="text1"/>
          <w:szCs w:val="20"/>
        </w:rPr>
        <w:t xml:space="preserve">it is </w:t>
      </w:r>
      <w:r w:rsidR="6359F4B7" w:rsidRPr="006B1312">
        <w:rPr>
          <w:rFonts w:eastAsiaTheme="minorEastAsia"/>
          <w:bCs/>
          <w:color w:val="000000" w:themeColor="text1"/>
          <w:szCs w:val="20"/>
        </w:rPr>
        <w:t xml:space="preserve">demonstrated </w:t>
      </w:r>
      <w:r w:rsidR="2638EB7B" w:rsidRPr="006B1312">
        <w:rPr>
          <w:rFonts w:eastAsiaTheme="minorEastAsia"/>
          <w:bCs/>
          <w:color w:val="000000" w:themeColor="text1"/>
          <w:szCs w:val="20"/>
        </w:rPr>
        <w:t xml:space="preserve">that higher contributions would </w:t>
      </w:r>
      <w:r w:rsidR="6359F4B7" w:rsidRPr="006B1312">
        <w:rPr>
          <w:rFonts w:eastAsiaTheme="minorEastAsia"/>
          <w:bCs/>
          <w:color w:val="000000" w:themeColor="text1"/>
          <w:szCs w:val="20"/>
        </w:rPr>
        <w:t xml:space="preserve">benefit people </w:t>
      </w:r>
      <w:r w:rsidR="1EB518F6" w:rsidRPr="006B1312">
        <w:rPr>
          <w:rFonts w:eastAsiaTheme="minorEastAsia"/>
          <w:bCs/>
          <w:color w:val="000000" w:themeColor="text1"/>
          <w:szCs w:val="20"/>
        </w:rPr>
        <w:t xml:space="preserve">on </w:t>
      </w:r>
      <w:r w:rsidR="6359F4B7" w:rsidRPr="006B1312">
        <w:rPr>
          <w:rFonts w:eastAsiaTheme="minorEastAsia"/>
          <w:bCs/>
          <w:color w:val="000000" w:themeColor="text1"/>
          <w:szCs w:val="20"/>
        </w:rPr>
        <w:t>low and modest incomes</w:t>
      </w:r>
      <w:r w:rsidR="14E685DB" w:rsidRPr="006B1312">
        <w:rPr>
          <w:rFonts w:eastAsiaTheme="minorEastAsia"/>
          <w:bCs/>
          <w:color w:val="000000" w:themeColor="text1"/>
          <w:szCs w:val="20"/>
        </w:rPr>
        <w:t xml:space="preserve"> </w:t>
      </w:r>
      <w:r w:rsidR="14E685DB" w:rsidRPr="7B33A330">
        <w:rPr>
          <w:rFonts w:eastAsiaTheme="minorEastAsia"/>
          <w:bCs/>
          <w:szCs w:val="20"/>
        </w:rPr>
        <w:t xml:space="preserve"> </w:t>
      </w:r>
    </w:p>
    <w:p w14:paraId="15E58BA7" w14:textId="6F8D2E4A" w:rsidR="7B33A330" w:rsidRDefault="7B33A330" w:rsidP="7B33A330">
      <w:pPr>
        <w:pStyle w:val="ListNumber"/>
        <w:numPr>
          <w:ilvl w:val="0"/>
          <w:numId w:val="0"/>
        </w:numPr>
        <w:rPr>
          <w:b/>
          <w:bCs/>
        </w:rPr>
      </w:pPr>
      <w:r>
        <w:br/>
      </w:r>
      <w:r w:rsidR="618E9110" w:rsidRPr="7B33A330">
        <w:rPr>
          <w:b/>
          <w:bCs/>
        </w:rPr>
        <w:t xml:space="preserve">(1) Compulsory superannuation should remain universal, with the same compulsory saving requirements and conditions applying as far as practicable to all employees. </w:t>
      </w:r>
      <w:r>
        <w:br/>
      </w:r>
    </w:p>
    <w:p w14:paraId="71359B8A" w14:textId="695515C1" w:rsidR="618E9110" w:rsidRDefault="00EC50AE" w:rsidP="7B33A330">
      <w:pPr>
        <w:pStyle w:val="ListNumber"/>
        <w:numPr>
          <w:ilvl w:val="0"/>
          <w:numId w:val="0"/>
        </w:numPr>
      </w:pPr>
      <w:r>
        <w:rPr>
          <w:b/>
          <w:bCs/>
        </w:rPr>
        <w:t>(2) The S</w:t>
      </w:r>
      <w:r w:rsidR="618E9110" w:rsidRPr="7B33A330">
        <w:rPr>
          <w:b/>
          <w:bCs/>
        </w:rPr>
        <w:t>uperannu</w:t>
      </w:r>
      <w:r>
        <w:rPr>
          <w:b/>
          <w:bCs/>
        </w:rPr>
        <w:t>ation G</w:t>
      </w:r>
      <w:r w:rsidR="618E9110" w:rsidRPr="7B33A330">
        <w:rPr>
          <w:b/>
          <w:bCs/>
        </w:rPr>
        <w:t xml:space="preserve">uarantee should increase </w:t>
      </w:r>
      <w:r w:rsidR="394BA234" w:rsidRPr="7B33A330">
        <w:rPr>
          <w:b/>
          <w:bCs/>
        </w:rPr>
        <w:t xml:space="preserve">to </w:t>
      </w:r>
      <w:r w:rsidR="618E9110" w:rsidRPr="7B33A330">
        <w:rPr>
          <w:b/>
          <w:bCs/>
        </w:rPr>
        <w:t>10% as scheduled.</w:t>
      </w:r>
      <w:r w:rsidR="618E9110">
        <w:br/>
      </w:r>
    </w:p>
    <w:p w14:paraId="7DAD0A7C" w14:textId="56BAFB8F" w:rsidR="618E9110" w:rsidRDefault="618E9110" w:rsidP="7B33A330">
      <w:pPr>
        <w:pStyle w:val="ListNumber"/>
        <w:numPr>
          <w:ilvl w:val="0"/>
          <w:numId w:val="0"/>
        </w:numPr>
      </w:pPr>
      <w:r w:rsidRPr="7B33A330">
        <w:rPr>
          <w:b/>
          <w:bCs/>
        </w:rPr>
        <w:t>(3) It should only increase above 10% where:</w:t>
      </w:r>
    </w:p>
    <w:p w14:paraId="1BF6E402" w14:textId="3888F51B" w:rsidR="618E9110" w:rsidRDefault="618E9110" w:rsidP="00F13F51">
      <w:pPr>
        <w:pStyle w:val="ListNumber"/>
        <w:numPr>
          <w:ilvl w:val="0"/>
          <w:numId w:val="7"/>
        </w:numPr>
        <w:rPr>
          <w:rFonts w:asciiTheme="minorHAnsi" w:eastAsiaTheme="minorEastAsia" w:hAnsiTheme="minorHAnsi"/>
          <w:b/>
          <w:bCs/>
          <w:szCs w:val="20"/>
        </w:rPr>
      </w:pPr>
      <w:r w:rsidRPr="7B33A330">
        <w:rPr>
          <w:b/>
          <w:bCs/>
        </w:rPr>
        <w:t xml:space="preserve">The tax treatment of superannuation contributions is reformed </w:t>
      </w:r>
      <w:r w:rsidR="202C45E4" w:rsidRPr="7B33A330">
        <w:rPr>
          <w:b/>
          <w:bCs/>
        </w:rPr>
        <w:t>in a revenue neutral way so that low income-earners receive at least the same benefit per dollar contributed as high income-earners;</w:t>
      </w:r>
    </w:p>
    <w:p w14:paraId="1B8138D6" w14:textId="1C7C3C90" w:rsidR="202C45E4" w:rsidRDefault="202C45E4" w:rsidP="00F13F51">
      <w:pPr>
        <w:pStyle w:val="ListNumber"/>
        <w:numPr>
          <w:ilvl w:val="0"/>
          <w:numId w:val="7"/>
        </w:numPr>
        <w:rPr>
          <w:b/>
          <w:bCs/>
          <w:szCs w:val="20"/>
        </w:rPr>
      </w:pPr>
      <w:r w:rsidRPr="7B33A330">
        <w:rPr>
          <w:b/>
          <w:bCs/>
        </w:rPr>
        <w:t xml:space="preserve">Higher compulsory contributions are of demonstrated benefit to people with low and modest incomes during working life, taking account </w:t>
      </w:r>
      <w:r w:rsidR="0A5594AF" w:rsidRPr="7B33A330">
        <w:rPr>
          <w:b/>
          <w:bCs/>
        </w:rPr>
        <w:t xml:space="preserve">of </w:t>
      </w:r>
      <w:r w:rsidRPr="7B33A330">
        <w:rPr>
          <w:b/>
          <w:bCs/>
        </w:rPr>
        <w:t xml:space="preserve">their </w:t>
      </w:r>
      <w:r w:rsidR="45526E6D" w:rsidRPr="7B33A330">
        <w:rPr>
          <w:b/>
          <w:bCs/>
        </w:rPr>
        <w:t>typical living standards before and after retirement and the impact of higher contributions on wage increases.</w:t>
      </w:r>
      <w:r w:rsidRPr="7B33A330">
        <w:rPr>
          <w:b/>
          <w:bCs/>
        </w:rPr>
        <w:t xml:space="preserve">  </w:t>
      </w:r>
      <w:r>
        <w:br/>
      </w:r>
    </w:p>
    <w:p w14:paraId="1DE52903" w14:textId="0D582BFC" w:rsidR="35FB2B2A" w:rsidRDefault="00F64995" w:rsidP="7B33A330">
      <w:pPr>
        <w:pStyle w:val="Recommendation"/>
        <w:rPr>
          <w:color w:val="000000" w:themeColor="text1"/>
        </w:rPr>
      </w:pPr>
      <w:r>
        <w:rPr>
          <w:rFonts w:eastAsiaTheme="minorEastAsia"/>
          <w:bCs/>
          <w:color w:val="C00000"/>
          <w:szCs w:val="20"/>
        </w:rPr>
        <w:lastRenderedPageBreak/>
        <w:t xml:space="preserve">Recommendation </w:t>
      </w:r>
      <w:r w:rsidR="00D56259">
        <w:rPr>
          <w:rFonts w:eastAsiaTheme="minorEastAsia"/>
          <w:bCs/>
          <w:color w:val="C00000"/>
          <w:szCs w:val="20"/>
        </w:rPr>
        <w:t>4</w:t>
      </w:r>
      <w:r w:rsidR="0026289A">
        <w:rPr>
          <w:rFonts w:eastAsiaTheme="minorEastAsia"/>
          <w:bCs/>
          <w:color w:val="C00000"/>
          <w:szCs w:val="20"/>
        </w:rPr>
        <w:t>9</w:t>
      </w:r>
      <w:r w:rsidR="35FB2B2A" w:rsidRPr="007376C2">
        <w:rPr>
          <w:rFonts w:eastAsiaTheme="minorEastAsia"/>
          <w:bCs/>
          <w:color w:val="C00000"/>
          <w:szCs w:val="20"/>
        </w:rPr>
        <w:t>:</w:t>
      </w:r>
      <w:r w:rsidR="35FB2B2A" w:rsidRPr="7B33A330">
        <w:rPr>
          <w:rFonts w:eastAsiaTheme="minorEastAsia"/>
          <w:bCs/>
          <w:szCs w:val="20"/>
        </w:rPr>
        <w:t xml:space="preserve"> </w:t>
      </w:r>
      <w:r w:rsidR="35FB2B2A" w:rsidRPr="006B1312">
        <w:rPr>
          <w:rFonts w:eastAsiaTheme="minorEastAsia"/>
          <w:bCs/>
          <w:color w:val="auto"/>
          <w:szCs w:val="20"/>
        </w:rPr>
        <w:t>Fair and simple tax concessions for superannuation contributions</w:t>
      </w:r>
      <w:r w:rsidR="35FB2B2A" w:rsidRPr="006B1312">
        <w:rPr>
          <w:color w:val="auto"/>
        </w:rPr>
        <w:t xml:space="preserve"> </w:t>
      </w:r>
    </w:p>
    <w:p w14:paraId="2EF2D781" w14:textId="46328CAF" w:rsidR="7B33A330" w:rsidRDefault="7B33A330" w:rsidP="7B33A330">
      <w:pPr>
        <w:pStyle w:val="ListNumber"/>
        <w:numPr>
          <w:ilvl w:val="0"/>
          <w:numId w:val="0"/>
        </w:numPr>
        <w:rPr>
          <w:b/>
          <w:bCs/>
        </w:rPr>
      </w:pPr>
      <w:r>
        <w:br/>
      </w:r>
      <w:r w:rsidR="20A39D9D" w:rsidRPr="7B33A330">
        <w:rPr>
          <w:b/>
          <w:bCs/>
        </w:rPr>
        <w:t xml:space="preserve">(1) All tax concessions for superannuation contributions (including the 15% employer contributions tax rate, deductions for contributions, and rebates for contributions by low-income earners and for spouses) should be replaced in a revenue-neutral way by an annual two-tier refundable rebate paid into the fund, </w:t>
      </w:r>
      <w:r w:rsidR="393EA443" w:rsidRPr="7B33A330">
        <w:rPr>
          <w:b/>
          <w:bCs/>
        </w:rPr>
        <w:t>c</w:t>
      </w:r>
      <w:r w:rsidR="20A39D9D" w:rsidRPr="7B33A330">
        <w:rPr>
          <w:b/>
          <w:bCs/>
        </w:rPr>
        <w:t>apped at a contribution level sufficient to support (along with the Age Pension) an acceptable retirement income for a typical worker.</w:t>
      </w:r>
    </w:p>
    <w:p w14:paraId="6E4ED2DE" w14:textId="4B6BB0A2" w:rsidR="20A39D9D" w:rsidRDefault="20A39D9D" w:rsidP="7B33A330">
      <w:r w:rsidRPr="7B33A330">
        <w:rPr>
          <w:b/>
          <w:bCs/>
        </w:rPr>
        <w:t>(2) The rebate for concessional contributions would be structured as follows:</w:t>
      </w:r>
    </w:p>
    <w:p w14:paraId="3BB3B3E7" w14:textId="523BF571" w:rsidR="20A39D9D" w:rsidRPr="00D56259" w:rsidRDefault="20A39D9D" w:rsidP="00F13F51">
      <w:pPr>
        <w:pStyle w:val="ListParagraph"/>
        <w:numPr>
          <w:ilvl w:val="0"/>
          <w:numId w:val="8"/>
        </w:numPr>
        <w:rPr>
          <w:rFonts w:asciiTheme="minorHAnsi" w:eastAsiaTheme="minorEastAsia" w:hAnsiTheme="minorHAnsi"/>
          <w:b/>
        </w:rPr>
      </w:pPr>
      <w:r w:rsidRPr="00D56259">
        <w:rPr>
          <w:b/>
        </w:rPr>
        <w:t>100 cents per dollar contributed from any source up to $500 per year (not income-tested, indexed to movements in average full-time earnings), to support retirement saving by low paid part-time workers and replace the Low Income Super</w:t>
      </w:r>
      <w:r w:rsidR="5C9955ED" w:rsidRPr="00D56259">
        <w:rPr>
          <w:b/>
        </w:rPr>
        <w:t>annuation</w:t>
      </w:r>
      <w:r w:rsidRPr="00D56259">
        <w:rPr>
          <w:b/>
        </w:rPr>
        <w:t xml:space="preserve"> Tax Offset;</w:t>
      </w:r>
    </w:p>
    <w:p w14:paraId="67552338" w14:textId="35D5A3EC" w:rsidR="20A39D9D" w:rsidRPr="00D56259" w:rsidRDefault="20A39D9D" w:rsidP="00F13F51">
      <w:pPr>
        <w:pStyle w:val="ListParagraph"/>
        <w:numPr>
          <w:ilvl w:val="0"/>
          <w:numId w:val="8"/>
        </w:numPr>
        <w:rPr>
          <w:rFonts w:asciiTheme="minorHAnsi" w:eastAsiaTheme="minorEastAsia" w:hAnsiTheme="minorHAnsi"/>
          <w:b/>
        </w:rPr>
      </w:pPr>
      <w:r w:rsidRPr="00D56259">
        <w:rPr>
          <w:b/>
        </w:rPr>
        <w:t>Plus 20 cents per additional dollar contributed from any source up to $15,000 (indexed to movements in average full-time earnings), with no higher cap for ‘catch-up’ contributions;</w:t>
      </w:r>
    </w:p>
    <w:p w14:paraId="6BF37D47" w14:textId="0D91DD0A" w:rsidR="20A39D9D" w:rsidRPr="00D56259" w:rsidRDefault="20A39D9D" w:rsidP="00F13F51">
      <w:pPr>
        <w:pStyle w:val="ListParagraph"/>
        <w:numPr>
          <w:ilvl w:val="0"/>
          <w:numId w:val="8"/>
        </w:numPr>
        <w:rPr>
          <w:rFonts w:asciiTheme="minorHAnsi" w:eastAsiaTheme="minorEastAsia" w:hAnsiTheme="minorHAnsi"/>
          <w:b/>
        </w:rPr>
      </w:pPr>
      <w:r w:rsidRPr="00D56259">
        <w:rPr>
          <w:b/>
        </w:rPr>
        <w:t xml:space="preserve">For this purpose, contributions would be calculated as net </w:t>
      </w:r>
      <w:proofErr w:type="gramStart"/>
      <w:r w:rsidRPr="00D56259">
        <w:rPr>
          <w:b/>
        </w:rPr>
        <w:t>contributions, that</w:t>
      </w:r>
      <w:proofErr w:type="gramEnd"/>
      <w:r w:rsidRPr="00D56259">
        <w:rPr>
          <w:b/>
        </w:rPr>
        <w:t xml:space="preserve"> is all contributions made to a person’s superannuation accounts in a given year minus any benefits paid, in order to curb tax avoidance through ‘re-contribution strategies</w:t>
      </w:r>
      <w:r w:rsidR="21209F61" w:rsidRPr="00D56259">
        <w:rPr>
          <w:b/>
        </w:rPr>
        <w:t>.</w:t>
      </w:r>
    </w:p>
    <w:p w14:paraId="2640C5C7" w14:textId="40A44FC6" w:rsidR="7B33A330" w:rsidRDefault="7B33A330" w:rsidP="7B33A330">
      <w:pPr>
        <w:spacing w:after="0" w:line="240" w:lineRule="auto"/>
        <w:jc w:val="both"/>
        <w:rPr>
          <w:b/>
          <w:bCs/>
        </w:rPr>
      </w:pPr>
    </w:p>
    <w:p w14:paraId="4D0CCAB9" w14:textId="7AED6B25" w:rsidR="52272CEF" w:rsidRDefault="52272CEF" w:rsidP="7B33A330">
      <w:pPr>
        <w:rPr>
          <w:b/>
          <w:bCs/>
        </w:rPr>
      </w:pPr>
      <w:r w:rsidRPr="7B33A330">
        <w:rPr>
          <w:b/>
          <w:bCs/>
        </w:rPr>
        <w:t xml:space="preserve">(3) </w:t>
      </w:r>
      <w:r w:rsidR="20A39D9D" w:rsidRPr="7B33A330">
        <w:rPr>
          <w:b/>
          <w:bCs/>
        </w:rPr>
        <w:t>The annual non-concessional contributions cap should be reduced to three times the new concessional cap ($45,000), and the ability to contribute up to three years’ contributions within the cap in a single year should be removed</w:t>
      </w:r>
      <w:r w:rsidR="2287B046" w:rsidRPr="7B33A330">
        <w:rPr>
          <w:b/>
          <w:bCs/>
        </w:rPr>
        <w:t>.</w:t>
      </w:r>
    </w:p>
    <w:p w14:paraId="34869220" w14:textId="44E9273C" w:rsidR="5B7A39B8" w:rsidRDefault="5B7A39B8" w:rsidP="7B33A330">
      <w:pPr>
        <w:rPr>
          <w:b/>
          <w:bCs/>
        </w:rPr>
      </w:pPr>
      <w:r w:rsidRPr="7B33A330">
        <w:rPr>
          <w:b/>
          <w:bCs/>
        </w:rPr>
        <w:t xml:space="preserve">(4) </w:t>
      </w:r>
      <w:r w:rsidR="20A39D9D" w:rsidRPr="7B33A330">
        <w:rPr>
          <w:b/>
          <w:bCs/>
        </w:rPr>
        <w:t>The exception to the general prohibition on direct borrowing by super funds for limited recourse borrowing arrangements by self-managed funds should be removed</w:t>
      </w:r>
      <w:r w:rsidR="1D148A2A" w:rsidRPr="7B33A330">
        <w:rPr>
          <w:b/>
          <w:bCs/>
        </w:rPr>
        <w:t>.</w:t>
      </w:r>
    </w:p>
    <w:p w14:paraId="489BA1FB" w14:textId="262CDF06" w:rsidR="797AB9C7" w:rsidRDefault="797AB9C7" w:rsidP="000B50DA">
      <w:pPr>
        <w:pStyle w:val="Recommendation"/>
      </w:pPr>
      <w:r w:rsidRPr="007376C2">
        <w:rPr>
          <w:color w:val="C00000"/>
        </w:rPr>
        <w:t>Budget impact:</w:t>
      </w:r>
      <w:r>
        <w:rPr>
          <w:b w:val="0"/>
        </w:rPr>
        <w:t xml:space="preserve"> </w:t>
      </w:r>
      <w:r w:rsidRPr="00A74420">
        <w:rPr>
          <w:rFonts w:eastAsiaTheme="minorEastAsia"/>
          <w:bCs/>
          <w:i/>
          <w:color w:val="000000" w:themeColor="text1"/>
          <w:szCs w:val="20"/>
        </w:rPr>
        <w:t>$</w:t>
      </w:r>
      <w:r w:rsidR="01975722" w:rsidRPr="00A74420">
        <w:rPr>
          <w:rFonts w:eastAsiaTheme="minorEastAsia"/>
          <w:bCs/>
          <w:i/>
          <w:color w:val="000000" w:themeColor="text1"/>
          <w:szCs w:val="20"/>
        </w:rPr>
        <w:t>0</w:t>
      </w:r>
    </w:p>
    <w:p w14:paraId="24E080F3" w14:textId="77777777" w:rsidR="006B1312" w:rsidRPr="006B1312" w:rsidRDefault="006B1312" w:rsidP="002227D8">
      <w:pPr>
        <w:pStyle w:val="ListNumber"/>
        <w:numPr>
          <w:ilvl w:val="0"/>
          <w:numId w:val="0"/>
        </w:numPr>
      </w:pPr>
    </w:p>
    <w:p w14:paraId="1BF4158C" w14:textId="04B1A533" w:rsidR="30B1BE2D" w:rsidRDefault="07297CB3" w:rsidP="003520E9">
      <w:pPr>
        <w:pStyle w:val="Heading2"/>
      </w:pPr>
      <w:bookmarkStart w:id="88" w:name="_Toc63685981"/>
      <w:r>
        <w:t>Reform the taxation of superannuation post-retirement to help pay for aged care</w:t>
      </w:r>
      <w:bookmarkEnd w:id="88"/>
    </w:p>
    <w:p w14:paraId="3C24139D" w14:textId="7218334E" w:rsidR="0C97F328" w:rsidRDefault="0C97F328" w:rsidP="7B33A330">
      <w:r>
        <w:t>It will not be possible for future governments to properly fund aged care and health services for an ageing population as long as only 16% of older people pays income tax.</w:t>
      </w:r>
      <w:r w:rsidRPr="7B33A330">
        <w:rPr>
          <w:rStyle w:val="FootnoteReference"/>
        </w:rPr>
        <w:footnoteReference w:id="63"/>
      </w:r>
      <w:r>
        <w:t xml:space="preserve"> </w:t>
      </w:r>
    </w:p>
    <w:p w14:paraId="2DF43433" w14:textId="5EDAB3ED" w:rsidR="0C97F328" w:rsidRDefault="0C97F328" w:rsidP="7B33A330">
      <w:r>
        <w:t xml:space="preserve">We need to choose between over-generous tax breaks for retirement, decent services, or a steep rise in out-of-pocket costs for health and aged care. Older people are rightly concerned about the deficiencies in aged care revealed in the recent Royal Commission, and increases in out-of-pocket costs for those services, including large up-front deposits for residential care. </w:t>
      </w:r>
    </w:p>
    <w:p w14:paraId="1C68BFB5" w14:textId="1C9C2DD8" w:rsidR="0C97F328" w:rsidRDefault="0C97F328" w:rsidP="7B33A330">
      <w:r>
        <w:t>These concerns have led many people to avoid drawing down their retirement savings, reducing their current income and enjoyment of retirement while they are still healthy, in case they need the money for health and aged care services later in life. The outcome</w:t>
      </w:r>
      <w:r w:rsidR="3D157C5F">
        <w:t xml:space="preserve"> is</w:t>
      </w:r>
      <w:r>
        <w:t xml:space="preserve"> larger bequests</w:t>
      </w:r>
      <w:r w:rsidR="53D57238">
        <w:t xml:space="preserve"> instead of improved living standards in retirement</w:t>
      </w:r>
      <w:r>
        <w:t>.</w:t>
      </w:r>
    </w:p>
    <w:p w14:paraId="5870DA15" w14:textId="0AD670F3" w:rsidR="279F132D" w:rsidRDefault="279F132D" w:rsidP="7B33A330">
      <w:r>
        <w:t>T</w:t>
      </w:r>
      <w:r w:rsidR="100754E1">
        <w:t>he fiscal cost of t</w:t>
      </w:r>
      <w:r w:rsidR="4DE77F15">
        <w:t>ax concessions for superannuation</w:t>
      </w:r>
      <w:r w:rsidR="35E4AD65">
        <w:t xml:space="preserve">, especially post-retirement tax concessions, will rise substantially on current policy settings as the population ages and </w:t>
      </w:r>
      <w:r w:rsidR="35E4AD65">
        <w:lastRenderedPageBreak/>
        <w:t xml:space="preserve">the superannuation system matures. </w:t>
      </w:r>
      <w:r w:rsidR="00F64995" w:rsidRPr="00F64995">
        <w:t>Figure 4</w:t>
      </w:r>
      <w:r w:rsidR="782EDA41">
        <w:t xml:space="preserve"> shows that the cost of superannuation tax concessions is projected to rise from 2.1% of GDP in 2020 to 2.6% </w:t>
      </w:r>
      <w:r w:rsidR="26E1A86A">
        <w:t xml:space="preserve">in 2060, </w:t>
      </w:r>
      <w:r w:rsidR="10D8792D">
        <w:t>over a period</w:t>
      </w:r>
      <w:r w:rsidR="26E1A86A">
        <w:t xml:space="preserve"> </w:t>
      </w:r>
      <w:r w:rsidR="29938574">
        <w:t>when</w:t>
      </w:r>
      <w:r w:rsidR="26E1A86A">
        <w:t xml:space="preserve"> </w:t>
      </w:r>
      <w:r w:rsidR="4720997A">
        <w:t xml:space="preserve">budget </w:t>
      </w:r>
      <w:r w:rsidR="26E1A86A">
        <w:t xml:space="preserve">expenditures on health and aged care </w:t>
      </w:r>
      <w:r w:rsidR="0C4FCE30">
        <w:t xml:space="preserve">are </w:t>
      </w:r>
      <w:r w:rsidR="07338308">
        <w:t>expected</w:t>
      </w:r>
      <w:r w:rsidR="0C4FCE30">
        <w:t xml:space="preserve"> to rise substantially</w:t>
      </w:r>
      <w:r w:rsidR="028602DC">
        <w:t>.</w:t>
      </w:r>
      <w:r w:rsidR="782EDA41">
        <w:t xml:space="preserve"> </w:t>
      </w:r>
      <w:r w:rsidR="357CB592">
        <w:t xml:space="preserve">Most of the increase in fiscal costs comes from </w:t>
      </w:r>
      <w:r w:rsidR="5A366C08">
        <w:t xml:space="preserve">superannuation </w:t>
      </w:r>
      <w:r w:rsidR="357CB592">
        <w:t>fund earnings tax concessions.</w:t>
      </w:r>
    </w:p>
    <w:p w14:paraId="2A07264B" w14:textId="298E1497" w:rsidR="4DE77F15" w:rsidRDefault="00F64995" w:rsidP="00D56259">
      <w:pPr>
        <w:keepNext/>
        <w:rPr>
          <w:b/>
          <w:bCs/>
          <w:sz w:val="22"/>
        </w:rPr>
      </w:pPr>
      <w:r>
        <w:rPr>
          <w:b/>
          <w:bCs/>
          <w:sz w:val="22"/>
        </w:rPr>
        <w:t>Figure 4</w:t>
      </w:r>
      <w:r w:rsidR="4DE77F15" w:rsidRPr="7B33A330">
        <w:rPr>
          <w:b/>
          <w:bCs/>
          <w:sz w:val="22"/>
        </w:rPr>
        <w:t>: Projected cost of superannuation tax concessions (% of GDP)</w:t>
      </w:r>
    </w:p>
    <w:p w14:paraId="49C1CF66" w14:textId="362973DF" w:rsidR="4DE77F15" w:rsidRDefault="4DE77F15" w:rsidP="00F64995">
      <w:pPr>
        <w:jc w:val="center"/>
      </w:pPr>
      <w:r>
        <w:rPr>
          <w:noProof/>
          <w:color w:val="2B579A"/>
          <w:shd w:val="clear" w:color="auto" w:fill="E6E6E6"/>
          <w:lang w:val="en-AU" w:eastAsia="en-AU"/>
        </w:rPr>
        <w:drawing>
          <wp:inline distT="0" distB="0" distL="0" distR="0" wp14:anchorId="59E47662" wp14:editId="4E4ED22C">
            <wp:extent cx="4572000" cy="2066925"/>
            <wp:effectExtent l="0" t="0" r="0" b="0"/>
            <wp:docPr id="361447695" name="Picture 36144769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26F49B5C" w14:textId="7EFE5621" w:rsidR="4DE77F15" w:rsidRDefault="4DE77F15" w:rsidP="7B33A330">
      <w:pPr>
        <w:rPr>
          <w:sz w:val="18"/>
          <w:szCs w:val="18"/>
        </w:rPr>
      </w:pPr>
      <w:r w:rsidRPr="7B33A330">
        <w:rPr>
          <w:sz w:val="18"/>
          <w:szCs w:val="18"/>
        </w:rPr>
        <w:t>Source: Retirement Income Review (2020), op cit.</w:t>
      </w:r>
    </w:p>
    <w:p w14:paraId="12448D89" w14:textId="3A39DCA1" w:rsidR="0C97F328" w:rsidRDefault="0C97F328" w:rsidP="7B33A330">
      <w:r>
        <w:t>Despite welcome reforms in 2016, the tax treatment of superannuation after retirement remains extraordinarily generous, especially for people with substantial wealth. I</w:t>
      </w:r>
      <w:r w:rsidR="3DF5F11A">
        <w:t>t is not widely understood that i</w:t>
      </w:r>
      <w:r>
        <w:t xml:space="preserve">n addition to the exemption from income tax of superannuation benefits, </w:t>
      </w:r>
      <w:r w:rsidR="4DAADB06">
        <w:t xml:space="preserve">the investment income of a superannuation fund is no longer taxed once it pays a pension to a fund member. In contrast, during the so-called ‘accumulation phase’ interest, dividends and capital gains off super funds are taxed at 15% (10% in the case of capital gains).  </w:t>
      </w:r>
    </w:p>
    <w:p w14:paraId="5AB807FF" w14:textId="402F70E1" w:rsidR="0C97F328" w:rsidRDefault="0C97F328" w:rsidP="7B33A330">
      <w:r>
        <w:t>Re-contribution strategies (where a fund member who receives a superannuation pension makes fresh contributions to super in the same year, churning their income through super) have blurred the artificial distinction between accumulation and pension phases of superannuation. As the Henry Report recommended in 2009, this distinction should be removed and the same tax rate should apply to super fund earnings</w:t>
      </w:r>
      <w:r w:rsidR="00A74420">
        <w:t xml:space="preserve"> before and after retirement.</w:t>
      </w:r>
      <w:r w:rsidR="00A74420">
        <w:rPr>
          <w:rStyle w:val="FootnoteReference"/>
        </w:rPr>
        <w:footnoteReference w:id="64"/>
      </w:r>
      <w:r>
        <w:t xml:space="preserve"> </w:t>
      </w:r>
    </w:p>
    <w:p w14:paraId="0AFAB628" w14:textId="3C1B781B" w:rsidR="0C97F328" w:rsidRDefault="0C97F328" w:rsidP="7B33A330">
      <w:r>
        <w:t>As well as undermining public revenue, the non-taxation of fund earnings in the</w:t>
      </w:r>
      <w:r w:rsidR="577EA2A1">
        <w:t xml:space="preserve"> so-called</w:t>
      </w:r>
      <w:r>
        <w:t xml:space="preserve"> pension phase opens up tax avoidance opportunities that have little to do with saving for retirement. People can avoid paying tax on capital gains accrued through working life by transferring or retaining assets in a self-managed superannuation fund until they reach the age of 60 and the fund pays them a pension, at which point the fund’s earnings, including capital gains, are tax free. Small business owners can transfer assets into their super fund tax free, taking advantage of the CGT rollover for small business assets used for retirement.</w:t>
      </w:r>
    </w:p>
    <w:p w14:paraId="103A67C0" w14:textId="2E373EBF" w:rsidR="72A2EFB6" w:rsidRDefault="72A2EFB6" w:rsidP="7B33A330">
      <w:r>
        <w:t>Further</w:t>
      </w:r>
      <w:r w:rsidR="0C97F328">
        <w:t>, the 17% tax on superannuation assets transferred to a deceased estate can be avoided by sh</w:t>
      </w:r>
      <w:r w:rsidR="44CF1197">
        <w:t>ifting</w:t>
      </w:r>
      <w:r w:rsidR="0C97F328">
        <w:t xml:space="preserve"> savings from concessional to non-concessional accounts. This facilitates the use of superannuation </w:t>
      </w:r>
      <w:r w:rsidR="657C9EFE">
        <w:t xml:space="preserve">for </w:t>
      </w:r>
      <w:r w:rsidR="0C97F328">
        <w:t xml:space="preserve">estate management </w:t>
      </w:r>
      <w:r w:rsidR="080E1B85">
        <w:t>purposes</w:t>
      </w:r>
      <w:r w:rsidR="0C97F328">
        <w:t>.</w:t>
      </w:r>
    </w:p>
    <w:p w14:paraId="53BFC0E5" w14:textId="77777777" w:rsidR="006B1312" w:rsidRDefault="0C97F328" w:rsidP="7B33A330">
      <w:r>
        <w:lastRenderedPageBreak/>
        <w:t xml:space="preserve">The tax treatment of superannuation post-retirement should be reformed to help finance good-quality aged care services, and the link between these two pillars of a decent retirement should be made explicit. </w:t>
      </w:r>
    </w:p>
    <w:p w14:paraId="66F0FD89" w14:textId="6D8D1010" w:rsidR="7B33A330" w:rsidRDefault="0C97F328" w:rsidP="7B33A330">
      <w:r>
        <w:t>In return for higher income tax revenues from those retired people who can afford to pay, the government should guarantee that older people will receive decent, affordable aged care when needed, with minim</w:t>
      </w:r>
      <w:r w:rsidR="1BDCBB1F">
        <w:t>al</w:t>
      </w:r>
      <w:r>
        <w:t xml:space="preserve"> out-of-pocket costs</w:t>
      </w:r>
      <w:r w:rsidR="6C885BA3">
        <w:t xml:space="preserve"> for care services</w:t>
      </w:r>
      <w:r w:rsidR="006B1312">
        <w:t>.</w:t>
      </w:r>
    </w:p>
    <w:p w14:paraId="1D2CF419" w14:textId="088EA5B5" w:rsidR="30B1BE2D" w:rsidRDefault="68F882A3" w:rsidP="000B50DA">
      <w:pPr>
        <w:pStyle w:val="Recommendation"/>
      </w:pPr>
      <w:r w:rsidRPr="007376C2">
        <w:rPr>
          <w:rFonts w:eastAsiaTheme="minorEastAsia"/>
          <w:bCs/>
          <w:color w:val="C00000"/>
          <w:szCs w:val="20"/>
        </w:rPr>
        <w:t xml:space="preserve">Recommendation </w:t>
      </w:r>
      <w:r w:rsidR="005D62C3">
        <w:rPr>
          <w:rFonts w:eastAsiaTheme="minorEastAsia"/>
          <w:bCs/>
          <w:color w:val="C00000"/>
          <w:szCs w:val="20"/>
        </w:rPr>
        <w:t>50</w:t>
      </w:r>
      <w:r w:rsidR="1C3BD129" w:rsidRPr="007376C2">
        <w:rPr>
          <w:rFonts w:eastAsiaTheme="minorEastAsia"/>
          <w:bCs/>
          <w:color w:val="C00000"/>
          <w:szCs w:val="20"/>
        </w:rPr>
        <w:t>:</w:t>
      </w:r>
      <w:r w:rsidRPr="007376C2">
        <w:rPr>
          <w:rFonts w:eastAsiaTheme="minorEastAsia"/>
          <w:bCs/>
          <w:color w:val="C00000"/>
          <w:szCs w:val="20"/>
        </w:rPr>
        <w:t xml:space="preserve"> </w:t>
      </w:r>
      <w:r w:rsidRPr="006B1312">
        <w:rPr>
          <w:rFonts w:eastAsiaTheme="minorEastAsia"/>
          <w:bCs/>
          <w:color w:val="000000" w:themeColor="text1"/>
          <w:szCs w:val="20"/>
        </w:rPr>
        <w:t xml:space="preserve">Tax superannuation fund earnings after retirement to help pay for aged care services </w:t>
      </w:r>
      <w:r w:rsidR="30B1BE2D">
        <w:br/>
      </w:r>
    </w:p>
    <w:p w14:paraId="29FBF93A" w14:textId="5EC0E2AF" w:rsidR="30B1BE2D" w:rsidRDefault="4085789E" w:rsidP="7B33A330">
      <w:pPr>
        <w:pStyle w:val="Recommendation"/>
        <w:rPr>
          <w:color w:val="000000" w:themeColor="text1"/>
        </w:rPr>
      </w:pPr>
      <w:r w:rsidRPr="7B33A330">
        <w:rPr>
          <w:color w:val="000000" w:themeColor="text1"/>
        </w:rPr>
        <w:t xml:space="preserve">(1) </w:t>
      </w:r>
      <w:r w:rsidR="0872CCD2" w:rsidRPr="7B33A330">
        <w:rPr>
          <w:color w:val="000000" w:themeColor="text1"/>
        </w:rPr>
        <w:t>The 15% tax on fund earnings in the ‘accumulation’ phase should</w:t>
      </w:r>
      <w:r w:rsidR="3B50643E" w:rsidRPr="7B33A330">
        <w:rPr>
          <w:color w:val="000000" w:themeColor="text1"/>
        </w:rPr>
        <w:t xml:space="preserve"> be</w:t>
      </w:r>
      <w:r w:rsidR="0872CCD2" w:rsidRPr="7B33A330">
        <w:rPr>
          <w:color w:val="000000" w:themeColor="text1"/>
        </w:rPr>
        <w:t xml:space="preserve"> progressively extended to the ‘pension’ phase over a three-year period from July 2021 (with a 5% increase each year)</w:t>
      </w:r>
      <w:r w:rsidR="1054470B" w:rsidRPr="7B33A330">
        <w:rPr>
          <w:color w:val="000000" w:themeColor="text1"/>
        </w:rPr>
        <w:t>.</w:t>
      </w:r>
      <w:r w:rsidR="30B1BE2D">
        <w:br/>
      </w:r>
    </w:p>
    <w:p w14:paraId="3B0A679D" w14:textId="2459D483" w:rsidR="30B1BE2D" w:rsidRPr="00D56259" w:rsidRDefault="44C8287D" w:rsidP="00D56259">
      <w:pPr>
        <w:pStyle w:val="Recommendation"/>
      </w:pPr>
      <w:r w:rsidRPr="7B33A330">
        <w:rPr>
          <w:color w:val="000000" w:themeColor="text1"/>
        </w:rPr>
        <w:t xml:space="preserve">(2) </w:t>
      </w:r>
      <w:r w:rsidR="0872CCD2" w:rsidRPr="7B33A330">
        <w:rPr>
          <w:color w:val="000000" w:themeColor="text1"/>
        </w:rPr>
        <w:t>This should be offset by a 15% rebate (minus any imputation credits) for taxpayers over the preservation age whose income (including Age Pension, earnings, superannuation and other investment income) falls below the taxpayer’s tax-free threshold</w:t>
      </w:r>
      <w:r w:rsidR="00D56259">
        <w:rPr>
          <w:color w:val="000000" w:themeColor="text1"/>
        </w:rPr>
        <w:t xml:space="preserve">. </w:t>
      </w:r>
      <w:r w:rsidR="0872CCD2" w:rsidRPr="7B33A330">
        <w:rPr>
          <w:color w:val="000000" w:themeColor="text1"/>
        </w:rPr>
        <w:t>The rebate would be calculated each year by the ATO and deposited in a superannuation fund chosen by the taxpayer</w:t>
      </w:r>
      <w:r w:rsidR="3F8402F1" w:rsidRPr="7B33A330">
        <w:rPr>
          <w:color w:val="000000" w:themeColor="text1"/>
        </w:rPr>
        <w:t>.</w:t>
      </w:r>
      <w:r w:rsidR="30B1BE2D">
        <w:br/>
      </w:r>
    </w:p>
    <w:p w14:paraId="1EF7D168" w14:textId="16950695" w:rsidR="30B1BE2D" w:rsidRDefault="3C2678F4" w:rsidP="7B33A330">
      <w:pPr>
        <w:pStyle w:val="Recommendation"/>
        <w:rPr>
          <w:color w:val="000000" w:themeColor="text1"/>
        </w:rPr>
      </w:pPr>
      <w:r w:rsidRPr="7B33A330">
        <w:rPr>
          <w:color w:val="000000" w:themeColor="text1"/>
        </w:rPr>
        <w:t xml:space="preserve">(3) </w:t>
      </w:r>
      <w:r w:rsidR="0872CCD2" w:rsidRPr="7B33A330">
        <w:rPr>
          <w:color w:val="000000" w:themeColor="text1"/>
        </w:rPr>
        <w:t>Opportunities for taxpayers to avoid or reduce tax on capital gains accrued during working life by holding assets in a self-managed super fund</w:t>
      </w:r>
      <w:r w:rsidR="7459360A" w:rsidRPr="7B33A330">
        <w:rPr>
          <w:color w:val="000000" w:themeColor="text1"/>
        </w:rPr>
        <w:t xml:space="preserve"> should be removed</w:t>
      </w:r>
      <w:r w:rsidR="549F356C" w:rsidRPr="7B33A330">
        <w:rPr>
          <w:color w:val="000000" w:themeColor="text1"/>
        </w:rPr>
        <w:t>.</w:t>
      </w:r>
      <w:r w:rsidR="30B1BE2D">
        <w:br/>
      </w:r>
    </w:p>
    <w:p w14:paraId="1100B554" w14:textId="546C03BF" w:rsidR="30B1BE2D" w:rsidRDefault="59A12EDD" w:rsidP="7B33A330">
      <w:pPr>
        <w:pStyle w:val="Recommendation"/>
        <w:rPr>
          <w:color w:val="000000" w:themeColor="text1"/>
        </w:rPr>
      </w:pPr>
      <w:r w:rsidRPr="7B33A330">
        <w:rPr>
          <w:color w:val="000000" w:themeColor="text1"/>
        </w:rPr>
        <w:t xml:space="preserve">(4) </w:t>
      </w:r>
      <w:r w:rsidR="0872CCD2" w:rsidRPr="7B33A330">
        <w:rPr>
          <w:color w:val="000000" w:themeColor="text1"/>
        </w:rPr>
        <w:t>Transfers from superannuation accounts to the estates of deceased fund members (apart from spouses and dependent children) should be taxed at the statutory rate of 17%</w:t>
      </w:r>
      <w:r w:rsidR="2A0DB733" w:rsidRPr="7B33A330">
        <w:rPr>
          <w:color w:val="000000" w:themeColor="text1"/>
        </w:rPr>
        <w:t>.</w:t>
      </w:r>
      <w:r w:rsidR="30B1BE2D">
        <w:br/>
      </w:r>
    </w:p>
    <w:p w14:paraId="5B02998B" w14:textId="355CF799" w:rsidR="30B1BE2D" w:rsidRDefault="72291FE4" w:rsidP="006B1312">
      <w:pPr>
        <w:pStyle w:val="Recommendation"/>
      </w:pPr>
      <w:r w:rsidRPr="7B33A330">
        <w:rPr>
          <w:color w:val="000000" w:themeColor="text1"/>
        </w:rPr>
        <w:t xml:space="preserve">(5) </w:t>
      </w:r>
      <w:r w:rsidR="0872CCD2" w:rsidRPr="7B33A330">
        <w:rPr>
          <w:color w:val="000000" w:themeColor="text1"/>
        </w:rPr>
        <w:t>Revenue collected from these measures (which would rise substantially in later years) should be earmarked for public expenditure on aged care services.</w:t>
      </w:r>
    </w:p>
    <w:p w14:paraId="416AF009" w14:textId="77777777" w:rsidR="007376C2" w:rsidRDefault="007376C2" w:rsidP="000B50DA">
      <w:pPr>
        <w:pStyle w:val="Recommendation"/>
        <w:rPr>
          <w:color w:val="C00000"/>
        </w:rPr>
      </w:pPr>
    </w:p>
    <w:p w14:paraId="194641B2" w14:textId="10D0929B" w:rsidR="013460E9" w:rsidRPr="00A74420" w:rsidRDefault="013460E9" w:rsidP="000B50DA">
      <w:pPr>
        <w:pStyle w:val="Recommendation"/>
        <w:rPr>
          <w:bCs/>
          <w:i/>
        </w:rPr>
      </w:pPr>
      <w:r w:rsidRPr="007376C2">
        <w:rPr>
          <w:color w:val="C00000"/>
        </w:rPr>
        <w:t>Budget impact:</w:t>
      </w:r>
      <w:r w:rsidRPr="007376C2">
        <w:rPr>
          <w:b w:val="0"/>
          <w:color w:val="C00000"/>
        </w:rPr>
        <w:t xml:space="preserve"> </w:t>
      </w:r>
      <w:r w:rsidRPr="00A74420">
        <w:rPr>
          <w:rFonts w:eastAsiaTheme="minorEastAsia"/>
          <w:bCs/>
          <w:i/>
          <w:color w:val="000000" w:themeColor="text1"/>
          <w:szCs w:val="20"/>
        </w:rPr>
        <w:t>$</w:t>
      </w:r>
      <w:r w:rsidR="2754BB91" w:rsidRPr="00A74420">
        <w:rPr>
          <w:rFonts w:eastAsiaTheme="minorEastAsia"/>
          <w:bCs/>
          <w:i/>
          <w:color w:val="000000" w:themeColor="text1"/>
          <w:szCs w:val="20"/>
        </w:rPr>
        <w:t>0</w:t>
      </w:r>
      <w:r w:rsidRPr="00A74420">
        <w:rPr>
          <w:rFonts w:eastAsiaTheme="minorEastAsia"/>
          <w:bCs/>
          <w:i/>
          <w:color w:val="000000" w:themeColor="text1"/>
          <w:szCs w:val="20"/>
        </w:rPr>
        <w:t xml:space="preserve"> ($</w:t>
      </w:r>
      <w:r w:rsidR="3B7FB6AF" w:rsidRPr="00A74420">
        <w:rPr>
          <w:rFonts w:eastAsiaTheme="minorEastAsia"/>
          <w:bCs/>
          <w:i/>
          <w:color w:val="000000" w:themeColor="text1"/>
          <w:szCs w:val="20"/>
        </w:rPr>
        <w:t>2,500</w:t>
      </w:r>
      <w:r w:rsidRPr="00A74420">
        <w:rPr>
          <w:rFonts w:eastAsiaTheme="minorEastAsia"/>
          <w:bCs/>
          <w:i/>
          <w:color w:val="000000" w:themeColor="text1"/>
          <w:szCs w:val="20"/>
        </w:rPr>
        <w:t xml:space="preserve"> million in 2022-23)</w:t>
      </w:r>
      <w:r w:rsidRPr="00A74420">
        <w:rPr>
          <w:i/>
        </w:rPr>
        <w:t xml:space="preserve"> </w:t>
      </w:r>
    </w:p>
    <w:p w14:paraId="1D7F5925" w14:textId="5D3EDEC9" w:rsidR="7B33A330" w:rsidRDefault="7B33A330" w:rsidP="7B33A330">
      <w:pPr>
        <w:pStyle w:val="ListNumber"/>
        <w:numPr>
          <w:ilvl w:val="0"/>
          <w:numId w:val="0"/>
        </w:numPr>
      </w:pPr>
    </w:p>
    <w:p w14:paraId="37AF0B22" w14:textId="0A403FD2" w:rsidR="7B33A330" w:rsidRDefault="2C3F1E71" w:rsidP="003520E9">
      <w:pPr>
        <w:pStyle w:val="Heading2"/>
      </w:pPr>
      <w:bookmarkStart w:id="89" w:name="_Toc63685982"/>
      <w:r>
        <w:t>Reduce age-based tax concessions to help fund health and aged care</w:t>
      </w:r>
      <w:bookmarkEnd w:id="89"/>
    </w:p>
    <w:p w14:paraId="17418372" w14:textId="77777777" w:rsidR="006B1312" w:rsidRDefault="006B1312" w:rsidP="7B33A330">
      <w:pPr>
        <w:pStyle w:val="ListNumber"/>
        <w:numPr>
          <w:ilvl w:val="0"/>
          <w:numId w:val="0"/>
        </w:numPr>
      </w:pPr>
    </w:p>
    <w:p w14:paraId="16DF5780" w14:textId="7AAC5366" w:rsidR="41A9EBAE" w:rsidRDefault="41A9EBAE" w:rsidP="7B33A330">
      <w:pPr>
        <w:pStyle w:val="ListNumber"/>
        <w:numPr>
          <w:ilvl w:val="0"/>
          <w:numId w:val="0"/>
        </w:numPr>
      </w:pPr>
      <w:r>
        <w:t xml:space="preserve">We propose two further reforms to strengthen the personal income tax base </w:t>
      </w:r>
      <w:r w:rsidR="1F0DC2E6">
        <w:t xml:space="preserve">and </w:t>
      </w:r>
      <w:r>
        <w:t>finance essential health, aged care and disability services.</w:t>
      </w:r>
    </w:p>
    <w:p w14:paraId="5984F883" w14:textId="2BAE84EC" w:rsidR="7B33A330" w:rsidRDefault="7B33A330" w:rsidP="7B33A330">
      <w:pPr>
        <w:pStyle w:val="ListNumber"/>
        <w:numPr>
          <w:ilvl w:val="0"/>
          <w:numId w:val="0"/>
        </w:numPr>
      </w:pPr>
    </w:p>
    <w:p w14:paraId="2BFCDA34" w14:textId="0C19E5EF" w:rsidR="41A9EBAE" w:rsidRDefault="41A9EBAE" w:rsidP="7B33A330">
      <w:pPr>
        <w:pStyle w:val="ListNumber"/>
        <w:numPr>
          <w:ilvl w:val="0"/>
          <w:numId w:val="0"/>
        </w:numPr>
      </w:pPr>
      <w:r>
        <w:t xml:space="preserve">First, age-based tax concessions should be replaced by rebates based on </w:t>
      </w:r>
      <w:r w:rsidR="3E7A9378">
        <w:t>people's</w:t>
      </w:r>
      <w:r>
        <w:t xml:space="preserve"> income</w:t>
      </w:r>
      <w:r w:rsidR="3F438833">
        <w:t>s</w:t>
      </w:r>
      <w:r>
        <w:t xml:space="preserve">. </w:t>
      </w:r>
    </w:p>
    <w:p w14:paraId="1BAA1B08" w14:textId="6F71F3FA" w:rsidR="7B33A330" w:rsidRDefault="7B33A330" w:rsidP="7B33A330">
      <w:pPr>
        <w:pStyle w:val="ListNumber"/>
        <w:numPr>
          <w:ilvl w:val="0"/>
          <w:numId w:val="0"/>
        </w:numPr>
      </w:pPr>
    </w:p>
    <w:p w14:paraId="5E8DAD6C" w14:textId="0F4E366C" w:rsidR="41A9EBAE" w:rsidRDefault="41A9EBAE" w:rsidP="7B33A330">
      <w:pPr>
        <w:pStyle w:val="ListNumber"/>
        <w:numPr>
          <w:ilvl w:val="0"/>
          <w:numId w:val="0"/>
        </w:numPr>
      </w:pPr>
      <w:r>
        <w:t xml:space="preserve">The </w:t>
      </w:r>
      <w:proofErr w:type="gramStart"/>
      <w:r>
        <w:t>Seniors</w:t>
      </w:r>
      <w:proofErr w:type="gramEnd"/>
      <w:r>
        <w:t xml:space="preserve"> and Pensioners Tax Offset (SAPTO) is a tax rebate for people of pension age. In its first iteration, its purpose was to exempt individuals receiving the maximum rate of pension (with private income below the ‘free area’) from income tax. Over time, it was extended to retired people who were too wealthy to receive a pension and increased to the extent that single people over the pension age (64 years) with income up to $32,000 and couples with income up to $58,000 (in addition to tax-free superannuation payments) pay no income tax. </w:t>
      </w:r>
    </w:p>
    <w:p w14:paraId="35884309" w14:textId="1C662AAA" w:rsidR="7B33A330" w:rsidRDefault="7B33A330" w:rsidP="7B33A330">
      <w:pPr>
        <w:pStyle w:val="ListNumber"/>
        <w:numPr>
          <w:ilvl w:val="0"/>
          <w:numId w:val="0"/>
        </w:numPr>
      </w:pPr>
    </w:p>
    <w:p w14:paraId="4D35134B" w14:textId="77777777" w:rsidR="00D56259" w:rsidRDefault="41A9EBAE" w:rsidP="7B33A330">
      <w:pPr>
        <w:pStyle w:val="ListNumber"/>
        <w:numPr>
          <w:ilvl w:val="0"/>
          <w:numId w:val="0"/>
        </w:numPr>
      </w:pPr>
      <w:r>
        <w:lastRenderedPageBreak/>
        <w:t xml:space="preserve">These age-based tax-free thresholds are 50% higher than those for people of working age, an inequity that cannot be justified. </w:t>
      </w:r>
    </w:p>
    <w:p w14:paraId="7FA5B267" w14:textId="77777777" w:rsidR="00D56259" w:rsidRDefault="00D56259" w:rsidP="7B33A330">
      <w:pPr>
        <w:pStyle w:val="ListNumber"/>
        <w:numPr>
          <w:ilvl w:val="0"/>
          <w:numId w:val="0"/>
        </w:numPr>
      </w:pPr>
    </w:p>
    <w:p w14:paraId="31726AC4" w14:textId="0831F58C" w:rsidR="41A9EBAE" w:rsidRDefault="41A9EBAE" w:rsidP="7B33A330">
      <w:pPr>
        <w:pStyle w:val="ListNumber"/>
        <w:numPr>
          <w:ilvl w:val="0"/>
          <w:numId w:val="0"/>
        </w:numPr>
      </w:pPr>
      <w:r>
        <w:t xml:space="preserve">We propose to return the SAPTO to its original purpose, to exempt </w:t>
      </w:r>
      <w:r w:rsidR="627CD7C5" w:rsidRPr="7B33A330">
        <w:rPr>
          <w:rFonts w:eastAsia="Verdana" w:cs="Verdana"/>
          <w:sz w:val="19"/>
          <w:szCs w:val="19"/>
        </w:rPr>
        <w:t>from tax</w:t>
      </w:r>
      <w:r w:rsidR="627CD7C5" w:rsidRPr="7B33A330">
        <w:t xml:space="preserve"> </w:t>
      </w:r>
      <w:r>
        <w:t>pension recipients of all ages with incomes below the income test free area.</w:t>
      </w:r>
    </w:p>
    <w:p w14:paraId="0EB846C9" w14:textId="00F31F01" w:rsidR="7B33A330" w:rsidRDefault="7B33A330" w:rsidP="7B33A330">
      <w:pPr>
        <w:pStyle w:val="ListNumber"/>
        <w:numPr>
          <w:ilvl w:val="0"/>
          <w:numId w:val="0"/>
        </w:numPr>
      </w:pPr>
    </w:p>
    <w:p w14:paraId="57104B83" w14:textId="4E52EFBB" w:rsidR="41A9EBAE" w:rsidRDefault="41A9EBAE" w:rsidP="7B33A330">
      <w:pPr>
        <w:pStyle w:val="ListNumber"/>
        <w:numPr>
          <w:ilvl w:val="0"/>
          <w:numId w:val="0"/>
        </w:numPr>
        <w:rPr>
          <w:rFonts w:eastAsiaTheme="minorEastAsia"/>
          <w:b/>
          <w:bCs/>
          <w:color w:val="CE2028"/>
          <w:szCs w:val="20"/>
        </w:rPr>
      </w:pPr>
      <w:r>
        <w:t>S</w:t>
      </w:r>
      <w:r w:rsidR="5108A7DF">
        <w:t>econdl</w:t>
      </w:r>
      <w:r>
        <w:t xml:space="preserve">y, the Medicare Levy exemption threshold for seniors should be reduced to the same level that applies to people of working age. </w:t>
      </w:r>
      <w:r w:rsidR="4905B699">
        <w:t>In 2018-19, single older Australians did not pay the full Medicare Levy until their taxable income exceeded $45,000 compared with $28,500 for single people of working age.</w:t>
      </w:r>
      <w:r w:rsidRPr="7B33A330">
        <w:rPr>
          <w:rStyle w:val="FootnoteReference"/>
        </w:rPr>
        <w:footnoteReference w:id="65"/>
      </w:r>
      <w:r w:rsidR="4905B699">
        <w:t xml:space="preserve"> </w:t>
      </w:r>
    </w:p>
    <w:p w14:paraId="008F577E" w14:textId="24714702" w:rsidR="7B33A330" w:rsidRDefault="7B33A330" w:rsidP="7B33A330">
      <w:pPr>
        <w:pStyle w:val="ListNumber"/>
        <w:numPr>
          <w:ilvl w:val="0"/>
          <w:numId w:val="0"/>
        </w:numPr>
      </w:pPr>
    </w:p>
    <w:p w14:paraId="777E4B17" w14:textId="06310BC8" w:rsidR="3802BB78" w:rsidRDefault="00504429" w:rsidP="7B33A330">
      <w:pPr>
        <w:pStyle w:val="ListNumber"/>
        <w:numPr>
          <w:ilvl w:val="0"/>
          <w:numId w:val="0"/>
        </w:numPr>
        <w:rPr>
          <w:rFonts w:eastAsiaTheme="minorEastAsia"/>
          <w:b/>
          <w:bCs/>
          <w:color w:val="CE2028"/>
          <w:szCs w:val="20"/>
        </w:rPr>
      </w:pPr>
      <w:r>
        <w:rPr>
          <w:rFonts w:eastAsiaTheme="minorEastAsia"/>
          <w:b/>
          <w:bCs/>
          <w:color w:val="C00000"/>
          <w:szCs w:val="20"/>
        </w:rPr>
        <w:t xml:space="preserve">Recommendation </w:t>
      </w:r>
      <w:r w:rsidR="005D62C3">
        <w:rPr>
          <w:rFonts w:eastAsiaTheme="minorEastAsia"/>
          <w:b/>
          <w:bCs/>
          <w:color w:val="C00000"/>
          <w:szCs w:val="20"/>
        </w:rPr>
        <w:t>51</w:t>
      </w:r>
      <w:r w:rsidR="76FB458C" w:rsidRPr="007376C2">
        <w:rPr>
          <w:rFonts w:eastAsiaTheme="minorEastAsia"/>
          <w:b/>
          <w:bCs/>
          <w:color w:val="C00000"/>
          <w:szCs w:val="20"/>
        </w:rPr>
        <w:t>:</w:t>
      </w:r>
      <w:r w:rsidR="3802BB78" w:rsidRPr="007376C2">
        <w:rPr>
          <w:rFonts w:eastAsiaTheme="minorEastAsia"/>
          <w:b/>
          <w:bCs/>
          <w:color w:val="C00000"/>
          <w:szCs w:val="20"/>
        </w:rPr>
        <w:t xml:space="preserve"> </w:t>
      </w:r>
      <w:r w:rsidR="3802BB78" w:rsidRPr="006B1312">
        <w:rPr>
          <w:rFonts w:eastAsiaTheme="minorEastAsia"/>
          <w:b/>
          <w:bCs/>
          <w:szCs w:val="20"/>
        </w:rPr>
        <w:t>Re</w:t>
      </w:r>
      <w:r w:rsidR="69258CA4" w:rsidRPr="006B1312">
        <w:rPr>
          <w:rFonts w:eastAsiaTheme="minorEastAsia"/>
          <w:b/>
          <w:bCs/>
          <w:szCs w:val="20"/>
        </w:rPr>
        <w:t>duce</w:t>
      </w:r>
      <w:r w:rsidR="3802BB78" w:rsidRPr="006B1312">
        <w:rPr>
          <w:rFonts w:eastAsiaTheme="minorEastAsia"/>
          <w:b/>
          <w:bCs/>
          <w:szCs w:val="20"/>
        </w:rPr>
        <w:t xml:space="preserve"> age-based tax concessions to help finance health and aged care services</w:t>
      </w:r>
      <w:r w:rsidR="3802BB78">
        <w:br/>
      </w:r>
    </w:p>
    <w:p w14:paraId="5B4E820F" w14:textId="3F622AF8" w:rsidR="3802BB78" w:rsidRDefault="3802BB78" w:rsidP="7B33A330">
      <w:pPr>
        <w:pStyle w:val="ListNumber"/>
        <w:numPr>
          <w:ilvl w:val="0"/>
          <w:numId w:val="0"/>
        </w:numPr>
        <w:rPr>
          <w:rFonts w:eastAsiaTheme="minorEastAsia"/>
          <w:b/>
          <w:bCs/>
          <w:szCs w:val="20"/>
        </w:rPr>
      </w:pPr>
      <w:r w:rsidRPr="7B33A330">
        <w:rPr>
          <w:rFonts w:eastAsiaTheme="minorEastAsia"/>
          <w:b/>
          <w:bCs/>
          <w:szCs w:val="20"/>
        </w:rPr>
        <w:t xml:space="preserve">(1) </w:t>
      </w:r>
      <w:r w:rsidR="407D1EAE" w:rsidRPr="7B33A330">
        <w:rPr>
          <w:rFonts w:eastAsiaTheme="minorEastAsia"/>
          <w:b/>
          <w:bCs/>
          <w:szCs w:val="20"/>
        </w:rPr>
        <w:t>From 1 July 2022, t</w:t>
      </w:r>
      <w:r w:rsidRPr="7B33A330">
        <w:rPr>
          <w:rFonts w:eastAsiaTheme="minorEastAsia"/>
          <w:b/>
          <w:bCs/>
          <w:szCs w:val="20"/>
        </w:rPr>
        <w:t xml:space="preserve">he </w:t>
      </w:r>
      <w:proofErr w:type="gramStart"/>
      <w:r w:rsidRPr="7B33A330">
        <w:rPr>
          <w:rFonts w:eastAsiaTheme="minorEastAsia"/>
          <w:b/>
          <w:bCs/>
          <w:szCs w:val="20"/>
        </w:rPr>
        <w:t>Seniors</w:t>
      </w:r>
      <w:proofErr w:type="gramEnd"/>
      <w:r w:rsidRPr="7B33A330">
        <w:rPr>
          <w:rFonts w:eastAsiaTheme="minorEastAsia"/>
          <w:b/>
          <w:bCs/>
          <w:szCs w:val="20"/>
        </w:rPr>
        <w:t xml:space="preserve"> and Pensioners Tax Offset should be restricted to pension recipients and redesigned so that it exempts the pension plus private income within the pension ‘free area’ from income tax</w:t>
      </w:r>
      <w:r w:rsidR="44D9FEAC" w:rsidRPr="7B33A330">
        <w:rPr>
          <w:rFonts w:eastAsiaTheme="minorEastAsia"/>
          <w:b/>
          <w:bCs/>
          <w:szCs w:val="20"/>
        </w:rPr>
        <w:t>.</w:t>
      </w:r>
      <w:r>
        <w:br/>
      </w:r>
    </w:p>
    <w:p w14:paraId="761681DA" w14:textId="2DC101E9" w:rsidR="3802BB78" w:rsidRDefault="3802BB78" w:rsidP="7B33A330">
      <w:pPr>
        <w:pStyle w:val="ListNumber"/>
        <w:numPr>
          <w:ilvl w:val="0"/>
          <w:numId w:val="0"/>
        </w:numPr>
      </w:pPr>
      <w:r w:rsidRPr="7B33A330">
        <w:rPr>
          <w:rFonts w:eastAsiaTheme="minorEastAsia"/>
          <w:b/>
          <w:bCs/>
          <w:szCs w:val="20"/>
        </w:rPr>
        <w:t xml:space="preserve">(2) </w:t>
      </w:r>
      <w:r w:rsidR="6C61CA5B" w:rsidRPr="7B33A330">
        <w:rPr>
          <w:rFonts w:eastAsiaTheme="minorEastAsia"/>
          <w:b/>
          <w:bCs/>
          <w:szCs w:val="20"/>
        </w:rPr>
        <w:t>From 1 July 2022, t</w:t>
      </w:r>
      <w:r w:rsidRPr="7B33A330">
        <w:rPr>
          <w:rFonts w:eastAsiaTheme="minorEastAsia"/>
          <w:b/>
          <w:bCs/>
          <w:szCs w:val="20"/>
        </w:rPr>
        <w:t>he Medicare Levy exemption threshold for people over 64 years should also be equal to the relevant pension plus the ‘free area’</w:t>
      </w:r>
      <w:r w:rsidR="735FDE3B" w:rsidRPr="7B33A330">
        <w:rPr>
          <w:rFonts w:eastAsiaTheme="minorEastAsia"/>
          <w:b/>
          <w:bCs/>
          <w:szCs w:val="20"/>
        </w:rPr>
        <w:t>.</w:t>
      </w:r>
      <w:r>
        <w:br/>
      </w:r>
      <w:r>
        <w:br/>
      </w:r>
      <w:r w:rsidRPr="7B33A330">
        <w:rPr>
          <w:rFonts w:eastAsiaTheme="minorEastAsia"/>
          <w:b/>
          <w:bCs/>
          <w:szCs w:val="20"/>
        </w:rPr>
        <w:t>(3) Revenue collected from these measures should be earmarked for public expenditure on aged care, health and disability services.</w:t>
      </w:r>
    </w:p>
    <w:p w14:paraId="445AF74B" w14:textId="77827802" w:rsidR="7B33A330" w:rsidRDefault="7B33A330" w:rsidP="7B33A330">
      <w:pPr>
        <w:pStyle w:val="ListNumber"/>
        <w:numPr>
          <w:ilvl w:val="0"/>
          <w:numId w:val="0"/>
        </w:numPr>
        <w:rPr>
          <w:rFonts w:eastAsiaTheme="minorEastAsia"/>
          <w:b/>
          <w:bCs/>
          <w:szCs w:val="20"/>
        </w:rPr>
      </w:pPr>
    </w:p>
    <w:p w14:paraId="0494E827" w14:textId="3BF03C26" w:rsidR="7B33A330" w:rsidRPr="002227D8" w:rsidRDefault="3802BB78" w:rsidP="7B33A330">
      <w:pPr>
        <w:pStyle w:val="ListNumber"/>
        <w:numPr>
          <w:ilvl w:val="0"/>
          <w:numId w:val="0"/>
        </w:numPr>
      </w:pPr>
      <w:r w:rsidRPr="007376C2">
        <w:rPr>
          <w:rFonts w:eastAsiaTheme="minorEastAsia"/>
          <w:b/>
          <w:bCs/>
          <w:color w:val="C00000"/>
          <w:szCs w:val="20"/>
        </w:rPr>
        <w:t xml:space="preserve">Budget impact: </w:t>
      </w:r>
      <w:r w:rsidRPr="006B1312">
        <w:rPr>
          <w:rFonts w:eastAsiaTheme="minorEastAsia"/>
          <w:b/>
          <w:bCs/>
          <w:i/>
          <w:szCs w:val="20"/>
        </w:rPr>
        <w:t>$</w:t>
      </w:r>
      <w:r w:rsidR="70011902" w:rsidRPr="006B1312">
        <w:rPr>
          <w:rFonts w:eastAsiaTheme="minorEastAsia"/>
          <w:b/>
          <w:bCs/>
          <w:i/>
          <w:szCs w:val="20"/>
        </w:rPr>
        <w:t>0</w:t>
      </w:r>
      <w:r w:rsidRPr="006B1312">
        <w:rPr>
          <w:rFonts w:eastAsiaTheme="minorEastAsia"/>
          <w:b/>
          <w:bCs/>
          <w:i/>
          <w:szCs w:val="20"/>
        </w:rPr>
        <w:t xml:space="preserve"> ($700 million in 2022-23)</w:t>
      </w:r>
    </w:p>
    <w:p w14:paraId="6F2BCF15" w14:textId="5B7A63E3" w:rsidR="7B33A330" w:rsidRDefault="7B33A330" w:rsidP="7B33A330">
      <w:pPr>
        <w:pStyle w:val="ListNumber"/>
        <w:numPr>
          <w:ilvl w:val="0"/>
          <w:numId w:val="0"/>
        </w:numPr>
        <w:rPr>
          <w:rFonts w:eastAsiaTheme="minorEastAsia"/>
          <w:b/>
          <w:bCs/>
          <w:szCs w:val="20"/>
        </w:rPr>
      </w:pPr>
    </w:p>
    <w:p w14:paraId="614E9589" w14:textId="5FFFC057" w:rsidR="3802BB78" w:rsidRDefault="5EF1783C" w:rsidP="003520E9">
      <w:pPr>
        <w:pStyle w:val="Heading2"/>
      </w:pPr>
      <w:bookmarkStart w:id="90" w:name="_Toc63685983"/>
      <w:r>
        <w:t xml:space="preserve">Prevent avoidance of the </w:t>
      </w:r>
      <w:r w:rsidR="3802BB78">
        <w:t>Medicare Levy to fund health care for an ageing population</w:t>
      </w:r>
      <w:bookmarkEnd w:id="90"/>
    </w:p>
    <w:p w14:paraId="7182A491" w14:textId="77777777" w:rsidR="002227D8" w:rsidRDefault="002227D8" w:rsidP="7B33A330">
      <w:pPr>
        <w:pStyle w:val="ListNumber"/>
        <w:numPr>
          <w:ilvl w:val="0"/>
          <w:numId w:val="0"/>
        </w:numPr>
      </w:pPr>
    </w:p>
    <w:p w14:paraId="7657F694" w14:textId="7ADBAADC" w:rsidR="49B5ADA2" w:rsidRDefault="49B5ADA2" w:rsidP="7B33A330">
      <w:pPr>
        <w:pStyle w:val="ListNumber"/>
        <w:numPr>
          <w:ilvl w:val="0"/>
          <w:numId w:val="0"/>
        </w:numPr>
      </w:pPr>
      <w:r>
        <w:t>T</w:t>
      </w:r>
      <w:r w:rsidR="3802BB78">
        <w:t>he income base for the Medicare Levy is taxable income, which opens up opportunities for taxpayers to avoid paying it by taking advantage of negative gearing arrangements, salary sacrifice, or the use of private trusts. On the other hand, the income definition for the high-income Medicare Levy Surcharge (‘MLS income’) restricts these tax avoidance opportunities. This broader definition should extend to the Medicare Levy itself.</w:t>
      </w:r>
      <w:r>
        <w:br/>
      </w:r>
      <w:r w:rsidR="3802BB78">
        <w:t xml:space="preserve"> </w:t>
      </w:r>
      <w:r>
        <w:br/>
      </w:r>
      <w:r w:rsidR="00504429">
        <w:rPr>
          <w:rFonts w:eastAsiaTheme="minorEastAsia"/>
          <w:b/>
          <w:bCs/>
          <w:color w:val="C00000"/>
          <w:szCs w:val="20"/>
        </w:rPr>
        <w:t xml:space="preserve">Recommendation </w:t>
      </w:r>
      <w:r w:rsidR="00A677FD">
        <w:rPr>
          <w:rFonts w:eastAsiaTheme="minorEastAsia"/>
          <w:b/>
          <w:bCs/>
          <w:color w:val="C00000"/>
          <w:szCs w:val="20"/>
        </w:rPr>
        <w:t>52</w:t>
      </w:r>
      <w:r w:rsidR="27292277" w:rsidRPr="007376C2">
        <w:rPr>
          <w:rFonts w:eastAsiaTheme="minorEastAsia"/>
          <w:b/>
          <w:bCs/>
          <w:color w:val="C00000"/>
          <w:szCs w:val="20"/>
        </w:rPr>
        <w:t>:</w:t>
      </w:r>
      <w:r w:rsidR="27292277" w:rsidRPr="7B33A330">
        <w:rPr>
          <w:rFonts w:eastAsiaTheme="minorEastAsia"/>
          <w:b/>
          <w:bCs/>
          <w:color w:val="CE2028"/>
          <w:szCs w:val="20"/>
        </w:rPr>
        <w:t xml:space="preserve"> </w:t>
      </w:r>
      <w:r w:rsidR="27292277" w:rsidRPr="006B1312">
        <w:rPr>
          <w:rFonts w:eastAsiaTheme="minorEastAsia"/>
          <w:b/>
          <w:bCs/>
          <w:color w:val="auto"/>
          <w:szCs w:val="20"/>
        </w:rPr>
        <w:t>Prevent avoidance of the Medicare Levy</w:t>
      </w:r>
    </w:p>
    <w:p w14:paraId="514C3F41" w14:textId="791EA5EC" w:rsidR="7B33A330" w:rsidRDefault="7B33A330" w:rsidP="7B33A330">
      <w:pPr>
        <w:pStyle w:val="ListNumber"/>
        <w:numPr>
          <w:ilvl w:val="0"/>
          <w:numId w:val="0"/>
        </w:numPr>
        <w:rPr>
          <w:rFonts w:eastAsiaTheme="minorEastAsia"/>
          <w:b/>
          <w:bCs/>
          <w:color w:val="auto"/>
          <w:szCs w:val="20"/>
        </w:rPr>
      </w:pPr>
      <w:r>
        <w:br/>
      </w:r>
      <w:r w:rsidR="0E9FECC4" w:rsidRPr="7B33A330">
        <w:rPr>
          <w:rFonts w:eastAsiaTheme="minorEastAsia"/>
          <w:b/>
          <w:bCs/>
          <w:color w:val="auto"/>
          <w:szCs w:val="20"/>
        </w:rPr>
        <w:t xml:space="preserve">(1) </w:t>
      </w:r>
      <w:r w:rsidR="43A94D53" w:rsidRPr="7B33A330">
        <w:rPr>
          <w:rFonts w:eastAsiaTheme="minorEastAsia"/>
          <w:b/>
          <w:bCs/>
          <w:color w:val="auto"/>
          <w:szCs w:val="20"/>
        </w:rPr>
        <w:t>From 1 July 2022, the income definition for the Medicare Levy should be broadened from ‘taxable income’ to ‘Medicare Levy Surcharge income’ to prevent people from avoiding the Levy by using tax shelters such as private trusts, negative gearing or salary sacrifice arrangements</w:t>
      </w:r>
      <w:r w:rsidR="4226B483" w:rsidRPr="7B33A330">
        <w:rPr>
          <w:rFonts w:eastAsiaTheme="minorEastAsia"/>
          <w:b/>
          <w:bCs/>
          <w:color w:val="auto"/>
          <w:szCs w:val="20"/>
        </w:rPr>
        <w:t>.</w:t>
      </w:r>
      <w:r>
        <w:br/>
      </w:r>
    </w:p>
    <w:p w14:paraId="37EF6A1C" w14:textId="2623D920" w:rsidR="21293AA0" w:rsidRDefault="21293AA0" w:rsidP="7B33A330">
      <w:pPr>
        <w:pStyle w:val="ListNumber"/>
        <w:numPr>
          <w:ilvl w:val="0"/>
          <w:numId w:val="0"/>
        </w:numPr>
      </w:pPr>
      <w:r w:rsidRPr="7B33A330">
        <w:rPr>
          <w:rFonts w:eastAsiaTheme="minorEastAsia"/>
          <w:b/>
          <w:bCs/>
          <w:color w:val="auto"/>
          <w:szCs w:val="20"/>
        </w:rPr>
        <w:t xml:space="preserve">(2) </w:t>
      </w:r>
      <w:r w:rsidR="43A94D53" w:rsidRPr="7B33A330">
        <w:rPr>
          <w:rFonts w:eastAsiaTheme="minorEastAsia"/>
          <w:b/>
          <w:bCs/>
          <w:color w:val="auto"/>
          <w:szCs w:val="20"/>
        </w:rPr>
        <w:t>Revenue raised from this change should be earmarked for public expenditure on essential health and disability services</w:t>
      </w:r>
      <w:r w:rsidR="3627CC17" w:rsidRPr="7B33A330">
        <w:rPr>
          <w:rFonts w:eastAsiaTheme="minorEastAsia"/>
          <w:b/>
          <w:bCs/>
          <w:color w:val="auto"/>
          <w:szCs w:val="20"/>
        </w:rPr>
        <w:t>.</w:t>
      </w:r>
    </w:p>
    <w:p w14:paraId="032AF331" w14:textId="4C43CC41" w:rsidR="000B50DA" w:rsidRPr="002227D8" w:rsidRDefault="7B33A330" w:rsidP="002227D8">
      <w:pPr>
        <w:pStyle w:val="ListNumber"/>
        <w:numPr>
          <w:ilvl w:val="0"/>
          <w:numId w:val="0"/>
        </w:numPr>
      </w:pPr>
      <w:r>
        <w:br/>
      </w:r>
      <w:r w:rsidR="3802BB78" w:rsidRPr="007376C2">
        <w:rPr>
          <w:rFonts w:eastAsiaTheme="minorEastAsia"/>
          <w:b/>
          <w:bCs/>
          <w:color w:val="C00000"/>
          <w:szCs w:val="20"/>
        </w:rPr>
        <w:t xml:space="preserve">Budget impact: </w:t>
      </w:r>
      <w:r w:rsidR="6CC3EC9D" w:rsidRPr="006B1312">
        <w:rPr>
          <w:rFonts w:eastAsiaTheme="minorEastAsia"/>
          <w:b/>
          <w:bCs/>
          <w:i/>
          <w:szCs w:val="20"/>
        </w:rPr>
        <w:t>$0</w:t>
      </w:r>
      <w:r w:rsidR="3802BB78" w:rsidRPr="006B1312">
        <w:rPr>
          <w:rFonts w:eastAsiaTheme="minorEastAsia"/>
          <w:b/>
          <w:bCs/>
          <w:i/>
          <w:szCs w:val="20"/>
        </w:rPr>
        <w:t xml:space="preserve"> ($1,300 million in 2022-23)</w:t>
      </w:r>
      <w:r w:rsidR="657D45B3">
        <w:t xml:space="preserve"> </w:t>
      </w:r>
    </w:p>
    <w:p w14:paraId="5F96A722" w14:textId="0068E9DA" w:rsidR="00FD1810" w:rsidRDefault="00FD1810" w:rsidP="7B33A330">
      <w:r>
        <w:br w:type="page"/>
      </w:r>
    </w:p>
    <w:p w14:paraId="77CA96EE" w14:textId="77777777" w:rsidR="00504429" w:rsidRDefault="00504429" w:rsidP="7B33A330"/>
    <w:p w14:paraId="75D5E847" w14:textId="5BF1F399" w:rsidR="00FD1810" w:rsidRDefault="00FD1810" w:rsidP="004C47B2">
      <w:pPr>
        <w:pStyle w:val="Heading1"/>
      </w:pPr>
      <w:bookmarkStart w:id="91" w:name="_Toc63685984"/>
      <w:r>
        <w:t>A fairer tax system that supports economic development</w:t>
      </w:r>
      <w:bookmarkEnd w:id="91"/>
    </w:p>
    <w:p w14:paraId="2F27708D" w14:textId="64763DCE" w:rsidR="00FD1810" w:rsidRDefault="00977074" w:rsidP="000C6B7B">
      <w:pPr>
        <w:pStyle w:val="Heading2"/>
        <w:numPr>
          <w:ilvl w:val="0"/>
          <w:numId w:val="0"/>
        </w:numPr>
        <w:ind w:left="1276" w:hanging="916"/>
      </w:pPr>
      <w:bookmarkStart w:id="92" w:name="_Toc63685985"/>
      <w:r>
        <w:t>Summary</w:t>
      </w:r>
      <w:bookmarkEnd w:id="92"/>
    </w:p>
    <w:p w14:paraId="422C20B0" w14:textId="374DA45B" w:rsidR="00FD1810" w:rsidRPr="00504429" w:rsidRDefault="0951E6A6" w:rsidP="00843680">
      <w:pPr>
        <w:pStyle w:val="ListParagraph"/>
      </w:pPr>
      <w:r w:rsidRPr="00504429">
        <w:t>While there is no urgency to reduce the budget deficit, t</w:t>
      </w:r>
      <w:r w:rsidR="53BEE4C8" w:rsidRPr="00504429">
        <w:t>he government should</w:t>
      </w:r>
      <w:r w:rsidR="45097B6E" w:rsidRPr="00504429">
        <w:t xml:space="preserve"> </w:t>
      </w:r>
      <w:r w:rsidR="70B64610" w:rsidRPr="00504429">
        <w:t xml:space="preserve">begin </w:t>
      </w:r>
      <w:r w:rsidR="283F89A9" w:rsidRPr="00504429">
        <w:t xml:space="preserve">work </w:t>
      </w:r>
      <w:r w:rsidR="53BEE4C8" w:rsidRPr="00504429">
        <w:t xml:space="preserve">to </w:t>
      </w:r>
      <w:r w:rsidR="15CB2642" w:rsidRPr="00504429">
        <w:t xml:space="preserve">shore up the </w:t>
      </w:r>
      <w:r w:rsidR="53BEE4C8" w:rsidRPr="00504429">
        <w:t xml:space="preserve">revenue base that will be needed </w:t>
      </w:r>
      <w:r w:rsidR="1256CE44" w:rsidRPr="00504429">
        <w:t xml:space="preserve">in future years </w:t>
      </w:r>
      <w:r w:rsidR="53BEE4C8" w:rsidRPr="00504429">
        <w:t>to finance essential services and income support</w:t>
      </w:r>
      <w:r w:rsidR="1CD045E2" w:rsidRPr="00504429">
        <w:t xml:space="preserve">. </w:t>
      </w:r>
    </w:p>
    <w:p w14:paraId="6B6990C8" w14:textId="39778883" w:rsidR="00FD1810" w:rsidRPr="00504429" w:rsidRDefault="41868A2A" w:rsidP="00843680">
      <w:pPr>
        <w:pStyle w:val="ListParagraph"/>
      </w:pPr>
      <w:r w:rsidRPr="00504429">
        <w:t>If the share of public revenue in the economy continues to fall, t</w:t>
      </w:r>
      <w:r w:rsidR="4868E4EE" w:rsidRPr="00504429">
        <w:t xml:space="preserve">here is a </w:t>
      </w:r>
      <w:r w:rsidR="404D4CD3" w:rsidRPr="00504429">
        <w:t xml:space="preserve">risk </w:t>
      </w:r>
      <w:r w:rsidR="4868E4EE" w:rsidRPr="00504429">
        <w:t xml:space="preserve">that </w:t>
      </w:r>
      <w:r w:rsidR="33153752" w:rsidRPr="00504429">
        <w:t xml:space="preserve">COVID-related </w:t>
      </w:r>
      <w:r w:rsidR="4868E4EE" w:rsidRPr="00504429">
        <w:t>income supports for households and businesses will be withdrawn too early</w:t>
      </w:r>
      <w:r w:rsidR="6C452B13" w:rsidRPr="00504429">
        <w:t>, entrenching higher levels of poverty and unemployment</w:t>
      </w:r>
      <w:r w:rsidR="4868E4EE" w:rsidRPr="00504429">
        <w:t xml:space="preserve">. </w:t>
      </w:r>
    </w:p>
    <w:p w14:paraId="0F5B7443" w14:textId="1D33265B" w:rsidR="00FD1810" w:rsidRPr="00504429" w:rsidRDefault="3FA819DB" w:rsidP="00843680">
      <w:pPr>
        <w:pStyle w:val="ListParagraph"/>
        <w:rPr>
          <w:rFonts w:asciiTheme="minorHAnsi" w:eastAsiaTheme="minorEastAsia" w:hAnsiTheme="minorHAnsi"/>
        </w:rPr>
      </w:pPr>
      <w:r w:rsidRPr="00504429">
        <w:t xml:space="preserve">This is not the time </w:t>
      </w:r>
      <w:r w:rsidR="4FFA7F8F" w:rsidRPr="00504429">
        <w:t xml:space="preserve">for the income tax cuts </w:t>
      </w:r>
      <w:r w:rsidR="6997540A" w:rsidRPr="00504429">
        <w:t xml:space="preserve">for high income-earners </w:t>
      </w:r>
      <w:r w:rsidR="4FFA7F8F" w:rsidRPr="00504429">
        <w:t xml:space="preserve">the government has legislated. </w:t>
      </w:r>
      <w:r w:rsidR="589A49CC" w:rsidRPr="00504429">
        <w:t xml:space="preserve">In the short-term, </w:t>
      </w:r>
      <w:r w:rsidR="3FDE8885" w:rsidRPr="00504429">
        <w:t xml:space="preserve">these </w:t>
      </w:r>
      <w:r w:rsidR="589A49CC" w:rsidRPr="00504429">
        <w:t>t</w:t>
      </w:r>
      <w:r w:rsidR="41098866" w:rsidRPr="00504429">
        <w:rPr>
          <w:rFonts w:eastAsia="Verdana" w:cs="Verdana"/>
          <w:sz w:val="19"/>
          <w:szCs w:val="19"/>
        </w:rPr>
        <w:t xml:space="preserve">ax cuts will mostly be saved, rather than spent </w:t>
      </w:r>
      <w:r w:rsidR="1F52B545" w:rsidRPr="00504429">
        <w:rPr>
          <w:rFonts w:eastAsia="Verdana" w:cs="Verdana"/>
          <w:sz w:val="19"/>
          <w:szCs w:val="19"/>
        </w:rPr>
        <w:t>to</w:t>
      </w:r>
      <w:r w:rsidR="628CE548" w:rsidRPr="00504429">
        <w:rPr>
          <w:rFonts w:eastAsia="Verdana" w:cs="Verdana"/>
          <w:sz w:val="19"/>
          <w:szCs w:val="19"/>
        </w:rPr>
        <w:t xml:space="preserve"> </w:t>
      </w:r>
      <w:r w:rsidR="41098866" w:rsidRPr="00504429">
        <w:rPr>
          <w:rFonts w:eastAsia="Verdana" w:cs="Verdana"/>
          <w:sz w:val="19"/>
          <w:szCs w:val="19"/>
        </w:rPr>
        <w:t>speed economic recovery.</w:t>
      </w:r>
    </w:p>
    <w:p w14:paraId="13B16088" w14:textId="1FF23CD7" w:rsidR="00FD1810" w:rsidRPr="00504429" w:rsidRDefault="42CBCB2A" w:rsidP="00843680">
      <w:pPr>
        <w:pStyle w:val="ListParagraph"/>
        <w:rPr>
          <w:rFonts w:asciiTheme="minorHAnsi" w:eastAsiaTheme="minorEastAsia" w:hAnsiTheme="minorHAnsi"/>
        </w:rPr>
      </w:pPr>
      <w:r w:rsidRPr="00504429">
        <w:t xml:space="preserve">In the medium term, </w:t>
      </w:r>
      <w:r w:rsidR="01281571" w:rsidRPr="00504429">
        <w:t>t</w:t>
      </w:r>
      <w:r w:rsidR="017662D4" w:rsidRPr="00504429">
        <w:t xml:space="preserve">he tax cuts will </w:t>
      </w:r>
      <w:r w:rsidR="570A3C30" w:rsidRPr="00504429">
        <w:t>remove</w:t>
      </w:r>
      <w:r w:rsidR="017662D4" w:rsidRPr="00504429">
        <w:t xml:space="preserve"> </w:t>
      </w:r>
      <w:r w:rsidR="7546D7ED" w:rsidRPr="00504429">
        <w:t>$</w:t>
      </w:r>
      <w:r w:rsidR="152AA6CF" w:rsidRPr="00504429">
        <w:t>1</w:t>
      </w:r>
      <w:r w:rsidR="5C6B4E6F" w:rsidRPr="00504429">
        <w:t>7</w:t>
      </w:r>
      <w:r w:rsidR="7546D7ED" w:rsidRPr="00504429">
        <w:t xml:space="preserve"> billion a year </w:t>
      </w:r>
      <w:r w:rsidR="51EDA053" w:rsidRPr="00504429">
        <w:t>f</w:t>
      </w:r>
      <w:r w:rsidR="1FF1EDC2" w:rsidRPr="00504429">
        <w:t xml:space="preserve">rom </w:t>
      </w:r>
      <w:r w:rsidR="507EB1B1" w:rsidRPr="00504429">
        <w:t>public revenues</w:t>
      </w:r>
      <w:r w:rsidR="0A28BD3C" w:rsidRPr="00504429">
        <w:t xml:space="preserve"> from 2024</w:t>
      </w:r>
      <w:r w:rsidR="6B599C13" w:rsidRPr="00504429">
        <w:t xml:space="preserve">. </w:t>
      </w:r>
      <w:r w:rsidR="4E5D623B" w:rsidRPr="00504429">
        <w:t xml:space="preserve">Once </w:t>
      </w:r>
      <w:r w:rsidR="6B599C13" w:rsidRPr="00504429">
        <w:t xml:space="preserve">the economy </w:t>
      </w:r>
      <w:r w:rsidR="7C5B439C" w:rsidRPr="00504429">
        <w:t xml:space="preserve">has </w:t>
      </w:r>
      <w:r w:rsidR="6B599C13" w:rsidRPr="00504429">
        <w:t>recover</w:t>
      </w:r>
      <w:r w:rsidR="02F280A0" w:rsidRPr="00504429">
        <w:t>ed</w:t>
      </w:r>
      <w:r w:rsidR="6B599C13" w:rsidRPr="00504429">
        <w:t xml:space="preserve">, </w:t>
      </w:r>
      <w:r w:rsidR="60703CC1" w:rsidRPr="00504429">
        <w:t>t</w:t>
      </w:r>
      <w:r w:rsidR="6B599C13" w:rsidRPr="00504429">
        <w:t>h</w:t>
      </w:r>
      <w:r w:rsidR="0D49FC4A" w:rsidRPr="00504429">
        <w:t xml:space="preserve">is </w:t>
      </w:r>
      <w:r w:rsidR="6B599C13" w:rsidRPr="00504429">
        <w:t xml:space="preserve">will </w:t>
      </w:r>
      <w:r w:rsidR="7E8D28A5" w:rsidRPr="00504429">
        <w:t xml:space="preserve">close off </w:t>
      </w:r>
      <w:r w:rsidR="6B599C13" w:rsidRPr="00504429">
        <w:t xml:space="preserve">the choices </w:t>
      </w:r>
      <w:r w:rsidR="18B04D82" w:rsidRPr="00504429">
        <w:t xml:space="preserve">available </w:t>
      </w:r>
      <w:r w:rsidR="6B599C13" w:rsidRPr="00504429">
        <w:t xml:space="preserve">to </w:t>
      </w:r>
      <w:r w:rsidR="667464D2" w:rsidRPr="00504429">
        <w:t xml:space="preserve">future governments to reduce the budget deficit. </w:t>
      </w:r>
      <w:r w:rsidR="48C2B2D6" w:rsidRPr="00504429">
        <w:t xml:space="preserve">Future governments would </w:t>
      </w:r>
      <w:r w:rsidR="667464D2" w:rsidRPr="00504429">
        <w:t>face pressure</w:t>
      </w:r>
      <w:r w:rsidR="3079DB8F" w:rsidRPr="00504429">
        <w:t xml:space="preserve"> cut social security and essential services </w:t>
      </w:r>
      <w:r w:rsidR="5C5B5E98" w:rsidRPr="00504429">
        <w:t xml:space="preserve">even </w:t>
      </w:r>
      <w:r w:rsidR="3079DB8F" w:rsidRPr="00504429">
        <w:t>further</w:t>
      </w:r>
      <w:r w:rsidR="4CD74F08" w:rsidRPr="00504429">
        <w:t xml:space="preserve"> </w:t>
      </w:r>
      <w:r w:rsidR="1D5BE717" w:rsidRPr="00504429">
        <w:t xml:space="preserve">than </w:t>
      </w:r>
      <w:r w:rsidR="4CD74F08" w:rsidRPr="00504429">
        <w:t xml:space="preserve">the </w:t>
      </w:r>
      <w:r w:rsidR="1508F87F" w:rsidRPr="00504429">
        <w:t xml:space="preserve">austerity policies </w:t>
      </w:r>
      <w:r w:rsidR="4CD74F08" w:rsidRPr="00504429">
        <w:t xml:space="preserve">inflicted on them from </w:t>
      </w:r>
      <w:r w:rsidR="680F7317" w:rsidRPr="00504429">
        <w:t>2014 to 2019</w:t>
      </w:r>
      <w:r w:rsidR="3079DB8F" w:rsidRPr="00504429">
        <w:t>.</w:t>
      </w:r>
    </w:p>
    <w:p w14:paraId="3A6D97F5" w14:textId="06B52788" w:rsidR="00FD1810" w:rsidRPr="00504429" w:rsidRDefault="014AC3E9" w:rsidP="00843680">
      <w:pPr>
        <w:pStyle w:val="ListParagraph"/>
        <w:rPr>
          <w:rFonts w:asciiTheme="minorHAnsi" w:eastAsiaTheme="minorEastAsia" w:hAnsiTheme="minorHAnsi"/>
        </w:rPr>
      </w:pPr>
      <w:r w:rsidRPr="00504429">
        <w:t>Instead of cutting taxes, the government should restructure them so that the public revenue we need can be raised more fairly and efficien</w:t>
      </w:r>
      <w:r w:rsidR="0A5956D0" w:rsidRPr="00504429">
        <w:t>tly. A well</w:t>
      </w:r>
      <w:r w:rsidR="5DF672D5" w:rsidRPr="00504429">
        <w:t>-</w:t>
      </w:r>
      <w:r w:rsidR="0A5956D0" w:rsidRPr="00504429">
        <w:t xml:space="preserve">designed reform package </w:t>
      </w:r>
      <w:r w:rsidR="5D274597" w:rsidRPr="00504429">
        <w:t>w</w:t>
      </w:r>
      <w:r w:rsidR="0A5956D0" w:rsidRPr="00504429">
        <w:t>ould bo</w:t>
      </w:r>
      <w:r w:rsidR="07AA5191" w:rsidRPr="00504429">
        <w:t>lster</w:t>
      </w:r>
      <w:r w:rsidR="0A5956D0" w:rsidRPr="00504429">
        <w:t xml:space="preserve"> </w:t>
      </w:r>
      <w:r w:rsidR="635A9C7C" w:rsidRPr="00504429">
        <w:t>economic recovery and make it more sustainable.</w:t>
      </w:r>
    </w:p>
    <w:p w14:paraId="7D8CAA99" w14:textId="45941D94" w:rsidR="00FD1810" w:rsidRPr="00504429" w:rsidRDefault="635A9C7C" w:rsidP="00843680">
      <w:pPr>
        <w:pStyle w:val="ListParagraph"/>
      </w:pPr>
      <w:r w:rsidRPr="00504429">
        <w:t>High priority should be given to reforms that remove incentives to speculate in asset values, especially property and shares. When interest rates are low for a prolonged period</w:t>
      </w:r>
      <w:r w:rsidR="4BBBA1FC" w:rsidRPr="00504429">
        <w:t>, there is a risk that asset prices will streak ahead of growth in the ‘real economy’, increasing inequality of income and wealth</w:t>
      </w:r>
      <w:r w:rsidR="3A063C1C" w:rsidRPr="00504429">
        <w:t xml:space="preserve">, making housing even less affordable, </w:t>
      </w:r>
      <w:r w:rsidR="4BBBA1FC" w:rsidRPr="00504429">
        <w:t>and wasting capital that could be used more product</w:t>
      </w:r>
      <w:r w:rsidR="37C5D7E5" w:rsidRPr="00504429">
        <w:t>ively.</w:t>
      </w:r>
    </w:p>
    <w:p w14:paraId="037061FC" w14:textId="350D254F" w:rsidR="50F85824" w:rsidRPr="00504429" w:rsidRDefault="50F85824" w:rsidP="00843680">
      <w:pPr>
        <w:pStyle w:val="ListParagraph"/>
        <w:rPr>
          <w:rFonts w:asciiTheme="minorHAnsi" w:eastAsiaTheme="minorEastAsia" w:hAnsiTheme="minorHAnsi"/>
        </w:rPr>
      </w:pPr>
      <w:r w:rsidRPr="00504429">
        <w:t>There are already signs of a break-out of inflation in house prices.</w:t>
      </w:r>
    </w:p>
    <w:p w14:paraId="427343E8" w14:textId="69A8F20F" w:rsidR="00FD1810" w:rsidRPr="00504429" w:rsidRDefault="396D6CFA" w:rsidP="00843680">
      <w:pPr>
        <w:pStyle w:val="ListParagraph"/>
      </w:pPr>
      <w:r w:rsidRPr="00504429">
        <w:t xml:space="preserve">Tax rates </w:t>
      </w:r>
      <w:r w:rsidR="201AAEEB" w:rsidRPr="00504429">
        <w:t>for personal capital gains beyond ow</w:t>
      </w:r>
      <w:r w:rsidR="4F8AD91D" w:rsidRPr="00504429">
        <w:t>n</w:t>
      </w:r>
      <w:r w:rsidR="201AAEEB" w:rsidRPr="00504429">
        <w:t>er-occupied housing</w:t>
      </w:r>
      <w:r w:rsidR="0600B82D" w:rsidRPr="00504429">
        <w:t xml:space="preserve"> should be increased</w:t>
      </w:r>
      <w:r w:rsidR="201AAEEB" w:rsidRPr="00504429">
        <w:t>, and ‘negative gearing’</w:t>
      </w:r>
      <w:r w:rsidR="14112A5D" w:rsidRPr="00504429">
        <w:t xml:space="preserve"> </w:t>
      </w:r>
      <w:r w:rsidR="5C542E3A" w:rsidRPr="00504429">
        <w:t>should be curbed</w:t>
      </w:r>
      <w:r w:rsidR="201AAEEB" w:rsidRPr="00504429">
        <w:t>.</w:t>
      </w:r>
    </w:p>
    <w:p w14:paraId="632E933D" w14:textId="2FE73DF0" w:rsidR="00FD1810" w:rsidRPr="00504429" w:rsidRDefault="31EAA401" w:rsidP="00843680">
      <w:pPr>
        <w:pStyle w:val="ListParagraph"/>
        <w:rPr>
          <w:rFonts w:asciiTheme="minorHAnsi" w:eastAsiaTheme="minorEastAsia" w:hAnsiTheme="minorHAnsi"/>
        </w:rPr>
      </w:pPr>
      <w:r w:rsidRPr="00504429">
        <w:t>The use of private companies and trusts to avoid tax should be cur</w:t>
      </w:r>
      <w:r w:rsidR="2B360C16" w:rsidRPr="00504429">
        <w:t>tailed</w:t>
      </w:r>
      <w:r w:rsidRPr="00504429">
        <w:t xml:space="preserve"> and </w:t>
      </w:r>
      <w:r w:rsidR="4742318E" w:rsidRPr="00504429">
        <w:t xml:space="preserve">the veil of secrecy surrounding their true ownership and control should be removed. </w:t>
      </w:r>
      <w:r w:rsidRPr="00504429">
        <w:t xml:space="preserve"> </w:t>
      </w:r>
    </w:p>
    <w:p w14:paraId="4437B6A8" w14:textId="11760910" w:rsidR="00FD1810" w:rsidRPr="00504429" w:rsidRDefault="43990125" w:rsidP="00843680">
      <w:pPr>
        <w:pStyle w:val="ListParagraph"/>
        <w:rPr>
          <w:rFonts w:asciiTheme="minorHAnsi" w:eastAsiaTheme="minorEastAsia" w:hAnsiTheme="minorHAnsi"/>
        </w:rPr>
      </w:pPr>
      <w:r w:rsidRPr="00504429">
        <w:t xml:space="preserve">Progress has been made in </w:t>
      </w:r>
      <w:r w:rsidR="7546D7ED" w:rsidRPr="00504429">
        <w:t>curb</w:t>
      </w:r>
      <w:r w:rsidR="6B1BED9A" w:rsidRPr="00504429">
        <w:t>ing</w:t>
      </w:r>
      <w:r w:rsidR="7546D7ED" w:rsidRPr="00504429">
        <w:t xml:space="preserve"> tax avoidance by multi-national companies, </w:t>
      </w:r>
      <w:r w:rsidR="642FD832" w:rsidRPr="00504429">
        <w:t xml:space="preserve">but more needs to be done, especially to </w:t>
      </w:r>
      <w:r w:rsidR="7680A447" w:rsidRPr="00504429">
        <w:t>curb profit shifting to tax havens.</w:t>
      </w:r>
    </w:p>
    <w:p w14:paraId="1AC2D019" w14:textId="15DF8215" w:rsidR="00FD1810" w:rsidRPr="00504429" w:rsidRDefault="4843E32D" w:rsidP="00843680">
      <w:pPr>
        <w:pStyle w:val="ListParagraph"/>
      </w:pPr>
      <w:r w:rsidRPr="00504429">
        <w:t>As part of wi</w:t>
      </w:r>
      <w:r w:rsidR="1A5A6054" w:rsidRPr="00504429">
        <w:t>der efforts to reduce carbon emissions, the government should remove tax subsidies for fossil fuels, notably the rebate for die</w:t>
      </w:r>
      <w:r w:rsidR="551B0D54" w:rsidRPr="00504429">
        <w:t>s</w:t>
      </w:r>
      <w:r w:rsidR="1A5A6054" w:rsidRPr="00504429">
        <w:t>e</w:t>
      </w:r>
      <w:r w:rsidR="554F37AF" w:rsidRPr="00504429">
        <w:t>l fuel</w:t>
      </w:r>
      <w:r w:rsidR="642FD832" w:rsidRPr="00504429">
        <w:t xml:space="preserve"> </w:t>
      </w:r>
      <w:r w:rsidR="17EFCB9A" w:rsidRPr="00504429">
        <w:t>used in mining.</w:t>
      </w:r>
    </w:p>
    <w:p w14:paraId="20790731" w14:textId="411ED1EB" w:rsidR="00FD1810" w:rsidRPr="00504429" w:rsidRDefault="7546D7ED" w:rsidP="00843680">
      <w:pPr>
        <w:pStyle w:val="ListParagraph"/>
        <w:rPr>
          <w:rFonts w:asciiTheme="minorHAnsi" w:eastAsiaTheme="minorEastAsia" w:hAnsiTheme="minorHAnsi"/>
        </w:rPr>
      </w:pPr>
      <w:r w:rsidRPr="00504429">
        <w:t>To improve public health and raise revenue for preventive health programs</w:t>
      </w:r>
      <w:r w:rsidR="0679FFB5" w:rsidRPr="00504429">
        <w:t>, a</w:t>
      </w:r>
      <w:r w:rsidRPr="00504429">
        <w:t xml:space="preserve"> tax should be introduced on sweetened drinks</w:t>
      </w:r>
      <w:r w:rsidR="0D95E7CE" w:rsidRPr="00504429">
        <w:t xml:space="preserve"> and a</w:t>
      </w:r>
      <w:r w:rsidRPr="00504429">
        <w:t>lcoholic beverages should be taxed at a uniform rate based on the volume of alcohol they contain</w:t>
      </w:r>
      <w:r w:rsidR="00FD1810" w:rsidRPr="00504429">
        <w:t>.</w:t>
      </w:r>
    </w:p>
    <w:p w14:paraId="5B95CD12" w14:textId="77777777" w:rsidR="00FD1810" w:rsidRDefault="00FD1810" w:rsidP="00FD1810">
      <w:pPr>
        <w:pStyle w:val="List3"/>
        <w:ind w:left="0" w:firstLine="0"/>
      </w:pPr>
    </w:p>
    <w:p w14:paraId="4C7214F4" w14:textId="37943353" w:rsidR="00FD1810" w:rsidRPr="000C6B7B" w:rsidRDefault="00FD1810" w:rsidP="000C6B7B">
      <w:pPr>
        <w:pStyle w:val="Heading2"/>
      </w:pPr>
      <w:bookmarkStart w:id="93" w:name="_Toc63685986"/>
      <w:r w:rsidRPr="000C6B7B">
        <w:t>Introduction</w:t>
      </w:r>
      <w:bookmarkEnd w:id="93"/>
    </w:p>
    <w:p w14:paraId="6A0AEB13" w14:textId="57B19214" w:rsidR="006B1312" w:rsidRDefault="5A01DB4B" w:rsidP="5A3FAC9D">
      <w:r>
        <w:t xml:space="preserve">The Parliamentary Budget Office </w:t>
      </w:r>
      <w:r w:rsidR="47C887AC">
        <w:t xml:space="preserve">(PBO) </w:t>
      </w:r>
      <w:r w:rsidR="2C1BAB2C">
        <w:t xml:space="preserve">projects </w:t>
      </w:r>
      <w:r>
        <w:t xml:space="preserve">that </w:t>
      </w:r>
      <w:r w:rsidR="5BC7DD77">
        <w:t>the pandemic recession will permanen</w:t>
      </w:r>
      <w:r w:rsidR="5226DF54">
        <w:t>tl</w:t>
      </w:r>
      <w:r w:rsidR="5BC7DD77">
        <w:t xml:space="preserve">y carve </w:t>
      </w:r>
      <w:r w:rsidR="3CCF51C7">
        <w:t xml:space="preserve">around $100 billion </w:t>
      </w:r>
      <w:r w:rsidR="67D53AA8">
        <w:t>a year from Commonwealth revenues</w:t>
      </w:r>
      <w:r w:rsidR="63CCA6AC">
        <w:t xml:space="preserve">, due mainly to a reduction in the size of the economy. </w:t>
      </w:r>
    </w:p>
    <w:p w14:paraId="103697B5" w14:textId="3FE92FB7" w:rsidR="5A3FAC9D" w:rsidRDefault="63CCA6AC" w:rsidP="5A3FAC9D">
      <w:r>
        <w:lastRenderedPageBreak/>
        <w:t xml:space="preserve">As a share of GDP, </w:t>
      </w:r>
      <w:r w:rsidR="4428E2F7">
        <w:t xml:space="preserve">revenues are projected to be </w:t>
      </w:r>
      <w:r w:rsidR="40729EAC">
        <w:t>lower (</w:t>
      </w:r>
      <w:r w:rsidR="2AE99053">
        <w:t xml:space="preserve">at </w:t>
      </w:r>
      <w:r w:rsidR="6AC0905D">
        <w:t>24.5%</w:t>
      </w:r>
      <w:r w:rsidR="35381300">
        <w:t>)</w:t>
      </w:r>
      <w:r w:rsidR="40729EAC">
        <w:t xml:space="preserve"> in 2030-31 than they were </w:t>
      </w:r>
      <w:r w:rsidR="712726C1">
        <w:t xml:space="preserve">before the recession </w:t>
      </w:r>
      <w:r w:rsidR="40729EAC">
        <w:t>in 2018-19</w:t>
      </w:r>
      <w:r w:rsidR="5DD1988C">
        <w:t>.</w:t>
      </w:r>
      <w:r w:rsidR="00A74420">
        <w:rPr>
          <w:rStyle w:val="FootnoteReference"/>
        </w:rPr>
        <w:footnoteReference w:id="66"/>
      </w:r>
      <w:r w:rsidR="40729EAC">
        <w:t xml:space="preserve"> </w:t>
      </w:r>
    </w:p>
    <w:p w14:paraId="696B0244" w14:textId="61CA0AB3" w:rsidR="3529B2B4" w:rsidRDefault="3529B2B4" w:rsidP="5A3FAC9D">
      <w:r>
        <w:t>Unless reversed, t</w:t>
      </w:r>
      <w:r w:rsidR="7A35B9A8">
        <w:t>he legislated tax cuts</w:t>
      </w:r>
      <w:r w:rsidR="0CF21D70">
        <w:t xml:space="preserve"> for high income-earners</w:t>
      </w:r>
      <w:r w:rsidR="6879236A">
        <w:t xml:space="preserve">, which build to </w:t>
      </w:r>
      <w:r w:rsidR="7A35B9A8" w:rsidRPr="7B33A330">
        <w:rPr>
          <w:rFonts w:eastAsia="Verdana" w:cs="Verdana"/>
          <w:sz w:val="19"/>
          <w:szCs w:val="19"/>
        </w:rPr>
        <w:t>$1</w:t>
      </w:r>
      <w:r w:rsidR="0F9A19F3" w:rsidRPr="7B33A330">
        <w:rPr>
          <w:rFonts w:eastAsia="Verdana" w:cs="Verdana"/>
          <w:sz w:val="19"/>
          <w:szCs w:val="19"/>
        </w:rPr>
        <w:t>7</w:t>
      </w:r>
      <w:r w:rsidR="7A35B9A8" w:rsidRPr="7B33A330">
        <w:rPr>
          <w:rFonts w:eastAsia="Verdana" w:cs="Verdana"/>
          <w:sz w:val="19"/>
          <w:szCs w:val="19"/>
        </w:rPr>
        <w:t xml:space="preserve"> billion </w:t>
      </w:r>
      <w:r w:rsidR="096C26E4" w:rsidRPr="7B33A330">
        <w:rPr>
          <w:rFonts w:eastAsia="Verdana" w:cs="Verdana"/>
          <w:sz w:val="19"/>
          <w:szCs w:val="19"/>
        </w:rPr>
        <w:t xml:space="preserve">a year </w:t>
      </w:r>
      <w:r w:rsidR="7A35B9A8" w:rsidRPr="7B33A330">
        <w:rPr>
          <w:rFonts w:eastAsia="Verdana" w:cs="Verdana"/>
          <w:sz w:val="19"/>
          <w:szCs w:val="19"/>
        </w:rPr>
        <w:t xml:space="preserve">in </w:t>
      </w:r>
      <w:r w:rsidR="7A35B9A8">
        <w:t>202</w:t>
      </w:r>
      <w:r w:rsidR="513321EF">
        <w:t>4-25</w:t>
      </w:r>
      <w:r w:rsidR="224FE8D0">
        <w:t xml:space="preserve"> (% of GDP), will </w:t>
      </w:r>
      <w:r w:rsidR="133A99A6">
        <w:t xml:space="preserve">exacerbate </w:t>
      </w:r>
      <w:r w:rsidR="224FE8D0">
        <w:t xml:space="preserve">this revenue </w:t>
      </w:r>
      <w:r w:rsidR="5F5F7C7A">
        <w:t>deficiency</w:t>
      </w:r>
      <w:r w:rsidR="1F43C92A">
        <w:t xml:space="preserve"> </w:t>
      </w:r>
      <w:r w:rsidR="00B65ED6" w:rsidRPr="00B65ED6">
        <w:t>(Figure 5</w:t>
      </w:r>
      <w:r w:rsidR="1F43C92A" w:rsidRPr="00B65ED6">
        <w:t>)</w:t>
      </w:r>
      <w:r w:rsidR="565B723D" w:rsidRPr="00B65ED6">
        <w:t>.</w:t>
      </w:r>
      <w:r w:rsidR="581073F4">
        <w:t xml:space="preserve"> </w:t>
      </w:r>
      <w:r w:rsidR="0E99C10B">
        <w:t xml:space="preserve">Our warnings about the </w:t>
      </w:r>
      <w:r w:rsidR="2D9FAAD7">
        <w:t>risk</w:t>
      </w:r>
      <w:r w:rsidR="0E99C10B">
        <w:t xml:space="preserve"> of legislating large tax cuts five years in advance have been </w:t>
      </w:r>
      <w:r w:rsidR="5A6D24A1">
        <w:t>vindicated</w:t>
      </w:r>
      <w:r w:rsidR="3E4DAF13">
        <w:t>.</w:t>
      </w:r>
    </w:p>
    <w:p w14:paraId="6005167C" w14:textId="45A74F5A" w:rsidR="64948583" w:rsidRDefault="00B65ED6" w:rsidP="5A3FAC9D">
      <w:pPr>
        <w:pStyle w:val="Heading4"/>
      </w:pPr>
      <w:r>
        <w:t>Figure 5</w:t>
      </w:r>
      <w:r w:rsidR="64948583">
        <w:t>: Personal income tax revenue as a % of GDP</w:t>
      </w:r>
    </w:p>
    <w:p w14:paraId="14757AB7" w14:textId="7277DD19" w:rsidR="64948583" w:rsidRDefault="64948583" w:rsidP="00B65ED6">
      <w:pPr>
        <w:jc w:val="center"/>
      </w:pPr>
      <w:r>
        <w:rPr>
          <w:noProof/>
          <w:color w:val="2B579A"/>
          <w:shd w:val="clear" w:color="auto" w:fill="E6E6E6"/>
          <w:lang w:val="en-AU" w:eastAsia="en-AU"/>
        </w:rPr>
        <w:drawing>
          <wp:inline distT="0" distB="0" distL="0" distR="0" wp14:anchorId="0B1AA163" wp14:editId="3A8E2B32">
            <wp:extent cx="4572000" cy="2724150"/>
            <wp:effectExtent l="0" t="0" r="0" b="0"/>
            <wp:docPr id="93171351" name="Picture 9317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2724150"/>
                    </a:xfrm>
                    <a:prstGeom prst="rect">
                      <a:avLst/>
                    </a:prstGeom>
                  </pic:spPr>
                </pic:pic>
              </a:graphicData>
            </a:graphic>
          </wp:inline>
        </w:drawing>
      </w:r>
    </w:p>
    <w:p w14:paraId="4C15956F" w14:textId="3EBF7304" w:rsidR="5B08F0D8" w:rsidRDefault="5B08F0D8" w:rsidP="7B33A330">
      <w:pPr>
        <w:rPr>
          <w:sz w:val="18"/>
          <w:szCs w:val="18"/>
        </w:rPr>
      </w:pPr>
      <w:r w:rsidRPr="7B33A330">
        <w:rPr>
          <w:sz w:val="18"/>
          <w:szCs w:val="18"/>
        </w:rPr>
        <w:t>Source: Parliamentary Budget Office</w:t>
      </w:r>
      <w:r w:rsidR="2FB39424" w:rsidRPr="7B33A330">
        <w:rPr>
          <w:sz w:val="18"/>
          <w:szCs w:val="18"/>
        </w:rPr>
        <w:t xml:space="preserve"> (2020),</w:t>
      </w:r>
      <w:r w:rsidRPr="7B33A330">
        <w:rPr>
          <w:sz w:val="18"/>
          <w:szCs w:val="18"/>
        </w:rPr>
        <w:t xml:space="preserve"> Medium-term fiscal projections.</w:t>
      </w:r>
      <w:r>
        <w:br/>
      </w:r>
      <w:r w:rsidR="767E2BB5" w:rsidRPr="7B33A330">
        <w:rPr>
          <w:sz w:val="18"/>
          <w:szCs w:val="18"/>
        </w:rPr>
        <w:t>Note: ‘previous’ refers to last year’s projections, and also includes the tax cuts.</w:t>
      </w:r>
    </w:p>
    <w:p w14:paraId="13DF9CF0" w14:textId="00CE5169" w:rsidR="506B6040" w:rsidRDefault="29D86040" w:rsidP="5A3FAC9D">
      <w:r>
        <w:t>With interest rates at all-time lows, there</w:t>
      </w:r>
      <w:r w:rsidR="506B6040">
        <w:t xml:space="preserve"> is no need to rush to reduce the Budget deficit, and doing so </w:t>
      </w:r>
      <w:r w:rsidR="76BE50F0">
        <w:t xml:space="preserve">now </w:t>
      </w:r>
      <w:r w:rsidR="506B6040">
        <w:t xml:space="preserve">would jeopardise economic recovery. </w:t>
      </w:r>
      <w:r w:rsidR="1B594018">
        <w:t xml:space="preserve">Instead, </w:t>
      </w:r>
      <w:r w:rsidR="73B09F5E">
        <w:t xml:space="preserve">our main concern </w:t>
      </w:r>
      <w:r w:rsidR="1B594018">
        <w:t xml:space="preserve">is </w:t>
      </w:r>
      <w:r w:rsidR="0D27565D">
        <w:t xml:space="preserve">that </w:t>
      </w:r>
      <w:r w:rsidR="212B598E">
        <w:t>as</w:t>
      </w:r>
      <w:r w:rsidR="1B594018">
        <w:t xml:space="preserve"> the economy recovers</w:t>
      </w:r>
      <w:r w:rsidR="01124915">
        <w:t>,</w:t>
      </w:r>
      <w:r w:rsidR="1B594018">
        <w:t xml:space="preserve"> </w:t>
      </w:r>
      <w:r w:rsidR="0BDCFF29">
        <w:t>government</w:t>
      </w:r>
      <w:r w:rsidR="65580567">
        <w:t>s</w:t>
      </w:r>
      <w:r w:rsidR="0BDCFF29">
        <w:t xml:space="preserve"> </w:t>
      </w:r>
      <w:r w:rsidR="3EFD03E7">
        <w:t xml:space="preserve">will be </w:t>
      </w:r>
      <w:r w:rsidR="41E6236A">
        <w:t xml:space="preserve">prevented </w:t>
      </w:r>
      <w:r w:rsidR="3EFD03E7">
        <w:t xml:space="preserve">from </w:t>
      </w:r>
      <w:r w:rsidR="7F64315F">
        <w:t xml:space="preserve">alleviating </w:t>
      </w:r>
      <w:r w:rsidR="025573CB">
        <w:t xml:space="preserve">the </w:t>
      </w:r>
      <w:r w:rsidR="596277FD">
        <w:t xml:space="preserve">social impacts of the pandemic and recession (such as the levels of </w:t>
      </w:r>
      <w:r w:rsidR="00A618BF">
        <w:t>JobSeeker</w:t>
      </w:r>
      <w:r w:rsidR="596277FD">
        <w:t xml:space="preserve"> payment and long-term unemployment) and </w:t>
      </w:r>
      <w:r w:rsidR="3EFD03E7">
        <w:t>making long</w:t>
      </w:r>
      <w:r w:rsidR="7392224B">
        <w:t>-</w:t>
      </w:r>
      <w:r w:rsidR="3EFD03E7">
        <w:t>overdue investment</w:t>
      </w:r>
      <w:r w:rsidR="1532AA7F">
        <w:t>s</w:t>
      </w:r>
      <w:r w:rsidR="3EFD03E7">
        <w:t xml:space="preserve"> in essential services</w:t>
      </w:r>
      <w:r w:rsidR="47371915">
        <w:t xml:space="preserve"> (such as social housing and aged care). </w:t>
      </w:r>
    </w:p>
    <w:p w14:paraId="3863F182" w14:textId="3DA5D638" w:rsidR="7E51CA86" w:rsidRDefault="7E51CA86" w:rsidP="5A3FAC9D">
      <w:r>
        <w:t xml:space="preserve">If the PBO projections ring true, </w:t>
      </w:r>
      <w:r w:rsidR="08BBF347">
        <w:t xml:space="preserve">a future government </w:t>
      </w:r>
      <w:r w:rsidR="478E950A">
        <w:t xml:space="preserve">seeking to </w:t>
      </w:r>
      <w:r w:rsidR="007DCC27">
        <w:t>reduce</w:t>
      </w:r>
      <w:r w:rsidR="478E950A">
        <w:t xml:space="preserve"> public debt would </w:t>
      </w:r>
      <w:r w:rsidR="0BBE6289">
        <w:t xml:space="preserve">have to choose between </w:t>
      </w:r>
      <w:r w:rsidR="478E950A">
        <w:t>restor</w:t>
      </w:r>
      <w:r w:rsidR="7CAC398B">
        <w:t>ing</w:t>
      </w:r>
      <w:r w:rsidR="478E950A">
        <w:t xml:space="preserve"> </w:t>
      </w:r>
      <w:r w:rsidR="1F1D99A5">
        <w:t xml:space="preserve">revenue and </w:t>
      </w:r>
      <w:r w:rsidR="2A39EC75">
        <w:t xml:space="preserve">a </w:t>
      </w:r>
      <w:r w:rsidR="1DA021AC">
        <w:t>harsh</w:t>
      </w:r>
      <w:r w:rsidR="62B1CAFF">
        <w:t>er</w:t>
      </w:r>
      <w:r w:rsidR="1DA021AC">
        <w:t xml:space="preserve"> </w:t>
      </w:r>
      <w:r w:rsidR="2A39EC75">
        <w:t>austerity program of cuts to</w:t>
      </w:r>
      <w:r w:rsidR="1F1D99A5">
        <w:t xml:space="preserve"> services and income support like th</w:t>
      </w:r>
      <w:r w:rsidR="20459B37">
        <w:t>ose</w:t>
      </w:r>
      <w:r w:rsidR="51BCD8EA">
        <w:t xml:space="preserve"> pursued </w:t>
      </w:r>
      <w:r w:rsidR="1F1D99A5">
        <w:t>before the pandemic.</w:t>
      </w:r>
      <w:r w:rsidR="3EFD03E7">
        <w:t xml:space="preserve"> </w:t>
      </w:r>
    </w:p>
    <w:p w14:paraId="6620C8A9" w14:textId="4749A693" w:rsidR="5A01DB4B" w:rsidRDefault="5A01DB4B" w:rsidP="1EA2AED4">
      <w:r>
        <w:t xml:space="preserve">The scheduled tax cuts should not proceed in their present form, given their high cost and bias towards taxpayers with high incomes. </w:t>
      </w:r>
      <w:r w:rsidR="475C41FA">
        <w:t>Any</w:t>
      </w:r>
      <w:r>
        <w:t xml:space="preserve"> tax cuts during the forward estimates period should </w:t>
      </w:r>
      <w:r w:rsidR="019ABA50">
        <w:t xml:space="preserve">mainly </w:t>
      </w:r>
      <w:r w:rsidR="74FA08A5">
        <w:t xml:space="preserve">be </w:t>
      </w:r>
      <w:r>
        <w:t>paid for by reducing tax concessions and closing off tax shelters.</w:t>
      </w:r>
    </w:p>
    <w:p w14:paraId="0813A60F" w14:textId="6FD843F6" w:rsidR="1EA2AED4" w:rsidRDefault="5A01DB4B" w:rsidP="1EA2AED4">
      <w:r>
        <w:t xml:space="preserve">The fairest and least economically disruptive way to </w:t>
      </w:r>
      <w:r w:rsidR="17A5D0FA">
        <w:t>restore</w:t>
      </w:r>
      <w:r>
        <w:t xml:space="preserve"> public revenues </w:t>
      </w:r>
      <w:r w:rsidR="6245F6C8">
        <w:t>and</w:t>
      </w:r>
      <w:r>
        <w:t xml:space="preserve"> pay for improvements in payments and services is to close gaps in the income tax base so that different forms of income are taxed more consistently. </w:t>
      </w:r>
      <w:r w:rsidR="5C4B349B">
        <w:t>This would strengthen growth in jobs and incomes in the long-term by removing biase</w:t>
      </w:r>
      <w:r w:rsidR="00A74420">
        <w:t xml:space="preserve">s in the tax system such as </w:t>
      </w:r>
      <w:r w:rsidR="5C4B349B">
        <w:t xml:space="preserve">those favouring </w:t>
      </w:r>
      <w:r w:rsidR="6BCE9700">
        <w:t xml:space="preserve">investment in </w:t>
      </w:r>
      <w:r w:rsidR="5C4B349B">
        <w:t>property</w:t>
      </w:r>
      <w:r w:rsidR="20C2241A">
        <w:t xml:space="preserve"> (discussed below)</w:t>
      </w:r>
      <w:r w:rsidR="390F3ACF">
        <w:t>.</w:t>
      </w:r>
    </w:p>
    <w:p w14:paraId="58880947" w14:textId="45449E2B" w:rsidR="00FD1810" w:rsidRDefault="007376C2" w:rsidP="1EA2AED4">
      <w:pPr>
        <w:pStyle w:val="Recommendation"/>
        <w:rPr>
          <w:rFonts w:eastAsiaTheme="minorEastAsia"/>
          <w:bCs/>
          <w:szCs w:val="20"/>
        </w:rPr>
      </w:pPr>
      <w:r>
        <w:rPr>
          <w:rFonts w:eastAsiaTheme="minorEastAsia"/>
          <w:bCs/>
          <w:color w:val="C00000"/>
          <w:szCs w:val="20"/>
        </w:rPr>
        <w:lastRenderedPageBreak/>
        <w:t xml:space="preserve">Recommendation </w:t>
      </w:r>
      <w:r w:rsidR="00394B9E">
        <w:rPr>
          <w:rFonts w:eastAsiaTheme="minorEastAsia"/>
          <w:bCs/>
          <w:color w:val="C00000"/>
          <w:szCs w:val="20"/>
        </w:rPr>
        <w:t>5</w:t>
      </w:r>
      <w:r w:rsidR="00A677FD">
        <w:rPr>
          <w:rFonts w:eastAsiaTheme="minorEastAsia"/>
          <w:bCs/>
          <w:color w:val="C00000"/>
          <w:szCs w:val="20"/>
        </w:rPr>
        <w:t>3</w:t>
      </w:r>
      <w:r w:rsidR="57C19EB6" w:rsidRPr="007376C2">
        <w:rPr>
          <w:rFonts w:eastAsiaTheme="minorEastAsia"/>
          <w:bCs/>
          <w:color w:val="C00000"/>
          <w:szCs w:val="20"/>
        </w:rPr>
        <w:t>:</w:t>
      </w:r>
      <w:r w:rsidR="5A01DB4B" w:rsidRPr="007376C2">
        <w:rPr>
          <w:color w:val="C00000"/>
        </w:rPr>
        <w:t xml:space="preserve"> </w:t>
      </w:r>
      <w:r w:rsidR="5A01DB4B" w:rsidRPr="006B1312">
        <w:rPr>
          <w:color w:val="000000" w:themeColor="text1"/>
        </w:rPr>
        <w:t>Do not proceed with scheduled income tax cuts</w:t>
      </w:r>
      <w:r w:rsidR="265452C1" w:rsidRPr="006B1312">
        <w:rPr>
          <w:color w:val="000000" w:themeColor="text1"/>
        </w:rPr>
        <w:t xml:space="preserve"> for high income-earners</w:t>
      </w:r>
      <w:r w:rsidR="00FD1810">
        <w:br/>
      </w:r>
    </w:p>
    <w:p w14:paraId="1D703B4D" w14:textId="101C35A8" w:rsidR="00FD1810" w:rsidRDefault="5A01DB4B" w:rsidP="1EA2AED4">
      <w:pPr>
        <w:pStyle w:val="Recommendation"/>
        <w:rPr>
          <w:color w:val="000000" w:themeColor="text1"/>
        </w:rPr>
      </w:pPr>
      <w:r w:rsidRPr="1B5AAA50">
        <w:rPr>
          <w:color w:val="000000" w:themeColor="text1"/>
        </w:rPr>
        <w:t xml:space="preserve">The </w:t>
      </w:r>
      <w:r w:rsidR="592D3F10" w:rsidRPr="1B5AAA50">
        <w:rPr>
          <w:color w:val="000000" w:themeColor="text1"/>
        </w:rPr>
        <w:t xml:space="preserve">'Stage 2’ </w:t>
      </w:r>
      <w:r w:rsidRPr="1B5AAA50">
        <w:rPr>
          <w:color w:val="000000" w:themeColor="text1"/>
        </w:rPr>
        <w:t xml:space="preserve">personal income tax cuts </w:t>
      </w:r>
      <w:r w:rsidR="61CD094D" w:rsidRPr="1B5AAA50">
        <w:rPr>
          <w:color w:val="000000" w:themeColor="text1"/>
        </w:rPr>
        <w:t xml:space="preserve">introduced last year for people earning over $90,000 should be reversed and </w:t>
      </w:r>
      <w:r w:rsidR="61E20F2C" w:rsidRPr="1B5AAA50">
        <w:rPr>
          <w:color w:val="000000" w:themeColor="text1"/>
        </w:rPr>
        <w:t>'Stage 3’ tax cuts legislated to begin in 2024 should be withdrawn.</w:t>
      </w:r>
      <w:r w:rsidRPr="1B5AAA50">
        <w:rPr>
          <w:color w:val="000000" w:themeColor="text1"/>
        </w:rPr>
        <w:t xml:space="preserve"> </w:t>
      </w:r>
      <w:r w:rsidR="00FD1810">
        <w:br/>
      </w:r>
    </w:p>
    <w:p w14:paraId="03D13A74" w14:textId="1D026A6D" w:rsidR="1EA2AED4" w:rsidRPr="000C6B7B" w:rsidRDefault="74BECB56" w:rsidP="000C6B7B">
      <w:pPr>
        <w:pStyle w:val="Recommendation"/>
        <w:rPr>
          <w:rFonts w:eastAsiaTheme="minorEastAsia"/>
          <w:bCs/>
          <w:color w:val="000000" w:themeColor="text1"/>
          <w:szCs w:val="20"/>
        </w:rPr>
      </w:pPr>
      <w:r w:rsidRPr="007376C2">
        <w:rPr>
          <w:rFonts w:eastAsiaTheme="minorEastAsia"/>
          <w:bCs/>
          <w:color w:val="C00000"/>
          <w:szCs w:val="20"/>
        </w:rPr>
        <w:t>Budget impact</w:t>
      </w:r>
      <w:r w:rsidR="5A01DB4B" w:rsidRPr="007376C2">
        <w:rPr>
          <w:rFonts w:eastAsiaTheme="minorEastAsia"/>
          <w:bCs/>
          <w:color w:val="C00000"/>
          <w:szCs w:val="20"/>
        </w:rPr>
        <w:t>:</w:t>
      </w:r>
      <w:r w:rsidR="5A01DB4B" w:rsidRPr="006B1312">
        <w:rPr>
          <w:rFonts w:eastAsiaTheme="minorEastAsia"/>
          <w:bCs/>
          <w:color w:val="C00000"/>
          <w:szCs w:val="20"/>
        </w:rPr>
        <w:t xml:space="preserve"> </w:t>
      </w:r>
      <w:r w:rsidR="5BD8BFF1" w:rsidRPr="006B1312">
        <w:rPr>
          <w:rFonts w:eastAsiaTheme="minorEastAsia"/>
          <w:bCs/>
          <w:i/>
          <w:color w:val="000000" w:themeColor="text1"/>
          <w:szCs w:val="20"/>
        </w:rPr>
        <w:t>$3,800</w:t>
      </w:r>
      <w:r w:rsidR="306F7A78" w:rsidRPr="006B1312">
        <w:rPr>
          <w:rFonts w:eastAsiaTheme="minorEastAsia"/>
          <w:bCs/>
          <w:i/>
          <w:color w:val="000000" w:themeColor="text1"/>
          <w:szCs w:val="20"/>
        </w:rPr>
        <w:t xml:space="preserve"> </w:t>
      </w:r>
      <w:r w:rsidR="0FA84408" w:rsidRPr="006B1312">
        <w:rPr>
          <w:rFonts w:eastAsiaTheme="minorEastAsia"/>
          <w:bCs/>
          <w:i/>
          <w:color w:val="000000" w:themeColor="text1"/>
          <w:szCs w:val="20"/>
        </w:rPr>
        <w:t xml:space="preserve">million </w:t>
      </w:r>
      <w:r w:rsidR="306F7A78" w:rsidRPr="006B1312">
        <w:rPr>
          <w:rFonts w:eastAsiaTheme="minorEastAsia"/>
          <w:bCs/>
          <w:i/>
          <w:color w:val="000000" w:themeColor="text1"/>
          <w:szCs w:val="20"/>
        </w:rPr>
        <w:t>(</w:t>
      </w:r>
      <w:r w:rsidR="5A01DB4B" w:rsidRPr="006B1312">
        <w:rPr>
          <w:rFonts w:eastAsiaTheme="minorEastAsia"/>
          <w:bCs/>
          <w:i/>
          <w:color w:val="000000" w:themeColor="text1"/>
          <w:szCs w:val="20"/>
        </w:rPr>
        <w:t>$1</w:t>
      </w:r>
      <w:r w:rsidR="47742D30" w:rsidRPr="006B1312">
        <w:rPr>
          <w:rFonts w:eastAsiaTheme="minorEastAsia"/>
          <w:bCs/>
          <w:i/>
          <w:color w:val="000000" w:themeColor="text1"/>
          <w:szCs w:val="20"/>
        </w:rPr>
        <w:t>7</w:t>
      </w:r>
      <w:r w:rsidR="5A01DB4B" w:rsidRPr="006B1312">
        <w:rPr>
          <w:rFonts w:eastAsiaTheme="minorEastAsia"/>
          <w:bCs/>
          <w:i/>
          <w:color w:val="000000" w:themeColor="text1"/>
          <w:szCs w:val="20"/>
        </w:rPr>
        <w:t>,</w:t>
      </w:r>
      <w:r w:rsidR="5603669C" w:rsidRPr="006B1312">
        <w:rPr>
          <w:rFonts w:eastAsiaTheme="minorEastAsia"/>
          <w:bCs/>
          <w:i/>
          <w:color w:val="000000" w:themeColor="text1"/>
          <w:szCs w:val="20"/>
        </w:rPr>
        <w:t>0</w:t>
      </w:r>
      <w:r w:rsidR="5A01DB4B" w:rsidRPr="006B1312">
        <w:rPr>
          <w:rFonts w:eastAsiaTheme="minorEastAsia"/>
          <w:bCs/>
          <w:i/>
          <w:color w:val="000000" w:themeColor="text1"/>
          <w:szCs w:val="20"/>
        </w:rPr>
        <w:t>00 million in 202</w:t>
      </w:r>
      <w:r w:rsidR="14FD0D62" w:rsidRPr="006B1312">
        <w:rPr>
          <w:rFonts w:eastAsiaTheme="minorEastAsia"/>
          <w:bCs/>
          <w:i/>
          <w:color w:val="000000" w:themeColor="text1"/>
          <w:szCs w:val="20"/>
        </w:rPr>
        <w:t>4</w:t>
      </w:r>
      <w:r w:rsidR="5A01DB4B" w:rsidRPr="006B1312">
        <w:rPr>
          <w:rFonts w:eastAsiaTheme="minorEastAsia"/>
          <w:bCs/>
          <w:i/>
          <w:color w:val="000000" w:themeColor="text1"/>
          <w:szCs w:val="20"/>
        </w:rPr>
        <w:t>-2</w:t>
      </w:r>
      <w:r w:rsidR="48D04F0C" w:rsidRPr="006B1312">
        <w:rPr>
          <w:rFonts w:eastAsiaTheme="minorEastAsia"/>
          <w:bCs/>
          <w:i/>
          <w:color w:val="000000" w:themeColor="text1"/>
          <w:szCs w:val="20"/>
        </w:rPr>
        <w:t>5</w:t>
      </w:r>
      <w:r w:rsidR="23659857" w:rsidRPr="006B1312">
        <w:rPr>
          <w:rFonts w:eastAsiaTheme="minorEastAsia"/>
          <w:bCs/>
          <w:i/>
          <w:color w:val="000000" w:themeColor="text1"/>
          <w:szCs w:val="20"/>
        </w:rPr>
        <w:t>)</w:t>
      </w:r>
    </w:p>
    <w:p w14:paraId="7EB58692" w14:textId="77777777" w:rsidR="007376C2" w:rsidRDefault="007376C2" w:rsidP="1EA2AED4">
      <w:pPr>
        <w:pStyle w:val="ListNumber"/>
        <w:numPr>
          <w:ilvl w:val="0"/>
          <w:numId w:val="0"/>
        </w:numPr>
      </w:pPr>
    </w:p>
    <w:p w14:paraId="06938424" w14:textId="11524A8B" w:rsidR="7B2561BA" w:rsidRPr="000C6B7B" w:rsidRDefault="7B2561BA" w:rsidP="000C6B7B">
      <w:pPr>
        <w:pStyle w:val="Heading2"/>
      </w:pPr>
      <w:bookmarkStart w:id="94" w:name="_Toc63685987"/>
      <w:r w:rsidRPr="000C6B7B">
        <w:t xml:space="preserve">Tax investment income </w:t>
      </w:r>
      <w:r w:rsidR="3F509132" w:rsidRPr="000C6B7B">
        <w:t xml:space="preserve">more </w:t>
      </w:r>
      <w:r w:rsidRPr="000C6B7B">
        <w:t>fairly and consistently</w:t>
      </w:r>
      <w:bookmarkEnd w:id="94"/>
    </w:p>
    <w:p w14:paraId="20FC4B02" w14:textId="6D88BC2F" w:rsidR="00FD1810" w:rsidRDefault="12B62321" w:rsidP="00FD1810">
      <w:r>
        <w:t xml:space="preserve">One of the most economically harmful investment distortions in the tax system is the 50% discount on tax rates for capital gains (CGT) received by individuals and trusts, together with the delay in taxing capital gains until assets are sold. The privileging of speculative investments in assets (such as housing) that yield capital gains over other more productive investments inflates asset prices and detracts from economic development. It </w:t>
      </w:r>
      <w:r w:rsidR="61D86A37">
        <w:t xml:space="preserve">exacerbates </w:t>
      </w:r>
      <w:r>
        <w:t>boom and bust cycles in the economy</w:t>
      </w:r>
      <w:r w:rsidR="722B6488">
        <w:t>, especially when</w:t>
      </w:r>
      <w:r w:rsidR="55D4BD23">
        <w:t xml:space="preserve"> (as now) </w:t>
      </w:r>
      <w:r w:rsidR="722B6488">
        <w:t>interest rates are held at very low levels for a sustained period.</w:t>
      </w:r>
    </w:p>
    <w:p w14:paraId="0F625D8E" w14:textId="40E5D6C3" w:rsidR="00FD1810" w:rsidRDefault="12B62321" w:rsidP="1EA2AED4">
      <w:r>
        <w:t>The 50% CGT discount overwhelmingly benefits the top 10% of taxpayers, who receive t</w:t>
      </w:r>
      <w:r w:rsidR="00A74420">
        <w:t>wo-thirds of all capital gains.</w:t>
      </w:r>
      <w:r w:rsidR="00A74420">
        <w:rPr>
          <w:rStyle w:val="FootnoteReference"/>
        </w:rPr>
        <w:footnoteReference w:id="67"/>
      </w:r>
      <w:r>
        <w:t xml:space="preserve"> We propose that this concession be halved, so that three-quarters of capital gains are taxed. Rather than grandfathering this change (which would lead </w:t>
      </w:r>
      <w:r w:rsidR="53D33D7C">
        <w:t>people</w:t>
      </w:r>
      <w:r>
        <w:t xml:space="preserve"> to lock in their </w:t>
      </w:r>
      <w:r w:rsidR="4319DF32">
        <w:t>investments</w:t>
      </w:r>
      <w:r>
        <w:t xml:space="preserve">), we propose that the transition to the new rules be managed by progressively lifting the tax rate on capital gains from 50% of the marginal tax rate to 75% over a three-year period. Existing investors should have the funds to pay the higher rate of CGT, as </w:t>
      </w:r>
      <w:r w:rsidR="4FA5DAF1">
        <w:t>it</w:t>
      </w:r>
      <w:r>
        <w:t xml:space="preserve"> only levied once an asset is </w:t>
      </w:r>
      <w:r w:rsidR="7FD63710">
        <w:t>sol</w:t>
      </w:r>
      <w:r>
        <w:t>d.</w:t>
      </w:r>
    </w:p>
    <w:p w14:paraId="3BBAFAF6" w14:textId="5C9C6124" w:rsidR="00FD1810" w:rsidRDefault="12B62321" w:rsidP="1EA2AED4">
      <w:r>
        <w:t>In addition, avoidance of CGT would be curbed by our recommendation to tighten the tax treatment of superannuation fund earnings post-retirement (</w:t>
      </w:r>
      <w:r w:rsidRPr="00675C6B">
        <w:t xml:space="preserve">see Chapter </w:t>
      </w:r>
      <w:r w:rsidR="00675C6B" w:rsidRPr="00675C6B">
        <w:t>9</w:t>
      </w:r>
      <w:r w:rsidRPr="00675C6B">
        <w:t xml:space="preserve">: </w:t>
      </w:r>
      <w:r w:rsidR="00675C6B" w:rsidRPr="00675C6B">
        <w:t>Decent retirement incomes and services</w:t>
      </w:r>
      <w:r w:rsidRPr="00675C6B">
        <w:t>).</w:t>
      </w:r>
    </w:p>
    <w:p w14:paraId="258328A2" w14:textId="77777777" w:rsidR="006B1312" w:rsidRPr="006B1312" w:rsidRDefault="12B62321" w:rsidP="1EA2AED4">
      <w:pPr>
        <w:rPr>
          <w:sz w:val="6"/>
        </w:rPr>
      </w:pPr>
      <w:r>
        <w:t xml:space="preserve">The sale of small business assets such as land and buildings attracts further concessions: the 50% tax discount is doubled and there are exemptions for capital gains held for over 15 years and those used for ‘retirement purposes.’ Together, these concessions mean that many business owners with substantial personal wealth can avoid paying Capital Gains Tax (CGT) altogether, or at a very low rate. This is inequitable and discourages business owners from saving for retirement in other, less risky ways </w:t>
      </w:r>
      <w:r w:rsidR="79BCB249">
        <w:t>such as superannuation</w:t>
      </w:r>
      <w:r>
        <w:t>.</w:t>
      </w:r>
      <w:r w:rsidR="00FD1810">
        <w:br/>
      </w:r>
    </w:p>
    <w:p w14:paraId="5E80E25D" w14:textId="33BA9788" w:rsidR="00FD1810" w:rsidRDefault="12B62321" w:rsidP="1EA2AED4">
      <w:r>
        <w:t xml:space="preserve">Ideally, the delay in taxing capital gains would be eliminated by taxing them annually as they accrue. This is impractical as it would require annual valuations, and many long-term investors would not have the cashflow to pay </w:t>
      </w:r>
      <w:r w:rsidR="0EC7C1E7">
        <w:t>annually</w:t>
      </w:r>
      <w:r>
        <w:t xml:space="preserve">. Instead, the government should ensure that the tax treatment of investment expenses (including interest payments on borrowings to purchase an asset) is consistent with the (delayed) tax treatment of capital gains. </w:t>
      </w:r>
    </w:p>
    <w:p w14:paraId="6DBBEDA1" w14:textId="547407F0" w:rsidR="00FD1810" w:rsidRDefault="12B62321" w:rsidP="1EA2AED4">
      <w:r>
        <w:t>Investors should not be able to claim deductions on those expenses until the investment yields a positive return (often through s</w:t>
      </w:r>
      <w:r w:rsidR="00A74420">
        <w:t>ale of the asset years later).</w:t>
      </w:r>
      <w:r w:rsidR="00A74420">
        <w:rPr>
          <w:rStyle w:val="FootnoteReference"/>
        </w:rPr>
        <w:footnoteReference w:id="68"/>
      </w:r>
      <w:r w:rsidR="1B43CEEE">
        <w:t xml:space="preserve"> They </w:t>
      </w:r>
      <w:r w:rsidR="5D9CFA3C">
        <w:t xml:space="preserve">could still </w:t>
      </w:r>
      <w:r w:rsidR="5D9CFA3C">
        <w:lastRenderedPageBreak/>
        <w:t>claim deductions, but th</w:t>
      </w:r>
      <w:r w:rsidR="253E2C43">
        <w:t>os</w:t>
      </w:r>
      <w:r w:rsidR="5D9CFA3C">
        <w:t>e would be better matched with investment income. Assets acquired before that date would be grandfathered so that deductions can still be claimed under the present rules.</w:t>
      </w:r>
      <w:r w:rsidR="00FD1810" w:rsidRPr="7B33A330">
        <w:rPr>
          <w:rStyle w:val="FootnoteReference"/>
        </w:rPr>
        <w:footnoteReference w:id="69"/>
      </w:r>
      <w:r w:rsidR="5D9CFA3C">
        <w:t xml:space="preserve"> </w:t>
      </w:r>
    </w:p>
    <w:p w14:paraId="13CB595B" w14:textId="686411B8" w:rsidR="00FD1810" w:rsidRPr="00F03627" w:rsidRDefault="5D9CFA3C" w:rsidP="00FD1810">
      <w:r>
        <w:t xml:space="preserve">The revenue saved from this measure would be devoted to the affordable rental housing investment incentive proposed in </w:t>
      </w:r>
      <w:r w:rsidRPr="00675C6B">
        <w:rPr>
          <w:iCs/>
        </w:rPr>
        <w:t xml:space="preserve">Chapter </w:t>
      </w:r>
      <w:r w:rsidR="00675C6B">
        <w:rPr>
          <w:iCs/>
        </w:rPr>
        <w:t>5</w:t>
      </w:r>
      <w:r w:rsidRPr="00675C6B">
        <w:rPr>
          <w:iCs/>
        </w:rPr>
        <w:t xml:space="preserve">: </w:t>
      </w:r>
      <w:r w:rsidR="00675C6B" w:rsidRPr="00675C6B">
        <w:t>Make access to housing affordable for people with low incomes</w:t>
      </w:r>
      <w:r w:rsidRPr="00675C6B">
        <w:t>.</w:t>
      </w:r>
    </w:p>
    <w:p w14:paraId="78CB115D" w14:textId="3DBFD6E8" w:rsidR="00FD1810" w:rsidRDefault="00FD1810" w:rsidP="1EA2AED4">
      <w:pPr>
        <w:pStyle w:val="Recommendation"/>
        <w:rPr>
          <w:color w:val="000000" w:themeColor="text1"/>
        </w:rPr>
      </w:pPr>
      <w:r w:rsidRPr="006B1312">
        <w:rPr>
          <w:color w:val="C00000"/>
        </w:rPr>
        <w:t xml:space="preserve">Recommendation </w:t>
      </w:r>
      <w:r w:rsidR="00394B9E">
        <w:rPr>
          <w:color w:val="C00000"/>
        </w:rPr>
        <w:t>5</w:t>
      </w:r>
      <w:r w:rsidR="00A677FD">
        <w:rPr>
          <w:color w:val="C00000"/>
        </w:rPr>
        <w:t>4</w:t>
      </w:r>
      <w:r w:rsidR="5326A967" w:rsidRPr="006B1312">
        <w:rPr>
          <w:color w:val="C00000"/>
        </w:rPr>
        <w:t>:</w:t>
      </w:r>
      <w:r>
        <w:t xml:space="preserve"> </w:t>
      </w:r>
      <w:r w:rsidR="2F4C0767" w:rsidRPr="006B1312">
        <w:rPr>
          <w:color w:val="000000" w:themeColor="text1"/>
        </w:rPr>
        <w:t xml:space="preserve">Reduce the general Capital Gains Tax discount for individuals and trusts </w:t>
      </w:r>
      <w:r>
        <w:br/>
      </w:r>
    </w:p>
    <w:p w14:paraId="2AC06E43" w14:textId="4B27ED8F" w:rsidR="00FD1810" w:rsidRDefault="0FFFED84" w:rsidP="00FD1810">
      <w:pPr>
        <w:pStyle w:val="Recommendation"/>
        <w:rPr>
          <w:color w:val="000000" w:themeColor="text1"/>
        </w:rPr>
      </w:pPr>
      <w:r w:rsidRPr="1B5AAA50">
        <w:rPr>
          <w:color w:val="000000" w:themeColor="text1"/>
        </w:rPr>
        <w:t>The exemption of 50% of personal capital gains from Capital Gains Tax should be reduced from 50% to 25%, phased in over five years (reduced by 5% per year) commencing 1 July 202</w:t>
      </w:r>
      <w:r w:rsidR="0534FCDE" w:rsidRPr="1B5AAA50">
        <w:rPr>
          <w:color w:val="000000" w:themeColor="text1"/>
        </w:rPr>
        <w:t>1</w:t>
      </w:r>
      <w:r w:rsidRPr="1B5AAA50">
        <w:rPr>
          <w:color w:val="000000" w:themeColor="text1"/>
        </w:rPr>
        <w:t>.</w:t>
      </w:r>
    </w:p>
    <w:p w14:paraId="675E05EE" w14:textId="77777777" w:rsidR="00FD1810" w:rsidRDefault="00FD1810" w:rsidP="00FD1810">
      <w:pPr>
        <w:pStyle w:val="Recommendation"/>
        <w:rPr>
          <w:color w:val="000000" w:themeColor="text1"/>
        </w:rPr>
      </w:pPr>
    </w:p>
    <w:p w14:paraId="57E3A2A6" w14:textId="04548F1B" w:rsidR="5D270134" w:rsidRDefault="5D270134" w:rsidP="5A3FAC9D">
      <w:pPr>
        <w:pStyle w:val="Recommendation"/>
        <w:rPr>
          <w:bCs/>
        </w:rPr>
      </w:pPr>
      <w:r w:rsidRPr="1B5AAA50">
        <w:rPr>
          <w:rFonts w:eastAsiaTheme="minorEastAsia"/>
          <w:bCs/>
          <w:color w:val="000000" w:themeColor="text1"/>
          <w:szCs w:val="20"/>
        </w:rPr>
        <w:t>Budget impact:</w:t>
      </w:r>
      <w:r w:rsidR="00FD1810" w:rsidRPr="1B5AAA50">
        <w:rPr>
          <w:rFonts w:eastAsiaTheme="minorEastAsia"/>
          <w:bCs/>
          <w:color w:val="000000" w:themeColor="text1"/>
          <w:szCs w:val="20"/>
        </w:rPr>
        <w:t xml:space="preserve"> </w:t>
      </w:r>
      <w:r w:rsidR="106EB62E" w:rsidRPr="006B1312">
        <w:rPr>
          <w:rFonts w:eastAsiaTheme="minorEastAsia"/>
          <w:bCs/>
          <w:i/>
          <w:color w:val="000000" w:themeColor="text1"/>
          <w:szCs w:val="20"/>
        </w:rPr>
        <w:t>$600 million ($1,200 million in 202</w:t>
      </w:r>
      <w:r w:rsidR="23A9566C" w:rsidRPr="006B1312">
        <w:rPr>
          <w:rFonts w:eastAsiaTheme="minorEastAsia"/>
          <w:bCs/>
          <w:i/>
          <w:color w:val="000000" w:themeColor="text1"/>
          <w:szCs w:val="20"/>
        </w:rPr>
        <w:t>2</w:t>
      </w:r>
      <w:r w:rsidR="106EB62E" w:rsidRPr="006B1312">
        <w:rPr>
          <w:rFonts w:eastAsiaTheme="minorEastAsia"/>
          <w:bCs/>
          <w:i/>
          <w:color w:val="000000" w:themeColor="text1"/>
          <w:szCs w:val="20"/>
        </w:rPr>
        <w:t>-2</w:t>
      </w:r>
      <w:r w:rsidR="093C0EDA" w:rsidRPr="006B1312">
        <w:rPr>
          <w:rFonts w:eastAsiaTheme="minorEastAsia"/>
          <w:bCs/>
          <w:i/>
          <w:color w:val="000000" w:themeColor="text1"/>
          <w:szCs w:val="20"/>
        </w:rPr>
        <w:t>3</w:t>
      </w:r>
      <w:r w:rsidR="106EB62E" w:rsidRPr="006B1312">
        <w:rPr>
          <w:rFonts w:eastAsiaTheme="minorEastAsia"/>
          <w:bCs/>
          <w:i/>
          <w:color w:val="000000" w:themeColor="text1"/>
          <w:szCs w:val="20"/>
        </w:rPr>
        <w:t>)</w:t>
      </w:r>
    </w:p>
    <w:p w14:paraId="2FC17F8B" w14:textId="77777777" w:rsidR="00FD1810" w:rsidRDefault="00FD1810" w:rsidP="00FD1810">
      <w:pPr>
        <w:pStyle w:val="Recommendation"/>
        <w:rPr>
          <w:b w:val="0"/>
        </w:rPr>
      </w:pPr>
    </w:p>
    <w:p w14:paraId="0A4F7224" w14:textId="54889642" w:rsidR="00FD1810" w:rsidRPr="00204C41" w:rsidRDefault="00504429" w:rsidP="1EA2AED4">
      <w:pPr>
        <w:pStyle w:val="ListNumber"/>
        <w:numPr>
          <w:ilvl w:val="0"/>
          <w:numId w:val="0"/>
        </w:numPr>
      </w:pPr>
      <w:r>
        <w:rPr>
          <w:rFonts w:eastAsiaTheme="minorEastAsia"/>
          <w:b/>
          <w:bCs/>
          <w:color w:val="C00000"/>
          <w:szCs w:val="20"/>
        </w:rPr>
        <w:t xml:space="preserve">Recommendation </w:t>
      </w:r>
      <w:r w:rsidR="00394B9E">
        <w:rPr>
          <w:rFonts w:eastAsiaTheme="minorEastAsia"/>
          <w:b/>
          <w:bCs/>
          <w:color w:val="C00000"/>
          <w:szCs w:val="20"/>
        </w:rPr>
        <w:t>5</w:t>
      </w:r>
      <w:r w:rsidR="00A677FD">
        <w:rPr>
          <w:rFonts w:eastAsiaTheme="minorEastAsia"/>
          <w:b/>
          <w:bCs/>
          <w:color w:val="C00000"/>
          <w:szCs w:val="20"/>
        </w:rPr>
        <w:t>5</w:t>
      </w:r>
      <w:r w:rsidR="21AE4AA8" w:rsidRPr="006B1312">
        <w:rPr>
          <w:rFonts w:eastAsiaTheme="minorEastAsia"/>
          <w:b/>
          <w:bCs/>
          <w:color w:val="C00000"/>
          <w:szCs w:val="20"/>
        </w:rPr>
        <w:t xml:space="preserve">: </w:t>
      </w:r>
      <w:r w:rsidR="21AE4AA8" w:rsidRPr="006B1312">
        <w:rPr>
          <w:rFonts w:eastAsiaTheme="minorEastAsia"/>
          <w:b/>
          <w:bCs/>
          <w:szCs w:val="20"/>
        </w:rPr>
        <w:t>Remove inequitable small business Capital Gains Tax concessions</w:t>
      </w:r>
    </w:p>
    <w:p w14:paraId="4C74A5F9" w14:textId="3E435AF0" w:rsidR="1EA2AED4" w:rsidRDefault="1EA2AED4" w:rsidP="1EA2AED4">
      <w:pPr>
        <w:pStyle w:val="ListNumber"/>
        <w:numPr>
          <w:ilvl w:val="0"/>
          <w:numId w:val="0"/>
        </w:numPr>
        <w:rPr>
          <w:rFonts w:eastAsiaTheme="minorEastAsia"/>
          <w:b/>
          <w:bCs/>
          <w:color w:val="CE2028"/>
          <w:szCs w:val="20"/>
        </w:rPr>
      </w:pPr>
    </w:p>
    <w:p w14:paraId="73E26388" w14:textId="4AD9F1DF" w:rsidR="21AE4AA8" w:rsidRDefault="21AE4AA8" w:rsidP="1EA2AED4">
      <w:pPr>
        <w:pStyle w:val="ListNumber"/>
        <w:numPr>
          <w:ilvl w:val="0"/>
          <w:numId w:val="0"/>
        </w:numPr>
      </w:pPr>
      <w:r w:rsidRPr="1B5AAA50">
        <w:rPr>
          <w:rFonts w:eastAsiaTheme="minorEastAsia"/>
          <w:b/>
          <w:bCs/>
          <w:szCs w:val="20"/>
        </w:rPr>
        <w:t>The following tax concessions for capital gains from the disposal of small business assets should be phased out over five years from 1 July 202</w:t>
      </w:r>
      <w:r w:rsidR="02151A17" w:rsidRPr="1B5AAA50">
        <w:rPr>
          <w:rFonts w:eastAsiaTheme="minorEastAsia"/>
          <w:b/>
          <w:bCs/>
          <w:szCs w:val="20"/>
        </w:rPr>
        <w:t>2</w:t>
      </w:r>
      <w:r w:rsidRPr="1B5AAA50">
        <w:rPr>
          <w:rFonts w:eastAsiaTheme="minorEastAsia"/>
          <w:b/>
          <w:bCs/>
          <w:szCs w:val="20"/>
        </w:rPr>
        <w:t>:</w:t>
      </w:r>
    </w:p>
    <w:p w14:paraId="0E73A00C" w14:textId="72D66901" w:rsidR="21AE4AA8" w:rsidRDefault="21AE4AA8" w:rsidP="1EA2AED4">
      <w:pPr>
        <w:pStyle w:val="ListNumber"/>
        <w:rPr>
          <w:rFonts w:asciiTheme="minorHAnsi" w:eastAsiaTheme="minorEastAsia" w:hAnsiTheme="minorHAnsi"/>
          <w:b/>
          <w:bCs/>
          <w:szCs w:val="20"/>
        </w:rPr>
      </w:pPr>
      <w:r w:rsidRPr="7B33A330">
        <w:rPr>
          <w:rFonts w:eastAsiaTheme="minorEastAsia"/>
          <w:b/>
          <w:bCs/>
          <w:szCs w:val="20"/>
        </w:rPr>
        <w:t>The additional 50% discount for these capital gains;</w:t>
      </w:r>
    </w:p>
    <w:p w14:paraId="14D3E6E6" w14:textId="7F1A3EAD" w:rsidR="21AE4AA8" w:rsidRDefault="21AE4AA8" w:rsidP="1EA2AED4">
      <w:pPr>
        <w:pStyle w:val="ListNumber"/>
        <w:rPr>
          <w:rFonts w:asciiTheme="minorHAnsi" w:eastAsiaTheme="minorEastAsia" w:hAnsiTheme="minorHAnsi"/>
          <w:b/>
          <w:bCs/>
          <w:szCs w:val="20"/>
        </w:rPr>
      </w:pPr>
      <w:r w:rsidRPr="7B33A330">
        <w:rPr>
          <w:rFonts w:eastAsiaTheme="minorEastAsia"/>
          <w:b/>
          <w:bCs/>
          <w:szCs w:val="20"/>
        </w:rPr>
        <w:t>The exemption for gains on assets held for over 15 years; and</w:t>
      </w:r>
    </w:p>
    <w:p w14:paraId="5CAE48B7" w14:textId="72773D4C" w:rsidR="21AE4AA8" w:rsidRDefault="21AE4AA8" w:rsidP="1EA2AED4">
      <w:pPr>
        <w:pStyle w:val="ListNumber"/>
        <w:rPr>
          <w:rFonts w:asciiTheme="minorHAnsi" w:eastAsiaTheme="minorEastAsia" w:hAnsiTheme="minorHAnsi"/>
          <w:b/>
          <w:bCs/>
          <w:szCs w:val="20"/>
        </w:rPr>
      </w:pPr>
      <w:r w:rsidRPr="7B33A330">
        <w:rPr>
          <w:rFonts w:eastAsiaTheme="minorEastAsia"/>
          <w:b/>
          <w:bCs/>
          <w:szCs w:val="20"/>
        </w:rPr>
        <w:t>The exemption for gains used for retirement purposes.</w:t>
      </w:r>
    </w:p>
    <w:p w14:paraId="7892C234" w14:textId="7DBDC282" w:rsidR="21AE4AA8" w:rsidRDefault="21AE4AA8" w:rsidP="5A3FAC9D">
      <w:pPr>
        <w:rPr>
          <w:rFonts w:eastAsiaTheme="minorEastAsia"/>
          <w:b/>
          <w:bCs/>
          <w:szCs w:val="20"/>
        </w:rPr>
      </w:pPr>
      <w:r w:rsidRPr="007376C2">
        <w:rPr>
          <w:rFonts w:eastAsiaTheme="minorEastAsia"/>
          <w:b/>
          <w:bCs/>
          <w:color w:val="C00000"/>
          <w:szCs w:val="20"/>
        </w:rPr>
        <w:t>Budget impact:</w:t>
      </w:r>
      <w:r w:rsidRPr="007376C2">
        <w:rPr>
          <w:rFonts w:eastAsia="Verdana" w:cs="Verdana"/>
          <w:b/>
          <w:bCs/>
          <w:color w:val="C00000"/>
          <w:sz w:val="19"/>
          <w:szCs w:val="19"/>
        </w:rPr>
        <w:t xml:space="preserve"> </w:t>
      </w:r>
      <w:r w:rsidRPr="006B1312">
        <w:rPr>
          <w:rFonts w:eastAsiaTheme="minorEastAsia"/>
          <w:b/>
          <w:bCs/>
          <w:i/>
          <w:szCs w:val="20"/>
        </w:rPr>
        <w:t>$0 ($300 million in 202</w:t>
      </w:r>
      <w:r w:rsidR="5055EF16" w:rsidRPr="006B1312">
        <w:rPr>
          <w:rFonts w:eastAsiaTheme="minorEastAsia"/>
          <w:b/>
          <w:bCs/>
          <w:i/>
          <w:szCs w:val="20"/>
        </w:rPr>
        <w:t>2</w:t>
      </w:r>
      <w:r w:rsidRPr="006B1312">
        <w:rPr>
          <w:rFonts w:eastAsiaTheme="minorEastAsia"/>
          <w:b/>
          <w:bCs/>
          <w:i/>
          <w:szCs w:val="20"/>
        </w:rPr>
        <w:t>-2</w:t>
      </w:r>
      <w:r w:rsidR="5C315C56" w:rsidRPr="006B1312">
        <w:rPr>
          <w:rFonts w:eastAsiaTheme="minorEastAsia"/>
          <w:b/>
          <w:bCs/>
          <w:i/>
          <w:szCs w:val="20"/>
        </w:rPr>
        <w:t>3</w:t>
      </w:r>
      <w:r w:rsidRPr="006B1312">
        <w:rPr>
          <w:rFonts w:eastAsiaTheme="minorEastAsia"/>
          <w:b/>
          <w:bCs/>
          <w:i/>
          <w:szCs w:val="20"/>
        </w:rPr>
        <w:t>)</w:t>
      </w:r>
    </w:p>
    <w:p w14:paraId="288DED80" w14:textId="751EF413" w:rsidR="3CEF6CD5" w:rsidRDefault="00504429" w:rsidP="1EA2AED4">
      <w:pPr>
        <w:pStyle w:val="Recommendation"/>
        <w:rPr>
          <w:color w:val="000000" w:themeColor="text1"/>
        </w:rPr>
      </w:pPr>
      <w:r>
        <w:rPr>
          <w:color w:val="C00000"/>
        </w:rPr>
        <w:t xml:space="preserve">Recommendation </w:t>
      </w:r>
      <w:r w:rsidR="00394B9E">
        <w:rPr>
          <w:color w:val="C00000"/>
        </w:rPr>
        <w:t>5</w:t>
      </w:r>
      <w:r w:rsidR="00A677FD">
        <w:rPr>
          <w:color w:val="C00000"/>
        </w:rPr>
        <w:t>6</w:t>
      </w:r>
      <w:r w:rsidR="3CEF6CD5" w:rsidRPr="006B1312">
        <w:rPr>
          <w:color w:val="C00000"/>
        </w:rPr>
        <w:t>:</w:t>
      </w:r>
      <w:r w:rsidR="3CEF6CD5">
        <w:t xml:space="preserve"> </w:t>
      </w:r>
      <w:r w:rsidR="3CEF6CD5" w:rsidRPr="006B1312">
        <w:rPr>
          <w:color w:val="000000" w:themeColor="text1"/>
        </w:rPr>
        <w:t>Restrict deductions for personal investment expenses (negative gearing)</w:t>
      </w:r>
      <w:r w:rsidR="3CEF6CD5">
        <w:br/>
        <w:t xml:space="preserve"> </w:t>
      </w:r>
    </w:p>
    <w:p w14:paraId="1CC22FBF" w14:textId="098B2F69" w:rsidR="165F7B2C" w:rsidRDefault="165F7B2C" w:rsidP="1EA2AED4">
      <w:pPr>
        <w:pStyle w:val="Recommendation"/>
        <w:rPr>
          <w:color w:val="000000" w:themeColor="text1"/>
        </w:rPr>
      </w:pPr>
      <w:r w:rsidRPr="7B33A330">
        <w:rPr>
          <w:color w:val="000000" w:themeColor="text1"/>
        </w:rPr>
        <w:t>(1) Income tax deductions for expenses (such as interest payments on debt) relating to passive investments in assets yielding capital gains (such as housing, shares and collectables) should be limited to income received from those asset classes, including capital gains realised on subsequent sale. This should apply to all new investments of this type entered into after 1 January 202</w:t>
      </w:r>
      <w:r w:rsidR="573B5DAD" w:rsidRPr="7B33A330">
        <w:rPr>
          <w:color w:val="000000" w:themeColor="text1"/>
        </w:rPr>
        <w:t>2</w:t>
      </w:r>
      <w:r w:rsidRPr="7B33A330">
        <w:rPr>
          <w:color w:val="000000" w:themeColor="text1"/>
        </w:rPr>
        <w:t>.</w:t>
      </w:r>
      <w:r>
        <w:br/>
      </w:r>
    </w:p>
    <w:p w14:paraId="1BE0EF9D" w14:textId="2898A3BD" w:rsidR="3CEF6CD5" w:rsidRDefault="165F7B2C" w:rsidP="7B33A330">
      <w:pPr>
        <w:pStyle w:val="Recommendation"/>
        <w:rPr>
          <w:color w:val="000000" w:themeColor="text1"/>
        </w:rPr>
      </w:pPr>
      <w:r w:rsidRPr="7B33A330">
        <w:rPr>
          <w:color w:val="000000" w:themeColor="text1"/>
        </w:rPr>
        <w:t xml:space="preserve">(2) The revenue saved from this measure should be used to introduce an affordable rental housing investment incentive which rebates a proportion of the construction costs of new ‘affordable rental’ dwellings annually over a </w:t>
      </w:r>
      <w:r w:rsidR="00515F9E" w:rsidRPr="7B33A330">
        <w:rPr>
          <w:color w:val="000000" w:themeColor="text1"/>
        </w:rPr>
        <w:t>ten-year</w:t>
      </w:r>
      <w:r w:rsidRPr="7B33A330">
        <w:rPr>
          <w:color w:val="000000" w:themeColor="text1"/>
        </w:rPr>
        <w:t xml:space="preserve"> period, during which rents are held at least 20% below median market levels</w:t>
      </w:r>
      <w:r w:rsidR="49EF58B2" w:rsidRPr="7B33A330">
        <w:rPr>
          <w:color w:val="000000" w:themeColor="text1"/>
        </w:rPr>
        <w:t>.</w:t>
      </w:r>
    </w:p>
    <w:p w14:paraId="425A5E95" w14:textId="2C7D19D8" w:rsidR="3CEF6CD5" w:rsidRDefault="3CEF6CD5" w:rsidP="7B33A330">
      <w:pPr>
        <w:pStyle w:val="Recommendation"/>
        <w:rPr>
          <w:rFonts w:eastAsiaTheme="minorEastAsia"/>
          <w:bCs/>
          <w:szCs w:val="20"/>
        </w:rPr>
      </w:pPr>
    </w:p>
    <w:p w14:paraId="70585253" w14:textId="08070D9A" w:rsidR="3CEF6CD5" w:rsidRDefault="3CEF6CD5" w:rsidP="7B33A330">
      <w:pPr>
        <w:pStyle w:val="Recommendation"/>
        <w:rPr>
          <w:bCs/>
        </w:rPr>
      </w:pPr>
      <w:r w:rsidRPr="007376C2">
        <w:rPr>
          <w:rFonts w:eastAsiaTheme="minorEastAsia"/>
          <w:bCs/>
          <w:color w:val="C00000"/>
          <w:szCs w:val="20"/>
        </w:rPr>
        <w:t>Budget impact:</w:t>
      </w:r>
      <w:r w:rsidRPr="007376C2">
        <w:rPr>
          <w:b w:val="0"/>
          <w:color w:val="C00000"/>
        </w:rPr>
        <w:t xml:space="preserve"> </w:t>
      </w:r>
      <w:r w:rsidRPr="00A74420">
        <w:rPr>
          <w:rFonts w:eastAsiaTheme="minorEastAsia"/>
          <w:bCs/>
          <w:i/>
          <w:color w:val="000000" w:themeColor="text1"/>
          <w:szCs w:val="20"/>
        </w:rPr>
        <w:t>$0 ($</w:t>
      </w:r>
      <w:r w:rsidR="79DF504F" w:rsidRPr="00A74420">
        <w:rPr>
          <w:rFonts w:eastAsiaTheme="minorEastAsia"/>
          <w:bCs/>
          <w:i/>
          <w:color w:val="000000" w:themeColor="text1"/>
          <w:szCs w:val="20"/>
        </w:rPr>
        <w:t>0</w:t>
      </w:r>
      <w:r w:rsidRPr="00A74420">
        <w:rPr>
          <w:rFonts w:eastAsiaTheme="minorEastAsia"/>
          <w:bCs/>
          <w:i/>
          <w:color w:val="000000" w:themeColor="text1"/>
          <w:szCs w:val="20"/>
        </w:rPr>
        <w:t xml:space="preserve"> in 202</w:t>
      </w:r>
      <w:r w:rsidR="6431B85D" w:rsidRPr="00A74420">
        <w:rPr>
          <w:rFonts w:eastAsiaTheme="minorEastAsia"/>
          <w:bCs/>
          <w:i/>
          <w:color w:val="000000" w:themeColor="text1"/>
          <w:szCs w:val="20"/>
        </w:rPr>
        <w:t>2</w:t>
      </w:r>
      <w:r w:rsidRPr="00A74420">
        <w:rPr>
          <w:rFonts w:eastAsiaTheme="minorEastAsia"/>
          <w:bCs/>
          <w:i/>
          <w:color w:val="000000" w:themeColor="text1"/>
          <w:szCs w:val="20"/>
        </w:rPr>
        <w:t>-2</w:t>
      </w:r>
      <w:r w:rsidR="07C7FE4D" w:rsidRPr="00A74420">
        <w:rPr>
          <w:rFonts w:eastAsiaTheme="minorEastAsia"/>
          <w:bCs/>
          <w:i/>
          <w:color w:val="000000" w:themeColor="text1"/>
          <w:szCs w:val="20"/>
        </w:rPr>
        <w:t>3</w:t>
      </w:r>
      <w:r w:rsidRPr="00A74420">
        <w:rPr>
          <w:rFonts w:eastAsiaTheme="minorEastAsia"/>
          <w:bCs/>
          <w:i/>
          <w:color w:val="000000" w:themeColor="text1"/>
          <w:szCs w:val="20"/>
        </w:rPr>
        <w:t>)</w:t>
      </w:r>
    </w:p>
    <w:p w14:paraId="12F9EE0A" w14:textId="77777777" w:rsidR="1EA2AED4" w:rsidRDefault="1EA2AED4" w:rsidP="1EA2AED4">
      <w:pPr>
        <w:pStyle w:val="Recommendation"/>
        <w:rPr>
          <w:b w:val="0"/>
        </w:rPr>
      </w:pPr>
    </w:p>
    <w:p w14:paraId="2C46DFF2" w14:textId="5EE17611" w:rsidR="1EA2AED4" w:rsidRDefault="1EA2AED4" w:rsidP="1EA2AED4">
      <w:pPr>
        <w:pStyle w:val="ListNumber"/>
        <w:numPr>
          <w:ilvl w:val="0"/>
          <w:numId w:val="0"/>
        </w:numPr>
        <w:rPr>
          <w:rFonts w:eastAsiaTheme="minorEastAsia"/>
          <w:b/>
          <w:bCs/>
          <w:szCs w:val="20"/>
        </w:rPr>
      </w:pPr>
    </w:p>
    <w:p w14:paraId="0E8EE47A" w14:textId="55C9EDB6" w:rsidR="00FD1810" w:rsidRPr="000C6B7B" w:rsidRDefault="4430BA7E" w:rsidP="000C6B7B">
      <w:pPr>
        <w:pStyle w:val="Heading2"/>
      </w:pPr>
      <w:bookmarkStart w:id="95" w:name="_Toc63685988"/>
      <w:r w:rsidRPr="000C6B7B">
        <w:lastRenderedPageBreak/>
        <w:t xml:space="preserve">Curb </w:t>
      </w:r>
      <w:r w:rsidR="5FECBF95" w:rsidRPr="000C6B7B">
        <w:t xml:space="preserve">personal </w:t>
      </w:r>
      <w:r w:rsidRPr="000C6B7B">
        <w:t xml:space="preserve">tax avoidance </w:t>
      </w:r>
      <w:r w:rsidR="55DDC140" w:rsidRPr="000C6B7B">
        <w:t>using</w:t>
      </w:r>
      <w:r w:rsidRPr="000C6B7B">
        <w:t xml:space="preserve"> </w:t>
      </w:r>
      <w:r w:rsidR="44B27179" w:rsidRPr="000C6B7B">
        <w:t>private trusts and companies</w:t>
      </w:r>
      <w:bookmarkEnd w:id="95"/>
    </w:p>
    <w:p w14:paraId="0CB4ADB6" w14:textId="28AAD78E" w:rsidR="5F050D01" w:rsidRDefault="5F050D01" w:rsidP="5A3FAC9D">
      <w:r w:rsidRPr="0060127B">
        <w:rPr>
          <w:iCs/>
        </w:rPr>
        <w:t>Private (closely-held) trusts</w:t>
      </w:r>
      <w:r w:rsidRPr="0060127B">
        <w:rPr>
          <w:b/>
          <w:bCs/>
        </w:rPr>
        <w:t>,</w:t>
      </w:r>
      <w:r w:rsidRPr="0060127B">
        <w:t xml:space="preserve"> </w:t>
      </w:r>
      <w:r>
        <w:t xml:space="preserve">especially discretionary trusts, are used to avoid income tax by splitting income with a family member, delaying or avoiding payment of CGT, and by passing on the benefits of investment tax breaks from the trust to its beneficiaries (unlike the tax treatment of companies). Although the policy intention is that any income that is not taxed in the hands of beneficiaries is instead taxed in the hands of the trust, this is not consistently applied. </w:t>
      </w:r>
    </w:p>
    <w:p w14:paraId="2B481CB4" w14:textId="34688E3A" w:rsidR="5F050D01" w:rsidRDefault="5F050D01" w:rsidP="5A3FAC9D">
      <w:r>
        <w:t>Private trusts and companies are also used to (illegally) evade tax and launder money by shifting funds through complex chains of entities or to ’tax havens’ such as Panama, Bermuda, or Switzerland.</w:t>
      </w:r>
    </w:p>
    <w:p w14:paraId="5CDFD629" w14:textId="443CB650" w:rsidR="5F050D01" w:rsidRDefault="5F050D01" w:rsidP="5A3FAC9D">
      <w:r>
        <w:t>One way to close off these tax avoidance opportunities is to tax private trusts as companies as recommended in 2000 by the Review of Bu</w:t>
      </w:r>
      <w:r w:rsidR="00A74420">
        <w:t>siness Taxation (Ralph Review).</w:t>
      </w:r>
      <w:r w:rsidR="00A74420">
        <w:rPr>
          <w:rStyle w:val="FootnoteReference"/>
        </w:rPr>
        <w:footnoteReference w:id="70"/>
      </w:r>
      <w:r>
        <w:t xml:space="preserve"> This would also improve consistency in the tax treatment of trusts and companies, especially the treatment of tax-preferred income (tax concessions), which would no longer ‘pass through’ to the beneficiaries of private trusts. On the other hand, it would enable high-income-earners to exploit the gap between the company tax rate and higher personal tax rates by retaining income in the trust, so that weakness in the tax treatment of private companies should also be </w:t>
      </w:r>
      <w:r w:rsidR="77E8EB14">
        <w:t>overcome</w:t>
      </w:r>
      <w:r>
        <w:t xml:space="preserve"> as proposed below.</w:t>
      </w:r>
    </w:p>
    <w:p w14:paraId="00F8621B" w14:textId="2CE3B2E8" w:rsidR="5F050D01" w:rsidRDefault="5F050D01" w:rsidP="5A3FAC9D">
      <w:r>
        <w:t>An alternative way to curb tax avoidance through discretionary trusts is to apply CGT to untaxed or concessionally-taxed income (for example, where taxable income is reduced by building works deductions) of private discretionary trusts when it is distributed to beneficiaries. Currently, these distributions do not attract CGT, including where capital gains are realised through asset revaluations within the trust. This would bring the tax treatment of discretionary trusts into alignment with that of fixed trusts, and curb avoidance of CGT.</w:t>
      </w:r>
    </w:p>
    <w:p w14:paraId="29973BD5" w14:textId="196E335B" w:rsidR="5F050D01" w:rsidRDefault="4D29C071" w:rsidP="5A3FAC9D">
      <w:r>
        <w:t xml:space="preserve">The new rules applying to private trusts would apply to private express trusts (both fixed and discretionary trusts), with exemptions similar to those recommended in the Ralph Review including complying superannuation funds and disability trusts. </w:t>
      </w:r>
    </w:p>
    <w:p w14:paraId="4300B126" w14:textId="2DADC340" w:rsidR="5F050D01" w:rsidRDefault="5F050D01" w:rsidP="5A3FAC9D">
      <w:r>
        <w:t xml:space="preserve">A related policy challenge is the widespread use of private companies and trusts to (unlawfully) evade tax and launder money through secrecy jurisdictions or ‘tax havens’, as revealed by revelations from ‘Operation Wickenby’ (Switzerland), ‘Panama Papers’ (Panama) and the ‘Paradise Papers’ (Bermuda). </w:t>
      </w:r>
    </w:p>
    <w:p w14:paraId="337DBE04" w14:textId="77777777" w:rsidR="006B1312" w:rsidRDefault="5F050D01" w:rsidP="5A3FAC9D">
      <w:r>
        <w:t xml:space="preserve">Australia was a prominent supporter of the G20 initiative to curb these practices by improving the </w:t>
      </w:r>
      <w:r w:rsidRPr="7B33A330">
        <w:rPr>
          <w:i/>
          <w:iCs/>
        </w:rPr>
        <w:t>transparency of beneficial ownership of companies and trusts.</w:t>
      </w:r>
      <w:r>
        <w:t xml:space="preserve"> Australian governments have also participated in the OECD’s Base Erosion and Profit Shifting (BEPS) initiative to st</w:t>
      </w:r>
      <w:r w:rsidR="00A80C9F">
        <w:t>em multinational tax avoidance.</w:t>
      </w:r>
      <w:r w:rsidR="00A80C9F">
        <w:rPr>
          <w:rStyle w:val="FootnoteReference"/>
        </w:rPr>
        <w:footnoteReference w:id="71"/>
      </w:r>
      <w:r>
        <w:t xml:space="preserve"> </w:t>
      </w:r>
    </w:p>
    <w:p w14:paraId="1C4BFB23" w14:textId="79EF65BC" w:rsidR="5F050D01" w:rsidRDefault="5F050D01" w:rsidP="5A3FAC9D">
      <w:r>
        <w:t xml:space="preserve">Despite this, government action to establish registers of the beneficial ownership and control of private companies and trusts has been tardy. </w:t>
      </w:r>
    </w:p>
    <w:p w14:paraId="5049199E" w14:textId="06FAD369" w:rsidR="5F050D01" w:rsidRDefault="5F050D01" w:rsidP="5A3FAC9D">
      <w:r>
        <w:lastRenderedPageBreak/>
        <w:t>The ATO publishes tax information for public companies with income exceeding $100 million and private companies with turnover exceeding $200 million. There is no sound reason for the higher threshold for private companies, and the absence of public data on large private trusts is a glaring gap in our tax transparency regime.</w:t>
      </w:r>
    </w:p>
    <w:p w14:paraId="3D67DF43" w14:textId="41D05AD1" w:rsidR="5F050D01" w:rsidRDefault="5F050D01" w:rsidP="5A3FAC9D">
      <w:r>
        <w:t xml:space="preserve">To encourage tax compliance and curb money laundering, basic information on private trusts should be published by the ATO on a public register, akin to the register for companies. The privacy of beneficiaries of family trusts registered as such (apart from related entities such as trusts and companies) could be </w:t>
      </w:r>
      <w:r w:rsidR="57CE1F00">
        <w:t>exempted</w:t>
      </w:r>
      <w:r w:rsidR="14FBD744">
        <w:t xml:space="preserve"> from the requirement to publicly list the beneficiaries</w:t>
      </w:r>
      <w:r w:rsidR="00A80C9F">
        <w:t>.</w:t>
      </w:r>
      <w:r w:rsidR="00A80C9F">
        <w:rPr>
          <w:rStyle w:val="FootnoteReference"/>
        </w:rPr>
        <w:footnoteReference w:id="72"/>
      </w:r>
    </w:p>
    <w:p w14:paraId="12F71BAA" w14:textId="7B4EE64F" w:rsidR="5F050D01" w:rsidRDefault="5F050D01" w:rsidP="5A3FAC9D">
      <w:r w:rsidRPr="00C0119E">
        <w:rPr>
          <w:iCs/>
        </w:rPr>
        <w:t>Private companies</w:t>
      </w:r>
      <w:r w:rsidRPr="7B33A330">
        <w:rPr>
          <w:b/>
          <w:bCs/>
        </w:rPr>
        <w:t xml:space="preserve"> </w:t>
      </w:r>
      <w:r>
        <w:t xml:space="preserve">are also widely used to avoid tax, often in conjunction with discretionary trusts. These arrangements take advantage of the gap between the top marginal rate of personal income tax and the company tax rate. </w:t>
      </w:r>
    </w:p>
    <w:p w14:paraId="66E15707" w14:textId="69BAA2BC" w:rsidR="5F050D01" w:rsidRDefault="729C509F" w:rsidP="5A3FAC9D">
      <w:r>
        <w:t>The use of ‘cashbox companies’ to avoid personal income tax by retaining income in a private company should be curbed by taxing retained earnings (minus a reinvestment allowance for active businesses) in private companies at the top marginal personal tax rate plus Medicare Levy. This tax treatment would also apply to private trusts taxed as companies under the reform proposed above. Where the owner of the private company would ordinarily face a lower personal tax rate</w:t>
      </w:r>
      <w:r w:rsidR="7CEE1419">
        <w:t>,</w:t>
      </w:r>
      <w:r>
        <w:t xml:space="preserve"> they could distribute company income to themselves in the form of dividends or wages.</w:t>
      </w:r>
    </w:p>
    <w:p w14:paraId="6B7E63F8" w14:textId="783702F4" w:rsidR="6EDA582D" w:rsidRDefault="729C509F" w:rsidP="1B5AAA50">
      <w:r>
        <w:t>This reform has become more urgent now that the company tax rate has fallen to 27.5% for companies with annual turnover below $50 million. This change provided windfall gains to high-income-earners using companies as bu</w:t>
      </w:r>
      <w:r w:rsidR="00A80C9F">
        <w:t>siness vehicles.</w:t>
      </w:r>
      <w:r w:rsidR="00A80C9F">
        <w:rPr>
          <w:rStyle w:val="FootnoteReference"/>
        </w:rPr>
        <w:footnoteReference w:id="73"/>
      </w:r>
    </w:p>
    <w:p w14:paraId="1A4B2FD4" w14:textId="23639E9D" w:rsidR="00FD1810" w:rsidRDefault="00FD1810" w:rsidP="00FD1810">
      <w:pPr>
        <w:pStyle w:val="Recommendation"/>
        <w:rPr>
          <w:color w:val="000000" w:themeColor="text1"/>
        </w:rPr>
      </w:pPr>
      <w:r w:rsidRPr="006B1312">
        <w:rPr>
          <w:color w:val="C00000"/>
        </w:rPr>
        <w:t xml:space="preserve">Recommendation </w:t>
      </w:r>
      <w:r w:rsidR="00394B9E">
        <w:rPr>
          <w:color w:val="C00000"/>
        </w:rPr>
        <w:t>5</w:t>
      </w:r>
      <w:r w:rsidR="00A677FD">
        <w:rPr>
          <w:color w:val="C00000"/>
        </w:rPr>
        <w:t>7</w:t>
      </w:r>
      <w:r w:rsidR="1C5870EE" w:rsidRPr="006B1312">
        <w:rPr>
          <w:color w:val="C00000"/>
        </w:rPr>
        <w:t>:</w:t>
      </w:r>
      <w:r>
        <w:t xml:space="preserve"> </w:t>
      </w:r>
      <w:r w:rsidR="732B4E4E" w:rsidRPr="006B1312">
        <w:rPr>
          <w:color w:val="000000" w:themeColor="text1"/>
        </w:rPr>
        <w:t>Curb the use of private trusts to avoid personal income tax and conceal income</w:t>
      </w:r>
      <w:r>
        <w:br/>
      </w:r>
    </w:p>
    <w:p w14:paraId="3D4DA09A" w14:textId="3138E367" w:rsidR="00FD1810" w:rsidRDefault="16760CAC" w:rsidP="5A3FAC9D">
      <w:pPr>
        <w:pStyle w:val="Recommendation"/>
        <w:rPr>
          <w:color w:val="000000" w:themeColor="text1"/>
        </w:rPr>
      </w:pPr>
      <w:r w:rsidRPr="7B33A330">
        <w:rPr>
          <w:color w:val="000000" w:themeColor="text1"/>
        </w:rPr>
        <w:t>(1) From 1 July 202</w:t>
      </w:r>
      <w:r w:rsidR="65079638" w:rsidRPr="7B33A330">
        <w:rPr>
          <w:color w:val="000000" w:themeColor="text1"/>
        </w:rPr>
        <w:t>2</w:t>
      </w:r>
      <w:r w:rsidRPr="7B33A330">
        <w:rPr>
          <w:color w:val="000000" w:themeColor="text1"/>
        </w:rPr>
        <w:t>, closely-held express trusts (both discretionary and fixed) should be taxed as companies. This would not apply to certain categories of trusts including collective investment vehicles, complying superannuation funds, disability trusts, and trusts established pursuant to court orders.</w:t>
      </w:r>
      <w:r w:rsidR="00FD1810">
        <w:br/>
      </w:r>
    </w:p>
    <w:p w14:paraId="7F254C58" w14:textId="4EA5790F" w:rsidR="006B1312" w:rsidRPr="00C0119E" w:rsidRDefault="16760CAC" w:rsidP="00C0119E">
      <w:pPr>
        <w:pStyle w:val="Recommendation"/>
        <w:rPr>
          <w:color w:val="000000" w:themeColor="text1"/>
          <w:szCs w:val="20"/>
        </w:rPr>
      </w:pPr>
      <w:r w:rsidRPr="7B33A330">
        <w:rPr>
          <w:color w:val="000000" w:themeColor="text1"/>
        </w:rPr>
        <w:t>(2) Alternately, Capital Gains Tax should apply to untaxed and preferentially-</w:t>
      </w:r>
      <w:r w:rsidRPr="00C0119E">
        <w:rPr>
          <w:color w:val="000000" w:themeColor="text1"/>
          <w:szCs w:val="20"/>
        </w:rPr>
        <w:t xml:space="preserve">taxed distributions to the beneficiaries of closely-held discretionary trusts, including distributions arising from asset revaluations. </w:t>
      </w:r>
      <w:r w:rsidR="00C0119E">
        <w:rPr>
          <w:color w:val="000000" w:themeColor="text1"/>
          <w:szCs w:val="20"/>
        </w:rPr>
        <w:br/>
      </w:r>
    </w:p>
    <w:p w14:paraId="58E1CB64" w14:textId="54EECCC5" w:rsidR="7B33A330" w:rsidRPr="006B1312" w:rsidRDefault="16760CAC" w:rsidP="006B1312">
      <w:pPr>
        <w:pStyle w:val="Recommendation"/>
        <w:rPr>
          <w:color w:val="000000" w:themeColor="text1"/>
        </w:rPr>
      </w:pPr>
      <w:r w:rsidRPr="00C0119E">
        <w:rPr>
          <w:color w:val="000000" w:themeColor="text1"/>
          <w:szCs w:val="20"/>
        </w:rPr>
        <w:t>(3) From July 202</w:t>
      </w:r>
      <w:r w:rsidR="192939CF" w:rsidRPr="00C0119E">
        <w:rPr>
          <w:color w:val="000000" w:themeColor="text1"/>
          <w:szCs w:val="20"/>
        </w:rPr>
        <w:t>2</w:t>
      </w:r>
      <w:r w:rsidRPr="00C0119E">
        <w:rPr>
          <w:color w:val="000000" w:themeColor="text1"/>
          <w:szCs w:val="20"/>
        </w:rPr>
        <w:t>, the scope of the corporate tax transparency regime should be extended</w:t>
      </w:r>
      <w:r w:rsidRPr="7B33A330">
        <w:rPr>
          <w:color w:val="000000" w:themeColor="text1"/>
        </w:rPr>
        <w:t xml:space="preserve"> so that the ATO publishes basic accounting and tax information on all business and investment entities (including companies, trusts and partnerships) with annual turnover over $100 million.</w:t>
      </w:r>
    </w:p>
    <w:p w14:paraId="683284B2" w14:textId="77777777" w:rsidR="006B1312" w:rsidRDefault="006B1312" w:rsidP="00FD1810">
      <w:pPr>
        <w:pStyle w:val="Recommendation"/>
        <w:rPr>
          <w:color w:val="000000" w:themeColor="text1"/>
        </w:rPr>
      </w:pPr>
    </w:p>
    <w:p w14:paraId="50F40DEB" w14:textId="3666640D" w:rsidR="00FD1810" w:rsidRDefault="16760CAC" w:rsidP="00FD1810">
      <w:pPr>
        <w:pStyle w:val="Recommendation"/>
        <w:rPr>
          <w:color w:val="000000" w:themeColor="text1"/>
        </w:rPr>
      </w:pPr>
      <w:r w:rsidRPr="1B5AAA50">
        <w:rPr>
          <w:color w:val="000000" w:themeColor="text1"/>
        </w:rPr>
        <w:t>(4) A public register should be established by the ATO by July 202</w:t>
      </w:r>
      <w:r w:rsidR="0FD0A364" w:rsidRPr="1B5AAA50">
        <w:rPr>
          <w:color w:val="000000" w:themeColor="text1"/>
        </w:rPr>
        <w:t>2</w:t>
      </w:r>
      <w:r w:rsidRPr="1B5AAA50">
        <w:rPr>
          <w:color w:val="000000" w:themeColor="text1"/>
        </w:rPr>
        <w:t xml:space="preserve"> to hold the following information in regard to trusts that are required to lodge tax returns: the names and tax file numbers of the trustee, controller, beneficial owner, any beneficiaries that are not natural persons (for example other trusts or companies), and (where the trust is not a family trust) all other beneficiaries.</w:t>
      </w:r>
    </w:p>
    <w:p w14:paraId="77A52294" w14:textId="77777777" w:rsidR="00FD1810" w:rsidRDefault="00FD1810" w:rsidP="00FD1810">
      <w:pPr>
        <w:pStyle w:val="Recommendation"/>
        <w:rPr>
          <w:color w:val="000000" w:themeColor="text1"/>
        </w:rPr>
      </w:pPr>
    </w:p>
    <w:p w14:paraId="4A1E542C" w14:textId="49164DE3" w:rsidR="00FD1810" w:rsidRDefault="16760CAC" w:rsidP="5A3FAC9D">
      <w:pPr>
        <w:pStyle w:val="Recommendation"/>
        <w:rPr>
          <w:bCs/>
          <w:color w:val="000000" w:themeColor="text1"/>
        </w:rPr>
      </w:pPr>
      <w:r w:rsidRPr="006B1312">
        <w:rPr>
          <w:rFonts w:eastAsiaTheme="minorEastAsia"/>
          <w:bCs/>
          <w:color w:val="C00000"/>
          <w:szCs w:val="20"/>
        </w:rPr>
        <w:lastRenderedPageBreak/>
        <w:t>Budget impact:</w:t>
      </w:r>
      <w:r w:rsidR="00FD1810" w:rsidRPr="000B50DA">
        <w:rPr>
          <w:rFonts w:eastAsiaTheme="minorEastAsia"/>
          <w:bCs/>
          <w:szCs w:val="20"/>
        </w:rPr>
        <w:t xml:space="preserve"> </w:t>
      </w:r>
      <w:r w:rsidR="00FD1810" w:rsidRPr="006B1312">
        <w:rPr>
          <w:bCs/>
          <w:i/>
          <w:color w:val="000000" w:themeColor="text1"/>
        </w:rPr>
        <w:t>$</w:t>
      </w:r>
      <w:r w:rsidR="6FE61B02" w:rsidRPr="006B1312">
        <w:rPr>
          <w:bCs/>
          <w:i/>
          <w:color w:val="000000" w:themeColor="text1"/>
        </w:rPr>
        <w:t>0 ($1,500 million in 202</w:t>
      </w:r>
      <w:r w:rsidR="18363F03" w:rsidRPr="006B1312">
        <w:rPr>
          <w:bCs/>
          <w:i/>
          <w:color w:val="000000" w:themeColor="text1"/>
        </w:rPr>
        <w:t>2</w:t>
      </w:r>
      <w:r w:rsidR="6FE61B02" w:rsidRPr="006B1312">
        <w:rPr>
          <w:bCs/>
          <w:i/>
          <w:color w:val="000000" w:themeColor="text1"/>
        </w:rPr>
        <w:t>-2</w:t>
      </w:r>
      <w:r w:rsidR="062741CE" w:rsidRPr="006B1312">
        <w:rPr>
          <w:bCs/>
          <w:i/>
          <w:color w:val="000000" w:themeColor="text1"/>
        </w:rPr>
        <w:t>3</w:t>
      </w:r>
      <w:r w:rsidR="6FE61B02" w:rsidRPr="006B1312">
        <w:rPr>
          <w:bCs/>
          <w:i/>
          <w:color w:val="000000" w:themeColor="text1"/>
        </w:rPr>
        <w:t>)</w:t>
      </w:r>
    </w:p>
    <w:p w14:paraId="4EDEB945" w14:textId="0396C9B1" w:rsidR="5A3FAC9D" w:rsidRDefault="5A3FAC9D" w:rsidP="5A3FAC9D">
      <w:pPr>
        <w:pStyle w:val="ListNumber"/>
        <w:numPr>
          <w:ilvl w:val="0"/>
          <w:numId w:val="0"/>
        </w:numPr>
      </w:pPr>
    </w:p>
    <w:p w14:paraId="24B4ADFE" w14:textId="0F9FE94F" w:rsidR="2C56DDDF" w:rsidRDefault="00504429" w:rsidP="5A3FAC9D">
      <w:pPr>
        <w:pStyle w:val="Recommendation"/>
      </w:pPr>
      <w:r>
        <w:rPr>
          <w:color w:val="C00000"/>
        </w:rPr>
        <w:t xml:space="preserve">Recommendation </w:t>
      </w:r>
      <w:r w:rsidR="00394B9E">
        <w:rPr>
          <w:color w:val="C00000"/>
        </w:rPr>
        <w:t>5</w:t>
      </w:r>
      <w:r w:rsidR="00A677FD">
        <w:rPr>
          <w:color w:val="C00000"/>
        </w:rPr>
        <w:t>8</w:t>
      </w:r>
      <w:r w:rsidR="2C56DDDF" w:rsidRPr="007376C2">
        <w:rPr>
          <w:color w:val="C00000"/>
        </w:rPr>
        <w:t xml:space="preserve">: </w:t>
      </w:r>
      <w:r w:rsidR="2C56DDDF" w:rsidRPr="006B1312">
        <w:rPr>
          <w:color w:val="000000" w:themeColor="text1"/>
        </w:rPr>
        <w:t>Prevent the use of private companies to avoid personal income tax</w:t>
      </w:r>
      <w:r w:rsidR="2C56DDDF">
        <w:br/>
      </w:r>
    </w:p>
    <w:p w14:paraId="745917D0" w14:textId="43356B00" w:rsidR="5A3FAC9D" w:rsidRDefault="2C56DDDF" w:rsidP="5A3FAC9D">
      <w:pPr>
        <w:pStyle w:val="ListNumber"/>
        <w:numPr>
          <w:ilvl w:val="0"/>
          <w:numId w:val="0"/>
        </w:numPr>
      </w:pPr>
      <w:r w:rsidRPr="1B5AAA50">
        <w:rPr>
          <w:rFonts w:eastAsiaTheme="minorEastAsia"/>
          <w:b/>
          <w:bCs/>
          <w:szCs w:val="20"/>
        </w:rPr>
        <w:t>From 1 July 202</w:t>
      </w:r>
      <w:r w:rsidR="17C77659" w:rsidRPr="1B5AAA50">
        <w:rPr>
          <w:rFonts w:eastAsiaTheme="minorEastAsia"/>
          <w:b/>
          <w:bCs/>
          <w:szCs w:val="20"/>
        </w:rPr>
        <w:t>2</w:t>
      </w:r>
      <w:r w:rsidRPr="1B5AAA50">
        <w:rPr>
          <w:rFonts w:eastAsiaTheme="minorEastAsia"/>
          <w:b/>
          <w:bCs/>
          <w:szCs w:val="20"/>
        </w:rPr>
        <w:t>, income retained in private companies, apart from a reinvestment allowance for companies engaged in active business (comprising a fixed proportion of the assets of the company), should be taxed at the top marginal rate of personal income tax plus Medicare Levy.</w:t>
      </w:r>
    </w:p>
    <w:p w14:paraId="453F1FA0" w14:textId="329984DE" w:rsidR="2C56DDDF" w:rsidRDefault="2C56DDDF" w:rsidP="5A3FAC9D">
      <w:pPr>
        <w:pStyle w:val="Recommendation"/>
        <w:rPr>
          <w:rFonts w:eastAsiaTheme="minorEastAsia"/>
          <w:bCs/>
          <w:color w:val="000000" w:themeColor="text1"/>
          <w:szCs w:val="20"/>
        </w:rPr>
      </w:pPr>
      <w:r w:rsidRPr="007376C2">
        <w:rPr>
          <w:rFonts w:eastAsiaTheme="minorEastAsia"/>
          <w:bCs/>
          <w:color w:val="C00000"/>
          <w:szCs w:val="20"/>
        </w:rPr>
        <w:t xml:space="preserve">Budget impact: </w:t>
      </w:r>
      <w:r w:rsidRPr="006B1312">
        <w:rPr>
          <w:rFonts w:eastAsiaTheme="minorEastAsia"/>
          <w:bCs/>
          <w:i/>
          <w:color w:val="000000" w:themeColor="text1"/>
          <w:szCs w:val="20"/>
        </w:rPr>
        <w:t>$0 ($1,400 million in 202</w:t>
      </w:r>
      <w:r w:rsidR="399C5A58" w:rsidRPr="006B1312">
        <w:rPr>
          <w:rFonts w:eastAsiaTheme="minorEastAsia"/>
          <w:bCs/>
          <w:i/>
          <w:color w:val="000000" w:themeColor="text1"/>
          <w:szCs w:val="20"/>
        </w:rPr>
        <w:t>2</w:t>
      </w:r>
      <w:r w:rsidRPr="006B1312">
        <w:rPr>
          <w:rFonts w:eastAsiaTheme="minorEastAsia"/>
          <w:bCs/>
          <w:i/>
          <w:color w:val="000000" w:themeColor="text1"/>
          <w:szCs w:val="20"/>
        </w:rPr>
        <w:t>-2</w:t>
      </w:r>
      <w:r w:rsidR="2A56285D" w:rsidRPr="006B1312">
        <w:rPr>
          <w:rFonts w:eastAsiaTheme="minorEastAsia"/>
          <w:bCs/>
          <w:i/>
          <w:color w:val="000000" w:themeColor="text1"/>
          <w:szCs w:val="20"/>
        </w:rPr>
        <w:t>3</w:t>
      </w:r>
      <w:r w:rsidRPr="006B1312">
        <w:rPr>
          <w:rFonts w:eastAsiaTheme="minorEastAsia"/>
          <w:bCs/>
          <w:i/>
          <w:color w:val="000000" w:themeColor="text1"/>
          <w:szCs w:val="20"/>
        </w:rPr>
        <w:t>)</w:t>
      </w:r>
    </w:p>
    <w:p w14:paraId="522FF499" w14:textId="0396C9B1" w:rsidR="5A3FAC9D" w:rsidRDefault="5A3FAC9D" w:rsidP="5A3FAC9D">
      <w:pPr>
        <w:pStyle w:val="ListNumber"/>
        <w:numPr>
          <w:ilvl w:val="0"/>
          <w:numId w:val="0"/>
        </w:numPr>
        <w:rPr>
          <w:rFonts w:eastAsiaTheme="minorEastAsia"/>
          <w:b/>
          <w:bCs/>
          <w:szCs w:val="20"/>
        </w:rPr>
      </w:pPr>
    </w:p>
    <w:p w14:paraId="7356B038" w14:textId="77777777" w:rsidR="006B1312" w:rsidRDefault="006B1312" w:rsidP="5A3FAC9D">
      <w:pPr>
        <w:pStyle w:val="ListNumber"/>
        <w:numPr>
          <w:ilvl w:val="0"/>
          <w:numId w:val="0"/>
        </w:numPr>
        <w:rPr>
          <w:rFonts w:eastAsiaTheme="minorEastAsia"/>
          <w:b/>
          <w:bCs/>
          <w:szCs w:val="20"/>
        </w:rPr>
      </w:pPr>
    </w:p>
    <w:p w14:paraId="2B93FB8B" w14:textId="301C278D" w:rsidR="2C56DDDF" w:rsidRPr="000C6B7B" w:rsidRDefault="2C56DDDF" w:rsidP="000C6B7B">
      <w:pPr>
        <w:pStyle w:val="Heading2"/>
      </w:pPr>
      <w:bookmarkStart w:id="96" w:name="_Toc63685989"/>
      <w:r w:rsidRPr="000C6B7B">
        <w:t>Curb international business tax avoidance</w:t>
      </w:r>
      <w:bookmarkEnd w:id="96"/>
    </w:p>
    <w:p w14:paraId="1F39BD9F" w14:textId="5BA93EFC" w:rsidR="2C56DDDF" w:rsidRDefault="2C56DDDF" w:rsidP="5A3FAC9D">
      <w:r>
        <w:t>The government has implemented welcome reforms to tackle corporate tax base erosion and to prevent the shifting of profits offshore, including the introduction of a Diverted Profits Tax and a Multinational Anti-Avoidance Law (MAAL). More needs to be done. Too many corporations operating profitably in Australia pay little or no tax. Improving the financial transparency of multinational companies operating in Australia would help change this behaviour. Further, the ‘thin capitalisation’ rules designed to prevent the shifting of debt to Australia to avoid tax should be strengthened and the use of secrecy jurisdictions for this purpose should be discouraged.</w:t>
      </w:r>
    </w:p>
    <w:p w14:paraId="5EB58051" w14:textId="406BD5C6" w:rsidR="3D88393F" w:rsidRDefault="00504429" w:rsidP="5A3FAC9D">
      <w:pPr>
        <w:pStyle w:val="Recommendation"/>
      </w:pPr>
      <w:r>
        <w:rPr>
          <w:color w:val="C00000"/>
        </w:rPr>
        <w:t xml:space="preserve">Recommendation </w:t>
      </w:r>
      <w:r w:rsidR="00394B9E">
        <w:rPr>
          <w:color w:val="C00000"/>
        </w:rPr>
        <w:t>5</w:t>
      </w:r>
      <w:r w:rsidR="00A677FD">
        <w:rPr>
          <w:color w:val="C00000"/>
        </w:rPr>
        <w:t>9</w:t>
      </w:r>
      <w:r w:rsidR="29A7D8A0" w:rsidRPr="007376C2">
        <w:rPr>
          <w:color w:val="C00000"/>
        </w:rPr>
        <w:t>:</w:t>
      </w:r>
      <w:r w:rsidR="3D88393F" w:rsidRPr="007376C2">
        <w:rPr>
          <w:color w:val="C00000"/>
        </w:rPr>
        <w:t xml:space="preserve"> </w:t>
      </w:r>
      <w:r w:rsidR="3D88393F" w:rsidRPr="006B1312">
        <w:rPr>
          <w:color w:val="000000" w:themeColor="text1"/>
        </w:rPr>
        <w:t>Curb international business tax avoidance</w:t>
      </w:r>
    </w:p>
    <w:p w14:paraId="1D918173" w14:textId="0C8FCCB0" w:rsidR="5A3FAC9D" w:rsidRDefault="5A3FAC9D" w:rsidP="5A3FAC9D">
      <w:pPr>
        <w:pStyle w:val="ListNumber"/>
        <w:numPr>
          <w:ilvl w:val="0"/>
          <w:numId w:val="0"/>
        </w:numPr>
      </w:pPr>
    </w:p>
    <w:p w14:paraId="30D222C7" w14:textId="3A299EF2" w:rsidR="43EECFA3" w:rsidRDefault="43EECFA3" w:rsidP="5A3FAC9D">
      <w:pPr>
        <w:pStyle w:val="ListNumber"/>
        <w:numPr>
          <w:ilvl w:val="0"/>
          <w:numId w:val="0"/>
        </w:numPr>
        <w:spacing w:after="0"/>
        <w:rPr>
          <w:rFonts w:eastAsiaTheme="minorEastAsia"/>
          <w:b/>
          <w:bCs/>
          <w:szCs w:val="20"/>
        </w:rPr>
      </w:pPr>
      <w:r w:rsidRPr="7B33A330">
        <w:rPr>
          <w:rFonts w:eastAsiaTheme="minorEastAsia"/>
          <w:b/>
          <w:bCs/>
          <w:szCs w:val="20"/>
        </w:rPr>
        <w:t>Base Erosion and Profit Shifting by companies operating internationally should be curbed by making the following changes from July 202</w:t>
      </w:r>
      <w:r w:rsidR="68908A14" w:rsidRPr="7B33A330">
        <w:rPr>
          <w:rFonts w:eastAsiaTheme="minorEastAsia"/>
          <w:b/>
          <w:bCs/>
          <w:szCs w:val="20"/>
        </w:rPr>
        <w:t>2</w:t>
      </w:r>
      <w:r w:rsidRPr="7B33A330">
        <w:rPr>
          <w:rFonts w:eastAsiaTheme="minorEastAsia"/>
          <w:b/>
          <w:bCs/>
          <w:szCs w:val="20"/>
        </w:rPr>
        <w:t>:</w:t>
      </w:r>
      <w:r>
        <w:br/>
      </w:r>
    </w:p>
    <w:p w14:paraId="21434B35" w14:textId="5501014F" w:rsidR="43EECFA3" w:rsidRDefault="43EECFA3" w:rsidP="5A3FAC9D">
      <w:pPr>
        <w:pStyle w:val="ListNumber"/>
        <w:numPr>
          <w:ilvl w:val="0"/>
          <w:numId w:val="0"/>
        </w:numPr>
        <w:spacing w:after="0"/>
        <w:rPr>
          <w:rFonts w:eastAsiaTheme="minorEastAsia"/>
          <w:b/>
          <w:bCs/>
          <w:szCs w:val="20"/>
        </w:rPr>
      </w:pPr>
      <w:r w:rsidRPr="7B33A330">
        <w:rPr>
          <w:rFonts w:eastAsiaTheme="minorEastAsia"/>
          <w:b/>
          <w:bCs/>
          <w:szCs w:val="20"/>
        </w:rPr>
        <w:t>(1) Tighten thin capitalisation rules so that allowable debt deductions are based on a company’s global debt-equity ratio;</w:t>
      </w:r>
      <w:r>
        <w:br/>
      </w:r>
    </w:p>
    <w:p w14:paraId="485DAD14" w14:textId="114F958B" w:rsidR="43EECFA3" w:rsidRDefault="43EECFA3" w:rsidP="5A3FAC9D">
      <w:pPr>
        <w:pStyle w:val="ListNumber"/>
        <w:numPr>
          <w:ilvl w:val="0"/>
          <w:numId w:val="0"/>
        </w:numPr>
        <w:spacing w:after="0"/>
        <w:rPr>
          <w:rFonts w:eastAsiaTheme="minorEastAsia"/>
          <w:b/>
          <w:bCs/>
          <w:szCs w:val="20"/>
        </w:rPr>
      </w:pPr>
      <w:r w:rsidRPr="7B33A330">
        <w:rPr>
          <w:rFonts w:eastAsiaTheme="minorEastAsia"/>
          <w:b/>
          <w:bCs/>
          <w:szCs w:val="20"/>
        </w:rPr>
        <w:t>(2) Improve the transparency of reporting on business income and taxation flows by requiring public disclosure of the ultimate beneficial ownership of companies registered in Australia; requiring the ATO to publicly release high-level reports under the OECD country-by-country reporting initiative in regard to companies with turnover above $750 million; and requiring the ATO to share information on the tax status of trusts and partnerships as well as companies with other tax authorities pursuant to international agreements;</w:t>
      </w:r>
      <w:r>
        <w:br/>
      </w:r>
    </w:p>
    <w:p w14:paraId="4EC12B7A" w14:textId="2138E172" w:rsidR="5A3FAC9D" w:rsidRPr="00A80C9F" w:rsidRDefault="43EECFA3" w:rsidP="00A80C9F">
      <w:pPr>
        <w:pStyle w:val="ListNumber"/>
        <w:numPr>
          <w:ilvl w:val="0"/>
          <w:numId w:val="0"/>
        </w:numPr>
        <w:spacing w:after="0"/>
        <w:rPr>
          <w:rFonts w:eastAsiaTheme="minorEastAsia"/>
          <w:b/>
          <w:bCs/>
          <w:szCs w:val="20"/>
        </w:rPr>
      </w:pPr>
      <w:r w:rsidRPr="7B33A330">
        <w:rPr>
          <w:rFonts w:eastAsiaTheme="minorEastAsia"/>
          <w:b/>
          <w:bCs/>
          <w:szCs w:val="20"/>
        </w:rPr>
        <w:t>(3) Apply special withholding taxes on transfers of funds to secrecy jurisdictions that do not provide effective information exchange pursuant to international treaties.</w:t>
      </w:r>
    </w:p>
    <w:p w14:paraId="1E2DA6A3" w14:textId="77777777" w:rsidR="00A80C9F" w:rsidRDefault="00A80C9F" w:rsidP="5A3FAC9D">
      <w:pPr>
        <w:pStyle w:val="Recommendation"/>
        <w:rPr>
          <w:rFonts w:eastAsiaTheme="minorEastAsia"/>
          <w:bCs/>
          <w:szCs w:val="20"/>
        </w:rPr>
      </w:pPr>
    </w:p>
    <w:p w14:paraId="548B90A1" w14:textId="0F559F8D" w:rsidR="5A3FAC9D" w:rsidRPr="000C6B7B" w:rsidRDefault="2A16A14A" w:rsidP="000C6B7B">
      <w:pPr>
        <w:pStyle w:val="Recommendation"/>
        <w:rPr>
          <w:bCs/>
          <w:color w:val="000000" w:themeColor="text1"/>
        </w:rPr>
      </w:pPr>
      <w:r w:rsidRPr="007376C2">
        <w:rPr>
          <w:rFonts w:eastAsiaTheme="minorEastAsia"/>
          <w:bCs/>
          <w:color w:val="C00000"/>
          <w:szCs w:val="20"/>
        </w:rPr>
        <w:t xml:space="preserve">Budget impact: </w:t>
      </w:r>
      <w:r w:rsidRPr="006B1312">
        <w:rPr>
          <w:rFonts w:eastAsiaTheme="minorEastAsia"/>
          <w:bCs/>
          <w:i/>
          <w:color w:val="000000" w:themeColor="text1"/>
          <w:szCs w:val="20"/>
        </w:rPr>
        <w:t>$</w:t>
      </w:r>
      <w:r w:rsidRPr="006B1312">
        <w:rPr>
          <w:bCs/>
          <w:i/>
          <w:color w:val="000000" w:themeColor="text1"/>
        </w:rPr>
        <w:t>0 ($500 million in 202</w:t>
      </w:r>
      <w:r w:rsidR="4CAB93B7" w:rsidRPr="006B1312">
        <w:rPr>
          <w:bCs/>
          <w:i/>
          <w:color w:val="000000" w:themeColor="text1"/>
        </w:rPr>
        <w:t>2</w:t>
      </w:r>
      <w:r w:rsidRPr="006B1312">
        <w:rPr>
          <w:bCs/>
          <w:i/>
          <w:color w:val="000000" w:themeColor="text1"/>
        </w:rPr>
        <w:t>-2</w:t>
      </w:r>
      <w:r w:rsidR="0D7CC2A0" w:rsidRPr="006B1312">
        <w:rPr>
          <w:bCs/>
          <w:i/>
          <w:color w:val="000000" w:themeColor="text1"/>
        </w:rPr>
        <w:t>3</w:t>
      </w:r>
      <w:r w:rsidRPr="006B1312">
        <w:rPr>
          <w:bCs/>
          <w:i/>
          <w:color w:val="000000" w:themeColor="text1"/>
        </w:rPr>
        <w:t>)</w:t>
      </w:r>
    </w:p>
    <w:p w14:paraId="4018B5AA" w14:textId="5B4261DC" w:rsidR="5A3FAC9D" w:rsidRDefault="5A3FAC9D" w:rsidP="5A3FAC9D">
      <w:pPr>
        <w:pStyle w:val="ListNumber"/>
        <w:numPr>
          <w:ilvl w:val="0"/>
          <w:numId w:val="0"/>
        </w:numPr>
      </w:pPr>
    </w:p>
    <w:p w14:paraId="4EA6A208" w14:textId="43261B7F" w:rsidR="2F0D3B1E" w:rsidRPr="000C6B7B" w:rsidRDefault="28E08494" w:rsidP="000C6B7B">
      <w:pPr>
        <w:pStyle w:val="Heading2"/>
      </w:pPr>
      <w:bookmarkStart w:id="97" w:name="_Toc63685990"/>
      <w:r w:rsidRPr="000C6B7B">
        <w:t>Remove fossil fuel subsidies</w:t>
      </w:r>
      <w:bookmarkEnd w:id="97"/>
    </w:p>
    <w:p w14:paraId="18CAD758" w14:textId="74586E3C" w:rsidR="28E08494" w:rsidRDefault="28E08494" w:rsidP="5A3FAC9D">
      <w:pPr>
        <w:pStyle w:val="ListNumber"/>
        <w:numPr>
          <w:ilvl w:val="0"/>
          <w:numId w:val="0"/>
        </w:numPr>
      </w:pPr>
      <w:r>
        <w:t xml:space="preserve">The fuel tax offset for off-road use disproportionately benefits the mining industry. There is no public policy justification for favouring mining over other economic activity that contributes to economic growth and employment opportunities. The original rationale was that the purpose of fuel excise was exclusively to fund publicly-used roads. This is </w:t>
      </w:r>
      <w:r>
        <w:lastRenderedPageBreak/>
        <w:t>questionable. Fuel taxation is a mechanism for generating general government revenue and reducing our reliance on environmentally harmful fossil fuels.</w:t>
      </w:r>
    </w:p>
    <w:p w14:paraId="311D9159" w14:textId="77777777" w:rsidR="005E55E3" w:rsidRDefault="005E55E3" w:rsidP="5A3FAC9D">
      <w:pPr>
        <w:pStyle w:val="ListNumber"/>
        <w:numPr>
          <w:ilvl w:val="0"/>
          <w:numId w:val="0"/>
        </w:numPr>
      </w:pPr>
    </w:p>
    <w:p w14:paraId="565DC677" w14:textId="5E366726" w:rsidR="005E55E3" w:rsidRPr="000D0FCF" w:rsidRDefault="005E55E3" w:rsidP="5A3FAC9D">
      <w:pPr>
        <w:pStyle w:val="ListNumber"/>
        <w:numPr>
          <w:ilvl w:val="0"/>
          <w:numId w:val="0"/>
        </w:numPr>
      </w:pPr>
      <w:r w:rsidRPr="000D0FCF">
        <w:t>In Chapter 4: Accelerate a just climate transition and strengthen community climate resilience, we argue that fuel tax credits for off-road use increases carbon emissions and dampens incentives to improve energy efficiency and switch fuels.</w:t>
      </w:r>
    </w:p>
    <w:p w14:paraId="70C20493" w14:textId="77777777" w:rsidR="005E55E3" w:rsidRDefault="005E55E3" w:rsidP="5A3FAC9D">
      <w:pPr>
        <w:pStyle w:val="ListNumber"/>
        <w:numPr>
          <w:ilvl w:val="0"/>
          <w:numId w:val="0"/>
        </w:numPr>
      </w:pPr>
    </w:p>
    <w:p w14:paraId="681FFE6F" w14:textId="62C4E213" w:rsidR="005E55E3" w:rsidRPr="005E55E3" w:rsidRDefault="00504429" w:rsidP="5A3FAC9D">
      <w:pPr>
        <w:pStyle w:val="ListNumber"/>
        <w:numPr>
          <w:ilvl w:val="0"/>
          <w:numId w:val="0"/>
        </w:numPr>
        <w:rPr>
          <w:b/>
          <w:color w:val="CE2028"/>
        </w:rPr>
      </w:pPr>
      <w:r>
        <w:rPr>
          <w:b/>
          <w:color w:val="C00000"/>
        </w:rPr>
        <w:t xml:space="preserve">Recommendation </w:t>
      </w:r>
      <w:r w:rsidR="00A677FD">
        <w:rPr>
          <w:b/>
          <w:color w:val="C00000"/>
        </w:rPr>
        <w:t>60</w:t>
      </w:r>
      <w:r w:rsidR="005E55E3" w:rsidRPr="007376C2">
        <w:rPr>
          <w:b/>
          <w:color w:val="C00000"/>
        </w:rPr>
        <w:t xml:space="preserve">: </w:t>
      </w:r>
      <w:r w:rsidR="005E55E3" w:rsidRPr="007376C2">
        <w:rPr>
          <w:b/>
        </w:rPr>
        <w:t>Abolish fuel tax credits for off-r</w:t>
      </w:r>
      <w:r w:rsidR="004A7490">
        <w:rPr>
          <w:b/>
        </w:rPr>
        <w:t>o</w:t>
      </w:r>
      <w:r w:rsidR="005E55E3" w:rsidRPr="007376C2">
        <w:rPr>
          <w:b/>
        </w:rPr>
        <w:t>ad use.</w:t>
      </w:r>
    </w:p>
    <w:p w14:paraId="159BA344" w14:textId="0F9B3FD5" w:rsidR="34AC7D76" w:rsidRDefault="34AC7D76" w:rsidP="5A3FAC9D">
      <w:pPr>
        <w:pStyle w:val="ListNumber"/>
        <w:numPr>
          <w:ilvl w:val="0"/>
          <w:numId w:val="0"/>
        </w:numPr>
        <w:rPr>
          <w:rFonts w:eastAsiaTheme="minorEastAsia"/>
          <w:b/>
          <w:bCs/>
          <w:szCs w:val="20"/>
        </w:rPr>
      </w:pPr>
      <w:r>
        <w:br/>
      </w:r>
      <w:r w:rsidRPr="7B33A330">
        <w:rPr>
          <w:rFonts w:eastAsiaTheme="minorEastAsia"/>
          <w:b/>
          <w:bCs/>
          <w:szCs w:val="20"/>
        </w:rPr>
        <w:t>Fuel tax credits for off-road use, except agriculture, should be abolished from July 202</w:t>
      </w:r>
      <w:r w:rsidR="1192D61B" w:rsidRPr="7B33A330">
        <w:rPr>
          <w:rFonts w:eastAsiaTheme="minorEastAsia"/>
          <w:b/>
          <w:bCs/>
          <w:szCs w:val="20"/>
        </w:rPr>
        <w:t>1</w:t>
      </w:r>
      <w:r w:rsidRPr="7B33A330">
        <w:rPr>
          <w:rFonts w:eastAsiaTheme="minorEastAsia"/>
          <w:b/>
          <w:bCs/>
          <w:szCs w:val="20"/>
        </w:rPr>
        <w:t>.</w:t>
      </w:r>
    </w:p>
    <w:p w14:paraId="6E0802C4" w14:textId="4ED16A30" w:rsidR="5A3FAC9D" w:rsidRDefault="5A3FAC9D" w:rsidP="5A3FAC9D">
      <w:pPr>
        <w:pStyle w:val="ListNumber"/>
        <w:numPr>
          <w:ilvl w:val="0"/>
          <w:numId w:val="0"/>
        </w:numPr>
        <w:rPr>
          <w:rFonts w:eastAsiaTheme="minorEastAsia"/>
          <w:b/>
          <w:bCs/>
          <w:szCs w:val="20"/>
        </w:rPr>
      </w:pPr>
    </w:p>
    <w:p w14:paraId="04F2AE7D" w14:textId="66CD1EAE" w:rsidR="34AC7D76" w:rsidRDefault="34AC7D76" w:rsidP="5A3FAC9D">
      <w:pPr>
        <w:pStyle w:val="ListNumber"/>
        <w:numPr>
          <w:ilvl w:val="0"/>
          <w:numId w:val="0"/>
        </w:numPr>
      </w:pPr>
      <w:r w:rsidRPr="006B1312">
        <w:rPr>
          <w:rFonts w:eastAsiaTheme="minorEastAsia"/>
          <w:b/>
          <w:bCs/>
          <w:color w:val="C00000"/>
          <w:szCs w:val="20"/>
        </w:rPr>
        <w:t>Budget impact:</w:t>
      </w:r>
      <w:r w:rsidRPr="000B50DA">
        <w:rPr>
          <w:rFonts w:eastAsiaTheme="minorEastAsia"/>
          <w:b/>
          <w:bCs/>
          <w:szCs w:val="20"/>
        </w:rPr>
        <w:t xml:space="preserve"> </w:t>
      </w:r>
      <w:r w:rsidRPr="006B1312">
        <w:rPr>
          <w:rFonts w:eastAsiaTheme="minorEastAsia"/>
          <w:b/>
          <w:bCs/>
          <w:i/>
          <w:szCs w:val="20"/>
        </w:rPr>
        <w:t>$4,500 million ($4,600 million in 202</w:t>
      </w:r>
      <w:r w:rsidR="56A2F748" w:rsidRPr="006B1312">
        <w:rPr>
          <w:rFonts w:eastAsiaTheme="minorEastAsia"/>
          <w:b/>
          <w:bCs/>
          <w:i/>
          <w:szCs w:val="20"/>
        </w:rPr>
        <w:t>2</w:t>
      </w:r>
      <w:r w:rsidRPr="006B1312">
        <w:rPr>
          <w:rFonts w:eastAsiaTheme="minorEastAsia"/>
          <w:b/>
          <w:bCs/>
          <w:i/>
          <w:szCs w:val="20"/>
        </w:rPr>
        <w:t>-2</w:t>
      </w:r>
      <w:r w:rsidR="2085876D" w:rsidRPr="006B1312">
        <w:rPr>
          <w:rFonts w:eastAsiaTheme="minorEastAsia"/>
          <w:b/>
          <w:bCs/>
          <w:i/>
          <w:szCs w:val="20"/>
        </w:rPr>
        <w:t>3</w:t>
      </w:r>
      <w:r w:rsidRPr="006B1312">
        <w:rPr>
          <w:rFonts w:eastAsiaTheme="minorEastAsia"/>
          <w:b/>
          <w:bCs/>
          <w:i/>
          <w:szCs w:val="20"/>
        </w:rPr>
        <w:t>)</w:t>
      </w:r>
    </w:p>
    <w:p w14:paraId="6043D697" w14:textId="2AB4A7EC" w:rsidR="5A3FAC9D" w:rsidRDefault="5A3FAC9D" w:rsidP="5A3FAC9D">
      <w:pPr>
        <w:pStyle w:val="ListNumber"/>
        <w:numPr>
          <w:ilvl w:val="0"/>
          <w:numId w:val="0"/>
        </w:numPr>
      </w:pPr>
    </w:p>
    <w:p w14:paraId="71C3970F" w14:textId="45763153" w:rsidR="612603BF" w:rsidRPr="000C6B7B" w:rsidRDefault="612603BF" w:rsidP="000C6B7B">
      <w:pPr>
        <w:pStyle w:val="Heading2"/>
      </w:pPr>
      <w:bookmarkStart w:id="98" w:name="_Toc63685991"/>
      <w:r w:rsidRPr="000C6B7B">
        <w:t>Use the tax system to encourage healthy practices and fund preventive health care</w:t>
      </w:r>
      <w:bookmarkEnd w:id="98"/>
    </w:p>
    <w:p w14:paraId="546B4057" w14:textId="1BF4D0AE" w:rsidR="5A3FAC9D" w:rsidRDefault="5A3FAC9D" w:rsidP="5A3FAC9D">
      <w:pPr>
        <w:pStyle w:val="ListNumber"/>
        <w:numPr>
          <w:ilvl w:val="0"/>
          <w:numId w:val="0"/>
        </w:numPr>
      </w:pPr>
    </w:p>
    <w:p w14:paraId="77419C88" w14:textId="3FEB86A7" w:rsidR="72D460E3" w:rsidRPr="00802708" w:rsidRDefault="72D460E3" w:rsidP="5A3FAC9D">
      <w:pPr>
        <w:pStyle w:val="ListNumber"/>
        <w:numPr>
          <w:ilvl w:val="0"/>
          <w:numId w:val="0"/>
        </w:numPr>
        <w:rPr>
          <w:i/>
        </w:rPr>
      </w:pPr>
      <w:r>
        <w:t xml:space="preserve">As discussed in </w:t>
      </w:r>
      <w:r w:rsidR="000D0FCF" w:rsidRPr="00802708">
        <w:rPr>
          <w:iCs/>
        </w:rPr>
        <w:t>Chapter 7</w:t>
      </w:r>
      <w:r w:rsidRPr="00802708">
        <w:rPr>
          <w:iCs/>
        </w:rPr>
        <w:t>: Strengthen preventive health care and public health services</w:t>
      </w:r>
      <w:r w:rsidRPr="00802708">
        <w:t>,</w:t>
      </w:r>
      <w:r w:rsidRPr="000D0FCF">
        <w:rPr>
          <w:i/>
        </w:rPr>
        <w:t xml:space="preserve"> </w:t>
      </w:r>
      <w:r>
        <w:t xml:space="preserve">excessive sugar consumption is a major reason that almost two-thirds of residents in Australia are overweight or obese; one of the highest rates in the OECD. </w:t>
      </w:r>
      <w:r w:rsidR="4C1D25A6">
        <w:t>Excessive sugar consumption also leads to tooth decay, especially in children.</w:t>
      </w:r>
    </w:p>
    <w:p w14:paraId="19ED0A08" w14:textId="19386BB0" w:rsidR="5A3FAC9D" w:rsidRDefault="5A3FAC9D" w:rsidP="5A3FAC9D">
      <w:pPr>
        <w:pStyle w:val="ListNumber"/>
        <w:numPr>
          <w:ilvl w:val="0"/>
          <w:numId w:val="0"/>
        </w:numPr>
        <w:spacing w:after="0"/>
      </w:pPr>
    </w:p>
    <w:p w14:paraId="21FA127C" w14:textId="1833D667" w:rsidR="5A3FAC9D" w:rsidRDefault="72D460E3" w:rsidP="5A3FAC9D">
      <w:pPr>
        <w:pStyle w:val="ListNumber"/>
        <w:numPr>
          <w:ilvl w:val="0"/>
          <w:numId w:val="0"/>
        </w:numPr>
        <w:spacing w:after="0"/>
      </w:pPr>
      <w:r>
        <w:t xml:space="preserve">We propose a </w:t>
      </w:r>
      <w:r w:rsidRPr="7B33A330">
        <w:rPr>
          <w:i/>
          <w:iCs/>
        </w:rPr>
        <w:t xml:space="preserve">tax on water-based drinks with added sugar </w:t>
      </w:r>
      <w:r>
        <w:t>as a first step towards reducing excessive sugar consumption since these often have a very high sugar content and have no nutritional value.</w:t>
      </w:r>
      <w:r w:rsidR="0C447709">
        <w:t xml:space="preserve"> This would be </w:t>
      </w:r>
      <w:r>
        <w:t>a volume-based tax on water-based drinks with added sugar (not including unsweetened fruit juices) along the lines of the British tax on sugary drinks.</w:t>
      </w:r>
      <w:r w:rsidRPr="7B33A330">
        <w:rPr>
          <w:rStyle w:val="FootnoteReference"/>
        </w:rPr>
        <w:footnoteReference w:id="74"/>
      </w:r>
      <w:r>
        <w:t xml:space="preserve">  </w:t>
      </w:r>
    </w:p>
    <w:p w14:paraId="618EA9C1" w14:textId="77777777" w:rsidR="006B1312" w:rsidRDefault="006B1312" w:rsidP="5A3FAC9D">
      <w:pPr>
        <w:pStyle w:val="ListNumber"/>
        <w:numPr>
          <w:ilvl w:val="0"/>
          <w:numId w:val="0"/>
        </w:numPr>
        <w:spacing w:after="0"/>
      </w:pPr>
    </w:p>
    <w:p w14:paraId="151DCE77" w14:textId="7EC30881" w:rsidR="72D460E3" w:rsidRDefault="72D460E3" w:rsidP="5A3FAC9D">
      <w:pPr>
        <w:pStyle w:val="ListNumber"/>
        <w:numPr>
          <w:ilvl w:val="0"/>
          <w:numId w:val="0"/>
        </w:numPr>
        <w:spacing w:after="0"/>
      </w:pPr>
      <w:r>
        <w:t>Revenue from th</w:t>
      </w:r>
      <w:r w:rsidR="7994E5FE">
        <w:t>is</w:t>
      </w:r>
      <w:r>
        <w:t xml:space="preserve"> tax should be earmarked for preventive health and health promotion programs, including healthy eating and sports programs in schools, and a public subsidy for the transport of fresh food to remote areas. In remote Aboriginal and Torres Strait Islander communities a fresh food transport subsidy would be a direct, equitable and cost</w:t>
      </w:r>
      <w:r w:rsidR="3522767E">
        <w:t>-</w:t>
      </w:r>
      <w:r>
        <w:t>effe</w:t>
      </w:r>
      <w:r w:rsidR="00A80C9F">
        <w:t>ctive way to improve health.</w:t>
      </w:r>
      <w:r w:rsidR="00A80C9F">
        <w:rPr>
          <w:rStyle w:val="FootnoteReference"/>
        </w:rPr>
        <w:footnoteReference w:id="75"/>
      </w:r>
    </w:p>
    <w:p w14:paraId="30A2019F" w14:textId="0554E4E8" w:rsidR="72D460E3" w:rsidRDefault="72D460E3" w:rsidP="5A3FAC9D">
      <w:pPr>
        <w:pStyle w:val="ListNumber"/>
        <w:numPr>
          <w:ilvl w:val="0"/>
          <w:numId w:val="0"/>
        </w:numPr>
      </w:pPr>
      <w:r>
        <w:br/>
      </w:r>
      <w:r w:rsidR="58FC328A" w:rsidRPr="00F91660">
        <w:t xml:space="preserve">Overall </w:t>
      </w:r>
      <w:r w:rsidR="58FC328A" w:rsidRPr="00F91660">
        <w:rPr>
          <w:iCs/>
        </w:rPr>
        <w:t>alcohol consumption</w:t>
      </w:r>
      <w:r w:rsidR="58FC328A">
        <w:t xml:space="preserve"> has fallen in Australia. However, there has been persistent growth in consumption of wine, and growing concern about the impact of excessive consumption of cheap wines on drinkers, their families and communities, especially its contribution to family violence.</w:t>
      </w:r>
    </w:p>
    <w:p w14:paraId="123BC1DA" w14:textId="772B3B0F" w:rsidR="58FC328A" w:rsidRDefault="58FC328A" w:rsidP="5A3FAC9D">
      <w:pPr>
        <w:pStyle w:val="ListNumber"/>
        <w:numPr>
          <w:ilvl w:val="0"/>
          <w:numId w:val="0"/>
        </w:numPr>
      </w:pPr>
      <w:r>
        <w:t xml:space="preserve"> </w:t>
      </w:r>
    </w:p>
    <w:p w14:paraId="625432A3" w14:textId="10AE7A36" w:rsidR="58FC328A" w:rsidRDefault="58FC328A" w:rsidP="5A3FAC9D">
      <w:pPr>
        <w:pStyle w:val="ListNumber"/>
        <w:numPr>
          <w:ilvl w:val="0"/>
          <w:numId w:val="0"/>
        </w:numPr>
        <w:spacing w:after="0"/>
      </w:pPr>
      <w:r>
        <w:t xml:space="preserve">A contributing factor is the inconsistent tax treatment of different forms of alcohol, </w:t>
      </w:r>
      <w:r w:rsidR="111337C4">
        <w:t xml:space="preserve">with wines and ciders taxed at relatively </w:t>
      </w:r>
      <w:r>
        <w:t xml:space="preserve">lower rates. </w:t>
      </w:r>
    </w:p>
    <w:p w14:paraId="1EA7369E" w14:textId="0F2B9CFC" w:rsidR="5A3FAC9D" w:rsidRDefault="5A3FAC9D" w:rsidP="5A3FAC9D">
      <w:pPr>
        <w:pStyle w:val="ListNumber"/>
        <w:numPr>
          <w:ilvl w:val="0"/>
          <w:numId w:val="0"/>
        </w:numPr>
        <w:spacing w:after="0"/>
      </w:pPr>
    </w:p>
    <w:p w14:paraId="53084B7B" w14:textId="4919D014" w:rsidR="58FC328A" w:rsidRDefault="58FC328A" w:rsidP="5A3FAC9D">
      <w:pPr>
        <w:pStyle w:val="ListNumber"/>
        <w:numPr>
          <w:ilvl w:val="0"/>
          <w:numId w:val="0"/>
        </w:numPr>
        <w:spacing w:after="0"/>
      </w:pPr>
      <w:r>
        <w:lastRenderedPageBreak/>
        <w:t>The Wine Equalisation Tax (WET) and WET Rebate should be abolished and wine and ciders should be taxed at two uniform rates according to alcohol volumes, lying between the tax rates for brewed full</w:t>
      </w:r>
      <w:r w:rsidR="0575B8D4">
        <w:t>-</w:t>
      </w:r>
      <w:r w:rsidR="00A80C9F">
        <w:t>strength beer and spirits.</w:t>
      </w:r>
      <w:r w:rsidR="00A80C9F">
        <w:rPr>
          <w:rStyle w:val="FootnoteReference"/>
        </w:rPr>
        <w:footnoteReference w:id="76"/>
      </w:r>
    </w:p>
    <w:p w14:paraId="219BC890" w14:textId="488A48DC" w:rsidR="5A3FAC9D" w:rsidRDefault="5A3FAC9D" w:rsidP="5A3FAC9D">
      <w:pPr>
        <w:pStyle w:val="ListNumber"/>
        <w:numPr>
          <w:ilvl w:val="0"/>
          <w:numId w:val="0"/>
        </w:numPr>
        <w:spacing w:after="0"/>
      </w:pPr>
    </w:p>
    <w:p w14:paraId="0827BD06" w14:textId="0935B103" w:rsidR="58FC328A" w:rsidRDefault="58FC328A" w:rsidP="5A3FAC9D">
      <w:pPr>
        <w:pStyle w:val="ListNumber"/>
        <w:numPr>
          <w:ilvl w:val="0"/>
          <w:numId w:val="0"/>
        </w:numPr>
        <w:spacing w:after="0"/>
      </w:pPr>
      <w:r>
        <w:t>These reforms should be part of a wider strategy to reduce harmful consumption of alcohol including regulatory reform (especially advertising and financing of sporting and similar activities by producers) and health promotion campaigns.</w:t>
      </w:r>
    </w:p>
    <w:p w14:paraId="6CBDF267" w14:textId="2F3DBC48" w:rsidR="5A3FAC9D" w:rsidRDefault="5A3FAC9D" w:rsidP="5A3FAC9D">
      <w:pPr>
        <w:pStyle w:val="ListNumber"/>
        <w:numPr>
          <w:ilvl w:val="0"/>
          <w:numId w:val="0"/>
        </w:numPr>
        <w:spacing w:after="0"/>
      </w:pPr>
    </w:p>
    <w:p w14:paraId="125EB3A5" w14:textId="4F24C83B" w:rsidR="4DAD630E" w:rsidRDefault="00504429" w:rsidP="5A3FAC9D">
      <w:pPr>
        <w:pStyle w:val="Recommendation"/>
        <w:rPr>
          <w:bCs/>
        </w:rPr>
      </w:pPr>
      <w:r>
        <w:rPr>
          <w:color w:val="C00000"/>
        </w:rPr>
        <w:t xml:space="preserve">Recommendation </w:t>
      </w:r>
      <w:r w:rsidR="00A677FD">
        <w:rPr>
          <w:color w:val="C00000"/>
        </w:rPr>
        <w:t>61</w:t>
      </w:r>
      <w:r w:rsidR="4DAD630E" w:rsidRPr="007376C2">
        <w:rPr>
          <w:color w:val="C00000"/>
        </w:rPr>
        <w:t xml:space="preserve">: </w:t>
      </w:r>
      <w:r w:rsidR="4DAD630E" w:rsidRPr="006B1312">
        <w:rPr>
          <w:color w:val="000000" w:themeColor="text1"/>
        </w:rPr>
        <w:t>Introduce a ‘sugar tax’ on sweetened drinks</w:t>
      </w:r>
      <w:r w:rsidR="4DAD630E">
        <w:br/>
      </w:r>
    </w:p>
    <w:p w14:paraId="400B5CE0" w14:textId="7C3DC767" w:rsidR="4DAD630E" w:rsidRDefault="2E25CDDC" w:rsidP="1B5AAA50">
      <w:pPr>
        <w:pStyle w:val="Recommendation"/>
        <w:rPr>
          <w:bCs/>
        </w:rPr>
      </w:pPr>
      <w:r w:rsidRPr="7B33A330">
        <w:rPr>
          <w:rFonts w:eastAsiaTheme="minorEastAsia"/>
          <w:bCs/>
          <w:color w:val="000000" w:themeColor="text1"/>
          <w:szCs w:val="20"/>
        </w:rPr>
        <w:t xml:space="preserve">(1) </w:t>
      </w:r>
      <w:r w:rsidR="4DAD630E" w:rsidRPr="7B33A330">
        <w:rPr>
          <w:rFonts w:eastAsiaTheme="minorEastAsia"/>
          <w:bCs/>
          <w:color w:val="000000" w:themeColor="text1"/>
          <w:szCs w:val="20"/>
        </w:rPr>
        <w:t>As part of a comprehensive strategy to reduce sugar consumption where this is harmful to health, and to better incorporate related health and social costs into its price; from 1 July 202</w:t>
      </w:r>
      <w:r w:rsidR="13C96D61" w:rsidRPr="7B33A330">
        <w:rPr>
          <w:rFonts w:eastAsiaTheme="minorEastAsia"/>
          <w:bCs/>
          <w:color w:val="000000" w:themeColor="text1"/>
          <w:szCs w:val="20"/>
        </w:rPr>
        <w:t>2</w:t>
      </w:r>
      <w:r w:rsidR="4DAD630E" w:rsidRPr="7B33A330">
        <w:rPr>
          <w:rFonts w:eastAsiaTheme="minorEastAsia"/>
          <w:bCs/>
          <w:color w:val="000000" w:themeColor="text1"/>
          <w:szCs w:val="20"/>
        </w:rPr>
        <w:t xml:space="preserve"> a two-tier volumetric ‘sugar tax’ should be introduced for water-based drinks with added sugar (excluding unsweetened fruit juices) at rates of 30 cents per litre for drinks with 5-8 grams of added sugar per 100ml, and 40 cents per litre for those with over 8 grams of added sugar per 100ml</w:t>
      </w:r>
      <w:r w:rsidR="7E6F45F9" w:rsidRPr="7B33A330">
        <w:rPr>
          <w:rFonts w:eastAsiaTheme="minorEastAsia"/>
          <w:bCs/>
          <w:color w:val="000000" w:themeColor="text1"/>
          <w:szCs w:val="20"/>
        </w:rPr>
        <w:t>.</w:t>
      </w:r>
      <w:r w:rsidR="4DAD630E">
        <w:br/>
      </w:r>
    </w:p>
    <w:p w14:paraId="332A36EE" w14:textId="6F116902" w:rsidR="4DAD630E" w:rsidRDefault="61A3E02F" w:rsidP="5A3FAC9D">
      <w:pPr>
        <w:pStyle w:val="Recommendation"/>
        <w:rPr>
          <w:bCs/>
        </w:rPr>
      </w:pPr>
      <w:r w:rsidRPr="1B5AAA50">
        <w:rPr>
          <w:rFonts w:eastAsiaTheme="minorEastAsia"/>
          <w:bCs/>
          <w:color w:val="000000" w:themeColor="text1"/>
          <w:szCs w:val="20"/>
        </w:rPr>
        <w:t xml:space="preserve">(2) </w:t>
      </w:r>
      <w:r w:rsidR="4DAD630E" w:rsidRPr="1B5AAA50">
        <w:rPr>
          <w:rFonts w:eastAsiaTheme="minorEastAsia"/>
          <w:bCs/>
          <w:color w:val="000000" w:themeColor="text1"/>
          <w:szCs w:val="20"/>
        </w:rPr>
        <w:t xml:space="preserve">Revenue from this excise should be earmarked for expenditure on preventive health care services, health promotion schemes focussing on healthy eating and fitness, fitness programs for children and young people, and a fresh food transport subsidy for remote areas. </w:t>
      </w:r>
    </w:p>
    <w:p w14:paraId="3143A140" w14:textId="3F23A101" w:rsidR="5A3FAC9D" w:rsidRDefault="5A3FAC9D" w:rsidP="5A3FAC9D">
      <w:pPr>
        <w:pStyle w:val="Recommendation"/>
        <w:rPr>
          <w:rFonts w:eastAsiaTheme="minorEastAsia"/>
          <w:bCs/>
          <w:color w:val="000000" w:themeColor="text1"/>
          <w:szCs w:val="20"/>
        </w:rPr>
      </w:pPr>
    </w:p>
    <w:p w14:paraId="6BCFBE8D" w14:textId="1BCE21CF" w:rsidR="000C6B7B" w:rsidRDefault="002227D8" w:rsidP="000C6B7B">
      <w:pPr>
        <w:pStyle w:val="Recommendation"/>
        <w:rPr>
          <w:rFonts w:eastAsiaTheme="minorEastAsia"/>
          <w:bCs/>
          <w:i/>
          <w:color w:val="000000" w:themeColor="text1"/>
          <w:szCs w:val="20"/>
        </w:rPr>
      </w:pPr>
      <w:r>
        <w:rPr>
          <w:rFonts w:eastAsiaTheme="minorEastAsia"/>
          <w:bCs/>
          <w:color w:val="C00000"/>
          <w:szCs w:val="20"/>
        </w:rPr>
        <w:t>Budget impact</w:t>
      </w:r>
      <w:r w:rsidR="4DAD630E" w:rsidRPr="007376C2">
        <w:rPr>
          <w:rFonts w:eastAsiaTheme="minorEastAsia"/>
          <w:bCs/>
          <w:color w:val="C00000"/>
          <w:szCs w:val="20"/>
        </w:rPr>
        <w:t xml:space="preserve">: </w:t>
      </w:r>
      <w:r w:rsidR="4DAD630E" w:rsidRPr="00A80C9F">
        <w:rPr>
          <w:rFonts w:eastAsiaTheme="minorEastAsia"/>
          <w:bCs/>
          <w:i/>
          <w:color w:val="000000" w:themeColor="text1"/>
          <w:szCs w:val="20"/>
        </w:rPr>
        <w:t>$0 million ($500 million in 202</w:t>
      </w:r>
      <w:r w:rsidR="48F6D027" w:rsidRPr="00A80C9F">
        <w:rPr>
          <w:rFonts w:eastAsiaTheme="minorEastAsia"/>
          <w:bCs/>
          <w:i/>
          <w:color w:val="000000" w:themeColor="text1"/>
          <w:szCs w:val="20"/>
        </w:rPr>
        <w:t>2</w:t>
      </w:r>
      <w:r w:rsidR="4DAD630E" w:rsidRPr="00A80C9F">
        <w:rPr>
          <w:rFonts w:eastAsiaTheme="minorEastAsia"/>
          <w:bCs/>
          <w:i/>
          <w:color w:val="000000" w:themeColor="text1"/>
          <w:szCs w:val="20"/>
        </w:rPr>
        <w:t>-2</w:t>
      </w:r>
      <w:r w:rsidR="3AE13ECF" w:rsidRPr="00A80C9F">
        <w:rPr>
          <w:rFonts w:eastAsiaTheme="minorEastAsia"/>
          <w:bCs/>
          <w:i/>
          <w:color w:val="000000" w:themeColor="text1"/>
          <w:szCs w:val="20"/>
        </w:rPr>
        <w:t>3</w:t>
      </w:r>
      <w:r w:rsidR="4DAD630E" w:rsidRPr="00A80C9F">
        <w:rPr>
          <w:rFonts w:eastAsiaTheme="minorEastAsia"/>
          <w:bCs/>
          <w:i/>
          <w:color w:val="000000" w:themeColor="text1"/>
          <w:szCs w:val="20"/>
        </w:rPr>
        <w:t>)</w:t>
      </w:r>
    </w:p>
    <w:p w14:paraId="4DF3BBF8" w14:textId="77777777" w:rsidR="000C6B7B" w:rsidRPr="000C6B7B" w:rsidRDefault="000C6B7B" w:rsidP="000C6B7B">
      <w:pPr>
        <w:pStyle w:val="ListNumber"/>
        <w:numPr>
          <w:ilvl w:val="0"/>
          <w:numId w:val="0"/>
        </w:numPr>
        <w:ind w:left="360" w:hanging="360"/>
      </w:pPr>
    </w:p>
    <w:p w14:paraId="309ECF99" w14:textId="2E5FFD40" w:rsidR="6B2EC1D0" w:rsidRDefault="00504429" w:rsidP="00394B9E">
      <w:pPr>
        <w:pStyle w:val="Recommendation"/>
        <w:keepNext/>
      </w:pPr>
      <w:r>
        <w:rPr>
          <w:color w:val="C00000"/>
        </w:rPr>
        <w:t xml:space="preserve">Recommendation </w:t>
      </w:r>
      <w:r w:rsidR="00394B9E">
        <w:rPr>
          <w:color w:val="C00000"/>
        </w:rPr>
        <w:t>6</w:t>
      </w:r>
      <w:r w:rsidR="00A677FD">
        <w:rPr>
          <w:color w:val="C00000"/>
        </w:rPr>
        <w:t>2</w:t>
      </w:r>
      <w:r w:rsidR="24E43D8C" w:rsidRPr="007376C2">
        <w:rPr>
          <w:color w:val="C00000"/>
        </w:rPr>
        <w:t>:</w:t>
      </w:r>
      <w:r w:rsidR="6B2EC1D0" w:rsidRPr="007376C2">
        <w:rPr>
          <w:color w:val="C00000"/>
        </w:rPr>
        <w:t xml:space="preserve"> </w:t>
      </w:r>
      <w:r w:rsidR="505EF842" w:rsidRPr="003767B4">
        <w:rPr>
          <w:color w:val="000000" w:themeColor="text1"/>
        </w:rPr>
        <w:t>Tax drinks co</w:t>
      </w:r>
      <w:r w:rsidR="6B2EC1D0" w:rsidRPr="003767B4">
        <w:rPr>
          <w:color w:val="000000" w:themeColor="text1"/>
        </w:rPr>
        <w:t>nsistently on the basis of alcohol content</w:t>
      </w:r>
      <w:r w:rsidR="6B2EC1D0">
        <w:br/>
      </w:r>
    </w:p>
    <w:p w14:paraId="71EAA4AB" w14:textId="7D1DE05F" w:rsidR="6B2EC1D0" w:rsidRDefault="6B2EC1D0" w:rsidP="7B33A330">
      <w:pPr>
        <w:pStyle w:val="ListNumber"/>
        <w:numPr>
          <w:ilvl w:val="0"/>
          <w:numId w:val="0"/>
        </w:numPr>
        <w:spacing w:after="0"/>
        <w:rPr>
          <w:b/>
          <w:bCs/>
        </w:rPr>
      </w:pPr>
      <w:r w:rsidRPr="7B33A330">
        <w:rPr>
          <w:b/>
          <w:bCs/>
        </w:rPr>
        <w:t>(1) As part of a comprehensive strategy to reduce alcohol consumption where this is harmful to health, and to better incorporate related health and social costs into its price, from 1 July 202</w:t>
      </w:r>
      <w:r w:rsidR="7E71DFD3" w:rsidRPr="7B33A330">
        <w:rPr>
          <w:b/>
          <w:bCs/>
        </w:rPr>
        <w:t>2</w:t>
      </w:r>
      <w:r w:rsidRPr="7B33A330">
        <w:rPr>
          <w:b/>
          <w:bCs/>
        </w:rPr>
        <w:t xml:space="preserve"> the WET and WET Rebate should be abolished and wine should be taxed at a uniform rate of $56 per litre of alcohol content and ciders at $33 per litre</w:t>
      </w:r>
      <w:r w:rsidR="076EA985" w:rsidRPr="7B33A330">
        <w:rPr>
          <w:b/>
          <w:bCs/>
        </w:rPr>
        <w:t>.</w:t>
      </w:r>
      <w:r>
        <w:br/>
      </w:r>
    </w:p>
    <w:p w14:paraId="3F100459" w14:textId="56BAE664" w:rsidR="6B2EC1D0" w:rsidRDefault="6B2EC1D0" w:rsidP="5A3FAC9D">
      <w:pPr>
        <w:pStyle w:val="ListNumber"/>
        <w:numPr>
          <w:ilvl w:val="0"/>
          <w:numId w:val="0"/>
        </w:numPr>
        <w:spacing w:after="0"/>
      </w:pPr>
      <w:r w:rsidRPr="5A3FAC9D">
        <w:rPr>
          <w:b/>
          <w:bCs/>
        </w:rPr>
        <w:t>(2) The revenue from this excise should be earmarked for expenditure on preventive health care services, including prevention of foetal alcohol syndrome.</w:t>
      </w:r>
    </w:p>
    <w:p w14:paraId="40AD5B53" w14:textId="17D163A4" w:rsidR="5A3FAC9D" w:rsidRDefault="5A3FAC9D" w:rsidP="5A3FAC9D">
      <w:pPr>
        <w:pStyle w:val="ListNumber"/>
        <w:numPr>
          <w:ilvl w:val="0"/>
          <w:numId w:val="0"/>
        </w:numPr>
        <w:spacing w:after="0"/>
        <w:rPr>
          <w:b/>
          <w:bCs/>
        </w:rPr>
      </w:pPr>
    </w:p>
    <w:p w14:paraId="57B13694" w14:textId="1443ED0A" w:rsidR="6B2EC1D0" w:rsidRDefault="6B2EC1D0" w:rsidP="5A3FAC9D">
      <w:pPr>
        <w:pStyle w:val="ListNumber"/>
        <w:numPr>
          <w:ilvl w:val="0"/>
          <w:numId w:val="0"/>
        </w:numPr>
        <w:spacing w:after="0"/>
        <w:rPr>
          <w:rFonts w:eastAsiaTheme="minorEastAsia"/>
          <w:b/>
          <w:bCs/>
          <w:szCs w:val="20"/>
        </w:rPr>
      </w:pPr>
      <w:r w:rsidRPr="007376C2">
        <w:rPr>
          <w:rFonts w:eastAsiaTheme="minorEastAsia"/>
          <w:b/>
          <w:bCs/>
          <w:color w:val="C00000"/>
          <w:szCs w:val="20"/>
        </w:rPr>
        <w:t>Budget impact:</w:t>
      </w:r>
      <w:r w:rsidRPr="003767B4">
        <w:rPr>
          <w:rFonts w:eastAsiaTheme="minorEastAsia"/>
          <w:b/>
          <w:bCs/>
          <w:color w:val="C00000"/>
          <w:szCs w:val="20"/>
        </w:rPr>
        <w:t xml:space="preserve"> </w:t>
      </w:r>
      <w:r w:rsidRPr="00A80C9F">
        <w:rPr>
          <w:rFonts w:eastAsiaTheme="minorEastAsia"/>
          <w:b/>
          <w:bCs/>
          <w:i/>
          <w:szCs w:val="20"/>
        </w:rPr>
        <w:t>$0 ($2,300 million in 202</w:t>
      </w:r>
      <w:r w:rsidR="6676D247" w:rsidRPr="00A80C9F">
        <w:rPr>
          <w:rFonts w:eastAsiaTheme="minorEastAsia"/>
          <w:b/>
          <w:bCs/>
          <w:i/>
          <w:szCs w:val="20"/>
        </w:rPr>
        <w:t>2</w:t>
      </w:r>
      <w:r w:rsidRPr="00A80C9F">
        <w:rPr>
          <w:rFonts w:eastAsiaTheme="minorEastAsia"/>
          <w:b/>
          <w:bCs/>
          <w:i/>
          <w:szCs w:val="20"/>
        </w:rPr>
        <w:t>-2</w:t>
      </w:r>
      <w:r w:rsidR="12D67295" w:rsidRPr="00A80C9F">
        <w:rPr>
          <w:rFonts w:eastAsiaTheme="minorEastAsia"/>
          <w:b/>
          <w:bCs/>
          <w:i/>
          <w:szCs w:val="20"/>
        </w:rPr>
        <w:t>3</w:t>
      </w:r>
      <w:r w:rsidRPr="00A80C9F">
        <w:rPr>
          <w:rFonts w:eastAsiaTheme="minorEastAsia"/>
          <w:b/>
          <w:bCs/>
          <w:i/>
          <w:szCs w:val="20"/>
        </w:rPr>
        <w:t>)</w:t>
      </w:r>
    </w:p>
    <w:p w14:paraId="2C385E9D" w14:textId="43C967B7" w:rsidR="58FC328A" w:rsidRDefault="58FC328A" w:rsidP="5A3FAC9D">
      <w:pPr>
        <w:pStyle w:val="ListNumber"/>
        <w:numPr>
          <w:ilvl w:val="0"/>
          <w:numId w:val="0"/>
        </w:numPr>
        <w:spacing w:after="0"/>
      </w:pPr>
    </w:p>
    <w:p w14:paraId="7CF2AD56" w14:textId="6D135849" w:rsidR="5A3FAC9D" w:rsidRDefault="5A3FAC9D" w:rsidP="5A3FAC9D">
      <w:pPr>
        <w:pStyle w:val="ListNumber"/>
        <w:numPr>
          <w:ilvl w:val="0"/>
          <w:numId w:val="0"/>
        </w:numPr>
        <w:spacing w:after="0"/>
      </w:pPr>
    </w:p>
    <w:p w14:paraId="563D113E" w14:textId="272C1BF7" w:rsidR="00FD1810" w:rsidRDefault="00FD1810" w:rsidP="000B50DA"/>
    <w:sectPr w:rsidR="00FD1810" w:rsidSect="004B5F8F">
      <w:pgSz w:w="11907" w:h="16839" w:code="9"/>
      <w:pgMar w:top="1440" w:right="1467" w:bottom="1440" w:left="1440" w:header="680" w:footer="170"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37C31E" w16cex:dateUtc="2021-01-19T12:40:46Z"/>
  <w16cex:commentExtensible w16cex:durableId="72A9CD7D" w16cex:dateUtc="2021-01-19T12:47:08Z"/>
  <w16cex:commentExtensible w16cex:durableId="5A97E97D" w16cex:dateUtc="2021-01-20T09:34:21Z"/>
  <w16cex:commentExtensible w16cex:durableId="2B5EE38C" w16cex:dateUtc="2021-01-20T09:37:00Z"/>
  <w16cex:commentExtensible w16cex:durableId="0551865B" w16cex:dateUtc="2021-01-20T22:55:50Z"/>
  <w16cex:commentExtensible w16cex:durableId="356F8DEA" w16cex:dateUtc="2021-01-21T05:23:15Z"/>
  <w16cex:commentExtensible w16cex:durableId="36EC7E20" w16cex:dateUtc="2021-01-21T22:11:54.191Z"/>
  <w16cex:commentExtensible w16cex:durableId="0039158E" w16cex:dateUtc="2021-01-21T22:21:12Z"/>
  <w16cex:commentExtensible w16cex:durableId="489D8E0C" w16cex:dateUtc="2021-01-21T22:52:03Z"/>
  <w16cex:commentExtensible w16cex:durableId="283AFD23" w16cex:dateUtc="2021-01-21T23:30:17.446Z"/>
  <w16cex:commentExtensible w16cex:durableId="18A0494D" w16cex:dateUtc="2021-01-25T04:10:43.801Z"/>
  <w16cex:commentExtensible w16cex:durableId="2FFE884F" w16cex:dateUtc="2021-01-25T04:12:41.855Z"/>
  <w16cex:commentExtensible w16cex:durableId="4415130C" w16cex:dateUtc="2021-01-25T04:18:02.602Z"/>
  <w16cex:commentExtensible w16cex:durableId="760E2FB3" w16cex:dateUtc="2021-01-25T04:19:26.467Z"/>
  <w16cex:commentExtensible w16cex:durableId="2B277242" w16cex:dateUtc="2021-01-25T04:26:10.11Z"/>
  <w16cex:commentExtensible w16cex:durableId="2CFE419A" w16cex:dateUtc="2021-01-25T04:30:50.803Z"/>
  <w16cex:commentExtensible w16cex:durableId="6D95FAB7" w16cex:dateUtc="2021-01-25T04:33:10.658Z"/>
  <w16cex:commentExtensible w16cex:durableId="3EDA1F0B" w16cex:dateUtc="2021-01-25T04:36:33.491Z"/>
  <w16cex:commentExtensible w16cex:durableId="3AC719E1" w16cex:dateUtc="2021-01-25T04:42:55.421Z"/>
  <w16cex:commentExtensible w16cex:durableId="0717279F" w16cex:dateUtc="2021-01-25T04:47:45.485Z"/>
  <w16cex:commentExtensible w16cex:durableId="3B2EE917" w16cex:dateUtc="2021-01-25T04:49:40.018Z"/>
  <w16cex:commentExtensible w16cex:durableId="49E52FFD" w16cex:dateUtc="2021-01-25T04:50:44.685Z"/>
  <w16cex:commentExtensible w16cex:durableId="5BE500A9" w16cex:dateUtc="2021-01-25T04:51:48.44Z"/>
  <w16cex:commentExtensible w16cex:durableId="2B3F7059" w16cex:dateUtc="2021-01-25T04:54:21.338Z"/>
  <w16cex:commentExtensible w16cex:durableId="69F6C922" w16cex:dateUtc="2021-01-25T04:57:00.987Z"/>
  <w16cex:commentExtensible w16cex:durableId="2D13F348" w16cex:dateUtc="2021-01-25T04:59:57.505Z"/>
</w16cex:commentsExtensible>
</file>

<file path=word/commentsIds.xml><?xml version="1.0" encoding="utf-8"?>
<w16cid:commentsIds xmlns:mc="http://schemas.openxmlformats.org/markup-compatibility/2006" xmlns:w16cid="http://schemas.microsoft.com/office/word/2016/wordml/cid" mc:Ignorable="w16cid">
  <w16cid:commentId w16cid:paraId="292B3BDF" w16cid:durableId="1437C31E"/>
  <w16cid:commentId w16cid:paraId="3A334B5B" w16cid:durableId="72A9CD7D"/>
  <w16cid:commentId w16cid:paraId="61955813" w16cid:durableId="5A97E97D"/>
  <w16cid:commentId w16cid:paraId="549147AD" w16cid:durableId="2B5EE38C"/>
  <w16cid:commentId w16cid:paraId="412E898F" w16cid:durableId="0551865B"/>
  <w16cid:commentId w16cid:paraId="2233328C" w16cid:durableId="356F8DEA"/>
  <w16cid:commentId w16cid:paraId="2D009E3C" w16cid:durableId="36EC7E20"/>
  <w16cid:commentId w16cid:paraId="434131BF" w16cid:durableId="0039158E"/>
  <w16cid:commentId w16cid:paraId="5FC0943B" w16cid:durableId="489D8E0C"/>
  <w16cid:commentId w16cid:paraId="4D31CCC2" w16cid:durableId="283AFD23"/>
  <w16cid:commentId w16cid:paraId="1D3235E1" w16cid:durableId="18A0494D"/>
  <w16cid:commentId w16cid:paraId="0CD051CE" w16cid:durableId="2FFE884F"/>
  <w16cid:commentId w16cid:paraId="51A82755" w16cid:durableId="4415130C"/>
  <w16cid:commentId w16cid:paraId="21592C37" w16cid:durableId="760E2FB3"/>
  <w16cid:commentId w16cid:paraId="524E50E6" w16cid:durableId="2B277242"/>
  <w16cid:commentId w16cid:paraId="60FD73C9" w16cid:durableId="2CFE419A"/>
  <w16cid:commentId w16cid:paraId="5131A0A7" w16cid:durableId="6D95FAB7"/>
  <w16cid:commentId w16cid:paraId="2B396206" w16cid:durableId="3EDA1F0B"/>
  <w16cid:commentId w16cid:paraId="03C366EC" w16cid:durableId="3AC719E1"/>
  <w16cid:commentId w16cid:paraId="1CA5C436" w16cid:durableId="0717279F"/>
  <w16cid:commentId w16cid:paraId="481231C8" w16cid:durableId="3B2EE917"/>
  <w16cid:commentId w16cid:paraId="132310F1" w16cid:durableId="49E52FFD"/>
  <w16cid:commentId w16cid:paraId="27D8FEE5" w16cid:durableId="5BE500A9"/>
  <w16cid:commentId w16cid:paraId="6E24CC23" w16cid:durableId="2B3F7059"/>
  <w16cid:commentId w16cid:paraId="3BB83EE2" w16cid:durableId="69F6C922"/>
  <w16cid:commentId w16cid:paraId="586B1CA4" w16cid:durableId="2D13F3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88445" w14:textId="77777777" w:rsidR="000C6B7B" w:rsidRDefault="000C6B7B" w:rsidP="00F03627">
      <w:pPr>
        <w:spacing w:after="0" w:line="240" w:lineRule="auto"/>
      </w:pPr>
      <w:r>
        <w:separator/>
      </w:r>
    </w:p>
  </w:endnote>
  <w:endnote w:type="continuationSeparator" w:id="0">
    <w:p w14:paraId="0B46DA95" w14:textId="77777777" w:rsidR="000C6B7B" w:rsidRDefault="000C6B7B" w:rsidP="00F0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sz w:val="22"/>
      </w:rPr>
      <w:id w:val="-1744171250"/>
      <w:docPartObj>
        <w:docPartGallery w:val="Page Numbers (Bottom of Page)"/>
        <w:docPartUnique/>
      </w:docPartObj>
    </w:sdtPr>
    <w:sdtEndPr>
      <w:rPr>
        <w:rFonts w:ascii="Palatino Linotype" w:eastAsiaTheme="majorEastAsia" w:hAnsi="Palatino Linotype" w:cstheme="majorBidi"/>
        <w:noProof/>
        <w:color w:val="000000" w:themeColor="text1"/>
        <w:sz w:val="24"/>
        <w:szCs w:val="40"/>
      </w:rPr>
    </w:sdtEndPr>
    <w:sdtContent>
      <w:p w14:paraId="5AC1C800" w14:textId="6B6B0167" w:rsidR="000C6B7B" w:rsidRPr="00E04A5F" w:rsidRDefault="000C6B7B" w:rsidP="00E04A5F">
        <w:pPr>
          <w:pStyle w:val="Footer"/>
          <w:jc w:val="center"/>
          <w:rPr>
            <w:rFonts w:ascii="Palatino Linotype" w:eastAsiaTheme="majorEastAsia" w:hAnsi="Palatino Linotype" w:cstheme="majorBidi"/>
            <w:sz w:val="24"/>
            <w:szCs w:val="40"/>
          </w:rPr>
        </w:pPr>
        <w:r w:rsidRPr="00E04A5F">
          <w:rPr>
            <w:rFonts w:ascii="Palatino Linotype" w:eastAsiaTheme="minorEastAsia" w:hAnsi="Palatino Linotype" w:cs="Times New Roman"/>
            <w:color w:val="2B579A"/>
            <w:sz w:val="14"/>
            <w:shd w:val="clear" w:color="auto" w:fill="E6E6E6"/>
          </w:rPr>
          <w:fldChar w:fldCharType="begin"/>
        </w:r>
        <w:r w:rsidRPr="00E04A5F">
          <w:rPr>
            <w:rFonts w:ascii="Palatino Linotype" w:hAnsi="Palatino Linotype"/>
            <w:sz w:val="12"/>
          </w:rPr>
          <w:instrText xml:space="preserve"> PAGE   \* MERGEFORMAT </w:instrText>
        </w:r>
        <w:r w:rsidRPr="00E04A5F">
          <w:rPr>
            <w:rFonts w:ascii="Palatino Linotype" w:eastAsiaTheme="minorEastAsia" w:hAnsi="Palatino Linotype" w:cs="Times New Roman"/>
            <w:color w:val="2B579A"/>
            <w:sz w:val="14"/>
            <w:shd w:val="clear" w:color="auto" w:fill="E6E6E6"/>
          </w:rPr>
          <w:fldChar w:fldCharType="separate"/>
        </w:r>
        <w:r w:rsidR="005A6230" w:rsidRPr="005A6230">
          <w:rPr>
            <w:rFonts w:ascii="Palatino Linotype" w:eastAsiaTheme="majorEastAsia" w:hAnsi="Palatino Linotype" w:cstheme="majorBidi"/>
            <w:noProof/>
            <w:sz w:val="24"/>
            <w:szCs w:val="40"/>
          </w:rPr>
          <w:t>61</w:t>
        </w:r>
        <w:r w:rsidRPr="00E04A5F">
          <w:rPr>
            <w:rFonts w:ascii="Palatino Linotype" w:eastAsiaTheme="majorEastAsia" w:hAnsi="Palatino Linotype" w:cstheme="majorBidi"/>
            <w:noProof/>
            <w:color w:val="2B579A"/>
            <w:sz w:val="24"/>
            <w:szCs w:val="40"/>
            <w:shd w:val="clear" w:color="auto" w:fill="E6E6E6"/>
          </w:rPr>
          <w:fldChar w:fldCharType="end"/>
        </w:r>
      </w:p>
    </w:sdtContent>
  </w:sdt>
  <w:p w14:paraId="46ABBD8F" w14:textId="77777777" w:rsidR="000C6B7B" w:rsidRPr="00342678" w:rsidRDefault="000C6B7B" w:rsidP="00342678">
    <w:pPr>
      <w:pStyle w:val="Footer"/>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12AD6" w14:textId="77777777" w:rsidR="000C6B7B" w:rsidRDefault="000C6B7B" w:rsidP="00194073">
    <w:pPr>
      <w:pStyle w:val="Footer"/>
      <w:jc w:val="center"/>
      <w:rPr>
        <w:rFonts w:asciiTheme="minorHAnsi" w:eastAsiaTheme="minorEastAsia" w:hAnsiTheme="minorHAnsi" w:cs="Times New Roman"/>
        <w:color w:val="auto"/>
        <w:sz w:val="22"/>
      </w:rP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r w:rsidRPr="00BD087C">
      <w:rPr>
        <w:sz w:val="16"/>
      </w:rPr>
      <w:t>Ph (</w:t>
    </w:r>
    <w:r>
      <w:rPr>
        <w:sz w:val="16"/>
      </w:rPr>
      <w:t>02) 9310 6200</w:t>
    </w:r>
    <w:r w:rsidRPr="00BD087C">
      <w:rPr>
        <w:sz w:val="16"/>
      </w:rPr>
      <w:t xml:space="preserve"> </w:t>
    </w:r>
    <w:r>
      <w:rPr>
        <w:sz w:val="16"/>
      </w:rPr>
      <w:t xml:space="preserve">E: </w:t>
    </w:r>
    <w:hyperlink r:id="rId1" w:history="1">
      <w:r w:rsidRPr="00292056">
        <w:rPr>
          <w:rStyle w:val="Hyperlink"/>
          <w:b/>
          <w:sz w:val="16"/>
        </w:rPr>
        <w:t>info@acoss.org.au</w:t>
      </w:r>
    </w:hyperlink>
    <w:r>
      <w:rPr>
        <w:b/>
        <w:sz w:val="16"/>
      </w:rPr>
      <w:br/>
    </w:r>
    <w:hyperlink r:id="rId2" w:history="1">
      <w:r w:rsidRPr="00E0392A">
        <w:rPr>
          <w:rStyle w:val="Hyperlink"/>
          <w:b/>
          <w:sz w:val="16"/>
        </w:rPr>
        <w:t>www.acoss.org.au</w:t>
      </w:r>
    </w:hyperlink>
    <w:r>
      <w:rPr>
        <w:b/>
        <w:sz w:val="16"/>
      </w:rPr>
      <w:br/>
    </w:r>
    <w:r w:rsidRPr="00BD087C">
      <w:rPr>
        <w:sz w:val="16"/>
      </w:rPr>
      <w:t>ISSN</w:t>
    </w:r>
    <w:r>
      <w:rPr>
        <w:sz w:val="16"/>
      </w:rPr>
      <w:t>:</w:t>
    </w:r>
    <w:r w:rsidRPr="00BD087C">
      <w:rPr>
        <w:sz w:val="16"/>
      </w:rPr>
      <w:t xml:space="preserve"> 1326 7124</w:t>
    </w:r>
  </w:p>
  <w:sdt>
    <w:sdtPr>
      <w:rPr>
        <w:rFonts w:asciiTheme="minorHAnsi" w:eastAsiaTheme="minorEastAsia" w:hAnsiTheme="minorHAnsi" w:cs="Times New Roman"/>
        <w:color w:val="auto"/>
        <w:sz w:val="22"/>
        <w:shd w:val="clear" w:color="auto" w:fill="E6E6E6"/>
      </w:rPr>
      <w:id w:val="-691598389"/>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14:paraId="54738AF4" w14:textId="77777777" w:rsidR="000C6B7B" w:rsidRPr="00B1504F" w:rsidRDefault="000C6B7B">
        <w:pPr>
          <w:pStyle w:val="Footer"/>
          <w:jc w:val="right"/>
          <w:rPr>
            <w:rFonts w:ascii="Palatino Linotype" w:eastAsiaTheme="majorEastAsia" w:hAnsi="Palatino Linotype" w:cstheme="majorBidi"/>
            <w:b/>
            <w:noProof/>
            <w:sz w:val="40"/>
            <w:szCs w:val="40"/>
          </w:rPr>
        </w:pPr>
      </w:p>
      <w:p w14:paraId="59B53C13" w14:textId="77777777" w:rsidR="000C6B7B" w:rsidRPr="00A02EC9" w:rsidRDefault="000C6B7B" w:rsidP="008333B4">
        <w:pPr>
          <w:pStyle w:val="Footer"/>
          <w:tabs>
            <w:tab w:val="clear" w:pos="4680"/>
            <w:tab w:val="center" w:pos="4666"/>
          </w:tabs>
          <w:jc w:val="center"/>
        </w:pPr>
        <w:r w:rsidRPr="00A02EC9">
          <w:rPr>
            <w:noProof/>
            <w:color w:val="2B579A"/>
            <w:shd w:val="clear" w:color="auto" w:fill="E6E6E6"/>
            <w:lang w:val="en-AU" w:eastAsia="en-AU"/>
          </w:rPr>
          <w:drawing>
            <wp:anchor distT="0" distB="0" distL="114300" distR="114300" simplePos="0" relativeHeight="251661312" behindDoc="1" locked="1" layoutInCell="1" allowOverlap="1" wp14:anchorId="304C8788" wp14:editId="02F83431">
              <wp:simplePos x="0" y="0"/>
              <wp:positionH relativeFrom="page">
                <wp:align>right</wp:align>
              </wp:positionH>
              <wp:positionV relativeFrom="page">
                <wp:align>top</wp:align>
              </wp:positionV>
              <wp:extent cx="916940" cy="916940"/>
              <wp:effectExtent l="0" t="0" r="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694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6B628" w14:textId="77777777" w:rsidR="000C6B7B" w:rsidRDefault="000C6B7B" w:rsidP="00F03627">
      <w:pPr>
        <w:spacing w:after="0" w:line="240" w:lineRule="auto"/>
      </w:pPr>
      <w:r>
        <w:separator/>
      </w:r>
    </w:p>
  </w:footnote>
  <w:footnote w:type="continuationSeparator" w:id="0">
    <w:p w14:paraId="5D91EBAA" w14:textId="77777777" w:rsidR="000C6B7B" w:rsidRDefault="000C6B7B" w:rsidP="00F03627">
      <w:pPr>
        <w:spacing w:after="0" w:line="240" w:lineRule="auto"/>
      </w:pPr>
      <w:r>
        <w:continuationSeparator/>
      </w:r>
    </w:p>
  </w:footnote>
  <w:footnote w:id="1">
    <w:p w14:paraId="1937330C" w14:textId="4B58BA67" w:rsidR="000C6B7B" w:rsidRPr="00600920" w:rsidRDefault="000C6B7B" w:rsidP="1F64CA26">
      <w:pPr>
        <w:pStyle w:val="FootnoteText"/>
        <w:rPr>
          <w:sz w:val="16"/>
          <w:szCs w:val="16"/>
        </w:rPr>
      </w:pPr>
      <w:r w:rsidRPr="00600920">
        <w:rPr>
          <w:rStyle w:val="FootnoteReference"/>
          <w:sz w:val="16"/>
          <w:szCs w:val="16"/>
        </w:rPr>
        <w:footnoteRef/>
      </w:r>
      <w:r w:rsidRPr="00600920">
        <w:rPr>
          <w:sz w:val="16"/>
          <w:szCs w:val="16"/>
        </w:rPr>
        <w:t xml:space="preserve"> ACOSS analysis of data in Frydenberg &amp; Cormann (2020), Budget Paper No1; Grudnoff M (2020), Tax cuts or spending: What is the most effective stimulus? Australia Institute.</w:t>
      </w:r>
    </w:p>
    <w:p w14:paraId="7B2A0337" w14:textId="4696FA44" w:rsidR="000C6B7B" w:rsidRPr="00600920" w:rsidRDefault="000C6B7B" w:rsidP="1F64CA26">
      <w:pPr>
        <w:pStyle w:val="FootnoteText"/>
        <w:rPr>
          <w:sz w:val="16"/>
          <w:szCs w:val="16"/>
        </w:rPr>
      </w:pPr>
    </w:p>
  </w:footnote>
  <w:footnote w:id="2">
    <w:p w14:paraId="6CDB5FC6" w14:textId="77777777" w:rsidR="000C6B7B" w:rsidRPr="00600920" w:rsidRDefault="000C6B7B" w:rsidP="00473298">
      <w:pPr>
        <w:pStyle w:val="FootnoteText"/>
        <w:rPr>
          <w:sz w:val="16"/>
          <w:szCs w:val="16"/>
        </w:rPr>
      </w:pPr>
      <w:r w:rsidRPr="00600920">
        <w:rPr>
          <w:rStyle w:val="FootnoteReference"/>
          <w:sz w:val="16"/>
          <w:szCs w:val="16"/>
        </w:rPr>
        <w:footnoteRef/>
      </w:r>
      <w:r w:rsidRPr="00600920">
        <w:rPr>
          <w:sz w:val="16"/>
          <w:szCs w:val="16"/>
        </w:rPr>
        <w:t xml:space="preserve"> This saves $15.9 billion altogether in 2024-25, since the 'stage 3’ tax cuts would not proceed.</w:t>
      </w:r>
    </w:p>
  </w:footnote>
  <w:footnote w:id="3">
    <w:p w14:paraId="1905C3C4" w14:textId="4616F1FB" w:rsidR="000C6B7B" w:rsidRPr="00600920" w:rsidRDefault="000C6B7B" w:rsidP="0073744E">
      <w:pPr>
        <w:pStyle w:val="FootnoteText"/>
        <w:rPr>
          <w:sz w:val="16"/>
          <w:szCs w:val="16"/>
        </w:rPr>
      </w:pPr>
      <w:r w:rsidRPr="00600920">
        <w:rPr>
          <w:rStyle w:val="FootnoteReference"/>
          <w:sz w:val="16"/>
          <w:szCs w:val="16"/>
        </w:rPr>
        <w:footnoteRef/>
      </w:r>
      <w:r w:rsidRPr="00600920">
        <w:rPr>
          <w:sz w:val="16"/>
          <w:szCs w:val="16"/>
        </w:rPr>
        <w:t xml:space="preserve"> Australian Institute of Health and Welfare (2020) Housing Data – Housing Market: Australian Property Value, December, https://www.housingdata.gov.au/ </w:t>
      </w:r>
    </w:p>
  </w:footnote>
  <w:footnote w:id="4">
    <w:p w14:paraId="2DA0D1BF" w14:textId="73D5CC5D" w:rsidR="000C6B7B" w:rsidRPr="00600920" w:rsidRDefault="000C6B7B">
      <w:pPr>
        <w:pStyle w:val="FootnoteText"/>
        <w:rPr>
          <w:sz w:val="16"/>
          <w:szCs w:val="16"/>
          <w:lang w:val="en-AU"/>
        </w:rPr>
      </w:pPr>
      <w:r w:rsidRPr="00600920">
        <w:rPr>
          <w:rStyle w:val="FootnoteReference"/>
          <w:sz w:val="16"/>
          <w:szCs w:val="16"/>
        </w:rPr>
        <w:footnoteRef/>
      </w:r>
      <w:r w:rsidRPr="00600920">
        <w:rPr>
          <w:sz w:val="16"/>
          <w:szCs w:val="16"/>
        </w:rPr>
        <w:t xml:space="preserve"> </w:t>
      </w:r>
      <w:r w:rsidRPr="00600920">
        <w:rPr>
          <w:sz w:val="16"/>
          <w:szCs w:val="16"/>
          <w:lang w:val="en-AU"/>
        </w:rPr>
        <w:t>Anglicare Australia (2020)</w:t>
      </w:r>
      <w:r>
        <w:rPr>
          <w:sz w:val="16"/>
          <w:szCs w:val="16"/>
          <w:lang w:val="en-AU"/>
        </w:rPr>
        <w:t xml:space="preserve"> Rental Affordability Snapshot (Update) (August)</w:t>
      </w:r>
      <w:r w:rsidRPr="004660C8">
        <w:t xml:space="preserve"> </w:t>
      </w:r>
      <w:hyperlink r:id="rId1" w:history="1">
        <w:r w:rsidRPr="004532F3">
          <w:rPr>
            <w:rStyle w:val="Hyperlink"/>
            <w:sz w:val="16"/>
            <w:szCs w:val="16"/>
            <w:lang w:val="en-AU"/>
          </w:rPr>
          <w:t>https://www.anglicare.asn.au/docs/default-source/default-document-library/special-release-rental-affordability-update.pdf?sfvrsn=4</w:t>
        </w:r>
      </w:hyperlink>
      <w:r>
        <w:rPr>
          <w:sz w:val="16"/>
          <w:szCs w:val="16"/>
          <w:lang w:val="en-AU"/>
        </w:rPr>
        <w:t xml:space="preserve"> </w:t>
      </w:r>
      <w:r w:rsidRPr="00600920">
        <w:rPr>
          <w:sz w:val="16"/>
          <w:szCs w:val="16"/>
          <w:lang w:val="en-AU"/>
        </w:rPr>
        <w:t xml:space="preserve"> </w:t>
      </w:r>
    </w:p>
  </w:footnote>
  <w:footnote w:id="5">
    <w:p w14:paraId="42E4B7BE" w14:textId="77777777" w:rsidR="000C6B7B" w:rsidRPr="00600920" w:rsidRDefault="000C6B7B" w:rsidP="002155F2">
      <w:pPr>
        <w:pStyle w:val="FootnoteText"/>
        <w:rPr>
          <w:sz w:val="16"/>
          <w:szCs w:val="16"/>
          <w:lang w:val="en-AU"/>
        </w:rPr>
      </w:pPr>
      <w:r w:rsidRPr="00600920">
        <w:rPr>
          <w:rStyle w:val="FootnoteReference"/>
          <w:sz w:val="16"/>
          <w:szCs w:val="16"/>
        </w:rPr>
        <w:footnoteRef/>
      </w:r>
      <w:r w:rsidRPr="00600920">
        <w:rPr>
          <w:sz w:val="16"/>
          <w:szCs w:val="16"/>
        </w:rPr>
        <w:t xml:space="preserve"> </w:t>
      </w:r>
      <w:r w:rsidRPr="00600920">
        <w:rPr>
          <w:sz w:val="16"/>
          <w:szCs w:val="16"/>
          <w:lang w:val="en-AU"/>
        </w:rPr>
        <w:t xml:space="preserve">ACOSS (2020) ‘I can finally eat fresh fruit and vegetables’ Survey of 955 people receiving the new rate of JobSeeker and other allowances, </w:t>
      </w:r>
      <w:hyperlink r:id="rId2" w:history="1">
        <w:r w:rsidRPr="00600920">
          <w:rPr>
            <w:rStyle w:val="Hyperlink"/>
            <w:sz w:val="16"/>
            <w:szCs w:val="16"/>
            <w:lang w:val="en-AU"/>
          </w:rPr>
          <w:t>https://www.acoss.org.au/wp-content/uploads/2020/06/200624-I-Can-Finally-Eat-Fresh-Fruit-And-Vegetables-Results-Of-The-Coronaviru.._.pdf</w:t>
        </w:r>
      </w:hyperlink>
      <w:r w:rsidRPr="00600920">
        <w:rPr>
          <w:sz w:val="16"/>
          <w:szCs w:val="16"/>
          <w:lang w:val="en-AU"/>
        </w:rPr>
        <w:t xml:space="preserve"> </w:t>
      </w:r>
    </w:p>
  </w:footnote>
  <w:footnote w:id="6">
    <w:p w14:paraId="7F10808C" w14:textId="13BBAD1E" w:rsidR="000C6B7B" w:rsidRPr="00600920" w:rsidRDefault="000C6B7B">
      <w:pPr>
        <w:pStyle w:val="FootnoteText"/>
        <w:rPr>
          <w:sz w:val="16"/>
          <w:szCs w:val="16"/>
          <w:lang w:val="en-AU"/>
        </w:rPr>
      </w:pPr>
      <w:r w:rsidRPr="00600920">
        <w:rPr>
          <w:rStyle w:val="FootnoteReference"/>
          <w:sz w:val="16"/>
          <w:szCs w:val="16"/>
        </w:rPr>
        <w:footnoteRef/>
      </w:r>
      <w:r w:rsidRPr="00600920">
        <w:rPr>
          <w:sz w:val="16"/>
          <w:szCs w:val="16"/>
        </w:rPr>
        <w:t xml:space="preserve"> </w:t>
      </w:r>
      <w:r w:rsidRPr="00600920">
        <w:rPr>
          <w:sz w:val="16"/>
          <w:szCs w:val="16"/>
          <w:lang w:val="en-AU"/>
        </w:rPr>
        <w:t xml:space="preserve">ACOSS (2019) ‘“I regularly don’t eat at all”: Trying to get by on Newstart”’ </w:t>
      </w:r>
      <w:hyperlink r:id="rId3" w:history="1">
        <w:r w:rsidRPr="00600920">
          <w:rPr>
            <w:rStyle w:val="Hyperlink"/>
            <w:sz w:val="16"/>
            <w:szCs w:val="16"/>
            <w:lang w:val="en-AU"/>
          </w:rPr>
          <w:t>https://www.acoss.org.au/wp-content/uploads/2019/07/190729-Survey-of-people-on-Newstart-and-Youth-Allowance.pdf</w:t>
        </w:r>
      </w:hyperlink>
      <w:r w:rsidRPr="00600920">
        <w:rPr>
          <w:sz w:val="16"/>
          <w:szCs w:val="16"/>
          <w:lang w:val="en-AU"/>
        </w:rPr>
        <w:t xml:space="preserve"> </w:t>
      </w:r>
    </w:p>
  </w:footnote>
  <w:footnote w:id="7">
    <w:p w14:paraId="40D224A4" w14:textId="74593F19"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AIHW, above. </w:t>
      </w:r>
    </w:p>
  </w:footnote>
  <w:footnote w:id="8">
    <w:p w14:paraId="3BC90063" w14:textId="40C1DBFB"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See NATSEM modelling of the cost of disability: Li, J., Brown, L., La. H.N., Miranti, R., and Vidyattama, Y. (2019). Inequalities in Standards of Living: Evidence for Improved Income Support for People with Disability. NATSEM, Institute for Governance and Policy Analysis, University of Canberra. Report commissioned by the Australia Federation of Disability Organisations. September 2019.</w:t>
      </w:r>
    </w:p>
    <w:p w14:paraId="5E42F936" w14:textId="0409D8B3" w:rsidR="000C6B7B" w:rsidRPr="00600920" w:rsidRDefault="000C6B7B" w:rsidP="7B33A330">
      <w:pPr>
        <w:pStyle w:val="FootnoteText"/>
        <w:rPr>
          <w:sz w:val="16"/>
          <w:szCs w:val="16"/>
        </w:rPr>
      </w:pPr>
    </w:p>
  </w:footnote>
  <w:footnote w:id="9">
    <w:p w14:paraId="785365F1" w14:textId="2E260F2A" w:rsidR="000C6B7B" w:rsidRPr="00600920" w:rsidRDefault="000C6B7B" w:rsidP="00EF656B">
      <w:pPr>
        <w:pStyle w:val="FootnoteText"/>
        <w:rPr>
          <w:sz w:val="16"/>
          <w:szCs w:val="16"/>
          <w:lang w:val="en-AU"/>
        </w:rPr>
      </w:pPr>
      <w:r w:rsidRPr="00600920">
        <w:rPr>
          <w:rStyle w:val="FootnoteReference"/>
          <w:sz w:val="16"/>
          <w:szCs w:val="16"/>
        </w:rPr>
        <w:footnoteRef/>
      </w:r>
      <w:r w:rsidRPr="00600920">
        <w:rPr>
          <w:sz w:val="16"/>
          <w:szCs w:val="16"/>
          <w:lang w:val="en-AU"/>
        </w:rPr>
        <w:t xml:space="preserve">ACOSS was unable to cost recommendations 1 &amp; 2 in this submission because of a lack of sufficient publicly available data to model the policy. </w:t>
      </w:r>
    </w:p>
  </w:footnote>
  <w:footnote w:id="10">
    <w:p w14:paraId="538451DE" w14:textId="682111DC"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ACOSS (2020) ‘Budget Priorities Statement’ </w:t>
      </w:r>
      <w:hyperlink r:id="rId4">
        <w:r w:rsidRPr="00600920">
          <w:rPr>
            <w:rStyle w:val="Hyperlink"/>
            <w:sz w:val="16"/>
            <w:szCs w:val="16"/>
          </w:rPr>
          <w:t>https://www.acoss.org.au/wp-content/uploads/2020/02/FINAL-Accessible-ACOSS-Budget-Priority-Statement.docx</w:t>
        </w:r>
      </w:hyperlink>
      <w:r w:rsidRPr="00600920">
        <w:rPr>
          <w:sz w:val="16"/>
          <w:szCs w:val="16"/>
        </w:rPr>
        <w:t xml:space="preserve"> p.41</w:t>
      </w:r>
    </w:p>
  </w:footnote>
  <w:footnote w:id="11">
    <w:p w14:paraId="409019DF" w14:textId="7EAF90A9"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ACOSS (2020) ‘Budget Priorities Statement’ </w:t>
      </w:r>
      <w:hyperlink r:id="rId5">
        <w:r w:rsidRPr="00600920">
          <w:rPr>
            <w:rStyle w:val="Hyperlink"/>
            <w:sz w:val="16"/>
            <w:szCs w:val="16"/>
          </w:rPr>
          <w:t>https://www.acoss.org.au/wp-content/uploads/2020/02/FINAL-Accessible-ACOSS-Budget-Priority-Statement.docx</w:t>
        </w:r>
      </w:hyperlink>
    </w:p>
  </w:footnote>
  <w:footnote w:id="12">
    <w:p w14:paraId="3242A18E" w14:textId="13A64BB8"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ABS (2021), Labour Force December 2020; Frydenberg &amp; Cormann (2020), Budget Paper No 1, Australian government.</w:t>
      </w:r>
    </w:p>
  </w:footnote>
  <w:footnote w:id="13">
    <w:p w14:paraId="214B4D0F" w14:textId="65373DA0" w:rsidR="000C6B7B" w:rsidRPr="00600920" w:rsidRDefault="000C6B7B" w:rsidP="0073744E">
      <w:pPr>
        <w:spacing w:after="0"/>
        <w:rPr>
          <w:sz w:val="16"/>
          <w:szCs w:val="16"/>
        </w:rPr>
      </w:pPr>
      <w:r w:rsidRPr="00600920">
        <w:rPr>
          <w:rStyle w:val="FootnoteReference"/>
          <w:sz w:val="16"/>
          <w:szCs w:val="16"/>
        </w:rPr>
        <w:footnoteRef/>
      </w:r>
      <w:r w:rsidRPr="00600920">
        <w:rPr>
          <w:sz w:val="16"/>
          <w:szCs w:val="16"/>
        </w:rPr>
        <w:t xml:space="preserve"> ACOSS and Jobs Australia (2018): Faces of unemployment, ACOSS and Jobs Australia, Sydney. Available: </w:t>
      </w:r>
      <w:hyperlink r:id="rId6">
        <w:r w:rsidRPr="00600920">
          <w:rPr>
            <w:rStyle w:val="Hyperlink"/>
            <w:sz w:val="16"/>
            <w:szCs w:val="16"/>
          </w:rPr>
          <w:t>https://www.acoss.org.au/wp-content/uploads/2018/09/ACOSS_JA_Faces-of-Unemployment_14-September-2018_web.pdf</w:t>
        </w:r>
      </w:hyperlink>
    </w:p>
  </w:footnote>
  <w:footnote w:id="14">
    <w:p w14:paraId="0D51D32F" w14:textId="57B7116B"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ABS (2021) Labour Force, September 2020; ABS (2020), Job Vacancies, November 2020.</w:t>
      </w:r>
    </w:p>
  </w:footnote>
  <w:footnote w:id="15">
    <w:p w14:paraId="4176E704" w14:textId="471FE794"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DSS (2020), JobSeeker and Youth Allowance recipients, monthly profile, December 2020.</w:t>
      </w:r>
    </w:p>
  </w:footnote>
  <w:footnote w:id="16">
    <w:p w14:paraId="4DE8F6F4" w14:textId="63BE0C7C"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DSS (2020), DSS payment demographic data.</w:t>
      </w:r>
    </w:p>
  </w:footnote>
  <w:footnote w:id="17">
    <w:p w14:paraId="230F2C15" w14:textId="0FF73ABC" w:rsidR="000C6B7B" w:rsidRPr="00600920" w:rsidRDefault="000C6B7B">
      <w:pPr>
        <w:pStyle w:val="FootnoteText"/>
        <w:rPr>
          <w:sz w:val="16"/>
          <w:szCs w:val="16"/>
          <w:lang w:val="en-AU"/>
        </w:rPr>
      </w:pPr>
      <w:r w:rsidRPr="00600920">
        <w:rPr>
          <w:rStyle w:val="FootnoteReference"/>
          <w:sz w:val="16"/>
          <w:szCs w:val="16"/>
        </w:rPr>
        <w:footnoteRef/>
      </w:r>
      <w:r w:rsidRPr="00600920">
        <w:rPr>
          <w:sz w:val="16"/>
          <w:szCs w:val="16"/>
        </w:rPr>
        <w:t xml:space="preserve"> Department of Employment (2014): Effectiveness of wage subsidies in Job Services Australia, Department of Employment, Canberra. Department of Jobs and Small Business (2015): Work for the Dole 2014-15 evaluation report, Department of Jobs and Small Business, Canberra. Available: </w:t>
      </w:r>
      <w:hyperlink r:id="rId7">
        <w:r w:rsidRPr="00600920">
          <w:rPr>
            <w:rStyle w:val="Hyperlink"/>
            <w:sz w:val="16"/>
            <w:szCs w:val="16"/>
          </w:rPr>
          <w:t>https://docs.employment.gov.au/documents/work-dole-2014-15-evaluation-report</w:t>
        </w:r>
      </w:hyperlink>
    </w:p>
  </w:footnote>
  <w:footnote w:id="18">
    <w:p w14:paraId="49EA6534" w14:textId="5FE1F913"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Our detailed proposals to extend Jobmaker subsidies to people unemployed long-term regardless of age are in </w:t>
      </w:r>
      <w:hyperlink r:id="rId8">
        <w:r w:rsidRPr="00600920">
          <w:rPr>
            <w:rStyle w:val="Hyperlink"/>
            <w:sz w:val="16"/>
            <w:szCs w:val="16"/>
          </w:rPr>
          <w:t>https://www.acoss.org.au/wp-content/uploads/2020/10/23102020_ACOSS-Submission_JobMaker-Wage-Subsidies_Final.pdf</w:t>
        </w:r>
      </w:hyperlink>
      <w:r w:rsidRPr="00600920">
        <w:rPr>
          <w:sz w:val="16"/>
          <w:szCs w:val="16"/>
        </w:rPr>
        <w:t xml:space="preserve"> </w:t>
      </w:r>
    </w:p>
  </w:footnote>
  <w:footnote w:id="19">
    <w:p w14:paraId="674DA7F0" w14:textId="304CF316"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More detail on our proposals for local employment and skills partnerships is at: </w:t>
      </w:r>
      <w:hyperlink r:id="rId9">
        <w:r w:rsidRPr="00600920">
          <w:rPr>
            <w:rStyle w:val="Hyperlink"/>
            <w:sz w:val="16"/>
            <w:szCs w:val="16"/>
          </w:rPr>
          <w:t>https://www.acoss.org.au/wp-content/uploads/2020/08/200812-Local-employment-and-skills-development-partnerships-FINAL-2.pdf</w:t>
        </w:r>
      </w:hyperlink>
      <w:r w:rsidRPr="00600920">
        <w:rPr>
          <w:sz w:val="16"/>
          <w:szCs w:val="16"/>
        </w:rPr>
        <w:t xml:space="preserve"> </w:t>
      </w:r>
    </w:p>
  </w:footnote>
  <w:footnote w:id="20">
    <w:p w14:paraId="2F904558" w14:textId="50111E8A"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44% of adults lack the literacy skills required in everyday life and a substantial share of those who have lost jobs recently do not have English as a first language (OECD 2019, Skills Matter: Additional Results from the Survey of Adult Skills) at </w:t>
      </w:r>
      <w:hyperlink r:id="rId10">
        <w:r w:rsidRPr="00600920">
          <w:rPr>
            <w:rStyle w:val="Hyperlink"/>
            <w:sz w:val="16"/>
            <w:szCs w:val="16"/>
          </w:rPr>
          <w:t>https://www.oecd.org/skills/piaac/</w:t>
        </w:r>
      </w:hyperlink>
      <w:r w:rsidRPr="00600920">
        <w:rPr>
          <w:sz w:val="16"/>
          <w:szCs w:val="16"/>
        </w:rPr>
        <w:t xml:space="preserve"> </w:t>
      </w:r>
    </w:p>
  </w:footnote>
  <w:footnote w:id="21">
    <w:p w14:paraId="3397B61F" w14:textId="1720DA9E" w:rsidR="000C6B7B" w:rsidRPr="00600920" w:rsidRDefault="000C6B7B">
      <w:pPr>
        <w:pStyle w:val="FootnoteText"/>
        <w:rPr>
          <w:sz w:val="16"/>
          <w:szCs w:val="16"/>
          <w:lang w:val="en-AU"/>
        </w:rPr>
      </w:pPr>
      <w:r w:rsidRPr="00600920">
        <w:rPr>
          <w:rStyle w:val="FootnoteReference"/>
          <w:sz w:val="16"/>
          <w:szCs w:val="16"/>
        </w:rPr>
        <w:footnoteRef/>
      </w:r>
      <w:r w:rsidRPr="00600920">
        <w:rPr>
          <w:sz w:val="16"/>
          <w:szCs w:val="16"/>
        </w:rPr>
        <w:t xml:space="preserve"> ACOSS (2019): The future of ParentsNext: Submission to Senate Community Affairs Committee, ACOSS, Sydney. Available: https://www.acoss.org.au/wp-content/uploads/2019/02/ACOSS-submission-into-Parents-Next_FINAL.pdf</w:t>
      </w:r>
    </w:p>
  </w:footnote>
  <w:footnote w:id="22">
    <w:p w14:paraId="7B98AAF5" w14:textId="25241050"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Employment Service Expert Panel (2019), I want to work. Australian government. </w:t>
      </w:r>
    </w:p>
  </w:footnote>
  <w:footnote w:id="23">
    <w:p w14:paraId="1A6C6694" w14:textId="698E0DB7"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Our more detailed proposals for the licensing system, commissioning arrangements and fee structure of future employment services are at:</w:t>
      </w:r>
    </w:p>
    <w:p w14:paraId="0A298C07" w14:textId="7305E6D3" w:rsidR="000C6B7B" w:rsidRPr="00600920" w:rsidRDefault="000C6B7B" w:rsidP="7B33A330">
      <w:pPr>
        <w:pStyle w:val="FootnoteText"/>
        <w:rPr>
          <w:sz w:val="16"/>
          <w:szCs w:val="16"/>
        </w:rPr>
      </w:pPr>
      <w:hyperlink r:id="rId11">
        <w:r w:rsidRPr="00600920">
          <w:rPr>
            <w:rStyle w:val="Hyperlink"/>
            <w:sz w:val="16"/>
            <w:szCs w:val="16"/>
          </w:rPr>
          <w:t>https://www.acoss.org.au/wp-content/uploads/2020/11/acoss-submission-employment-service-licensing.pdf</w:t>
        </w:r>
      </w:hyperlink>
      <w:r w:rsidRPr="00600920">
        <w:rPr>
          <w:sz w:val="16"/>
          <w:szCs w:val="16"/>
        </w:rPr>
        <w:t xml:space="preserve"> and </w:t>
      </w:r>
    </w:p>
    <w:p w14:paraId="7B85ED22" w14:textId="4610F30E" w:rsidR="000C6B7B" w:rsidRPr="00600920" w:rsidRDefault="000C6B7B" w:rsidP="7B33A330">
      <w:pPr>
        <w:pStyle w:val="FootnoteText"/>
        <w:rPr>
          <w:sz w:val="16"/>
          <w:szCs w:val="16"/>
        </w:rPr>
      </w:pPr>
      <w:hyperlink r:id="rId12">
        <w:r w:rsidRPr="00600920">
          <w:rPr>
            <w:rStyle w:val="Hyperlink"/>
            <w:sz w:val="16"/>
            <w:szCs w:val="16"/>
          </w:rPr>
          <w:t>https://www.acoss.org.au/wp-content/uploads/2021/01/201208-ACOSS-submission-new-employment-service-payment-model.pdf</w:t>
        </w:r>
      </w:hyperlink>
      <w:r w:rsidRPr="00600920">
        <w:rPr>
          <w:sz w:val="16"/>
          <w:szCs w:val="16"/>
        </w:rPr>
        <w:t xml:space="preserve"> </w:t>
      </w:r>
    </w:p>
  </w:footnote>
  <w:footnote w:id="24">
    <w:p w14:paraId="5C564214" w14:textId="57BB8FE5" w:rsidR="000C6B7B" w:rsidRPr="00600920" w:rsidRDefault="000C6B7B">
      <w:pPr>
        <w:pStyle w:val="FootnoteText"/>
        <w:rPr>
          <w:sz w:val="16"/>
          <w:szCs w:val="16"/>
          <w:lang w:val="en-AU"/>
        </w:rPr>
      </w:pPr>
      <w:r w:rsidRPr="00600920">
        <w:rPr>
          <w:rStyle w:val="FootnoteReference"/>
          <w:sz w:val="16"/>
          <w:szCs w:val="16"/>
        </w:rPr>
        <w:footnoteRef/>
      </w:r>
      <w:r w:rsidRPr="00600920">
        <w:rPr>
          <w:sz w:val="16"/>
          <w:szCs w:val="16"/>
        </w:rPr>
        <w:t xml:space="preserve"> Martin, J (2015): ‘Activation and active labour market policies in OECD countries: Stylised facts and evidence on their effectiveness’, IZA Journal of Labor Policy, 4:4, 2015, Springer Open, New York. Available: doi:10.1186/s40173-015-0032-y</w:t>
      </w:r>
    </w:p>
  </w:footnote>
  <w:footnote w:id="25">
    <w:p w14:paraId="63D853EE" w14:textId="665FAE6C" w:rsidR="000C6B7B" w:rsidRPr="00600920" w:rsidRDefault="000C6B7B">
      <w:pPr>
        <w:pStyle w:val="FootnoteText"/>
        <w:rPr>
          <w:sz w:val="16"/>
          <w:szCs w:val="16"/>
          <w:lang w:val="en-AU"/>
        </w:rPr>
      </w:pPr>
      <w:r w:rsidRPr="00600920">
        <w:rPr>
          <w:rStyle w:val="FootnoteReference"/>
          <w:sz w:val="16"/>
          <w:szCs w:val="16"/>
        </w:rPr>
        <w:footnoteRef/>
      </w:r>
      <w:r w:rsidRPr="00600920">
        <w:rPr>
          <w:sz w:val="16"/>
          <w:szCs w:val="16"/>
        </w:rPr>
        <w:t xml:space="preserve"> Taulbot et al. (2018): ‘JobSeeker’s Allowance benefit sanctions and labour market outcomes in Britain 2001-14’, Cambridge Journal of Economics, 42:5, 2018, Oxford Academic, Oxford, at: https://doi.org/10.1093/cje/bex088.</w:t>
      </w:r>
    </w:p>
  </w:footnote>
  <w:footnote w:id="26">
    <w:p w14:paraId="3AC747B4" w14:textId="670F7687" w:rsidR="000C6B7B" w:rsidRPr="00600920" w:rsidRDefault="000C6B7B">
      <w:pPr>
        <w:pStyle w:val="FootnoteText"/>
        <w:rPr>
          <w:sz w:val="16"/>
          <w:szCs w:val="16"/>
          <w:lang w:val="en-AU"/>
        </w:rPr>
      </w:pPr>
      <w:r w:rsidRPr="00600920">
        <w:rPr>
          <w:rStyle w:val="FootnoteReference"/>
          <w:sz w:val="16"/>
          <w:szCs w:val="16"/>
        </w:rPr>
        <w:footnoteRef/>
      </w:r>
      <w:r w:rsidRPr="00600920">
        <w:rPr>
          <w:sz w:val="16"/>
          <w:szCs w:val="16"/>
        </w:rPr>
        <w:t xml:space="preserve"> Langenbucher, K (2015): How demanding are eligibility criteria for unemployment benefits? Quantitative indicators for OECD and EU countries, OECD Social, Employment and Migration Working Paper No. 166, Paris, at: https://doi.org/10.1787/1815199X</w:t>
      </w:r>
    </w:p>
  </w:footnote>
  <w:footnote w:id="27">
    <w:p w14:paraId="0329061C" w14:textId="3B267868" w:rsidR="000C6B7B" w:rsidRPr="00600920" w:rsidRDefault="000C6B7B">
      <w:pPr>
        <w:pStyle w:val="FootnoteText"/>
        <w:rPr>
          <w:sz w:val="16"/>
          <w:szCs w:val="16"/>
          <w:lang w:val="en-AU"/>
        </w:rPr>
      </w:pPr>
      <w:r w:rsidRPr="00600920">
        <w:rPr>
          <w:rStyle w:val="FootnoteReference"/>
          <w:sz w:val="16"/>
          <w:szCs w:val="16"/>
        </w:rPr>
        <w:footnoteRef/>
      </w:r>
      <w:r w:rsidRPr="00600920">
        <w:rPr>
          <w:sz w:val="16"/>
          <w:szCs w:val="16"/>
        </w:rPr>
        <w:t xml:space="preserve"> Aboriginal Peak Organisations Northern Territory (2017): Fair work and strong communities: Proposal for a remote development and employment scheme, APONT, Darwin. Available: </w:t>
      </w:r>
      <w:hyperlink r:id="rId13" w:history="1">
        <w:r w:rsidRPr="00600920">
          <w:rPr>
            <w:rStyle w:val="Hyperlink"/>
            <w:sz w:val="16"/>
            <w:szCs w:val="16"/>
          </w:rPr>
          <w:t>http://www.amsant.org.au/apont/wp-content/uploads/2017/07/RDES-Report_Online.pdf</w:t>
        </w:r>
      </w:hyperlink>
      <w:r w:rsidRPr="00600920">
        <w:rPr>
          <w:sz w:val="16"/>
          <w:szCs w:val="16"/>
        </w:rPr>
        <w:t xml:space="preserve">; Fair Work and Strong Communities Alliance (2019): Fair work and strong communities alliance website, </w:t>
      </w:r>
      <w:hyperlink r:id="rId14" w:history="1">
        <w:r w:rsidRPr="00600920">
          <w:rPr>
            <w:rStyle w:val="Hyperlink"/>
            <w:sz w:val="16"/>
            <w:szCs w:val="16"/>
          </w:rPr>
          <w:t>www.fairworkstrongcommunities.org</w:t>
        </w:r>
      </w:hyperlink>
      <w:r w:rsidRPr="00600920">
        <w:rPr>
          <w:sz w:val="16"/>
          <w:szCs w:val="16"/>
        </w:rPr>
        <w:t>, accessed 16 December 2019</w:t>
      </w:r>
    </w:p>
  </w:footnote>
  <w:footnote w:id="28">
    <w:p w14:paraId="259792F8" w14:textId="5B23D803"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https://www2.deloitte.com/au/en/pages/economics/articles/new-choice-climate-growth.html</w:t>
      </w:r>
    </w:p>
  </w:footnote>
  <w:footnote w:id="29">
    <w:p w14:paraId="466AAFBF" w14:textId="33A35998"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hyperlink r:id="rId15" w:history="1">
        <w:r w:rsidRPr="00600920">
          <w:rPr>
            <w:rStyle w:val="Hyperlink"/>
            <w:sz w:val="16"/>
            <w:szCs w:val="16"/>
          </w:rPr>
          <w:t>https://www.acoss.org.au/wp-content/uploads/2020/12/ACOSS-Health-of-the-NEM-report-2020.pdf</w:t>
        </w:r>
      </w:hyperlink>
      <w:r w:rsidRPr="00600920">
        <w:rPr>
          <w:sz w:val="16"/>
          <w:szCs w:val="16"/>
        </w:rPr>
        <w:t xml:space="preserve"> </w:t>
      </w:r>
    </w:p>
    <w:p w14:paraId="095F4768" w14:textId="676EDCFC" w:rsidR="000C6B7B" w:rsidRPr="00600920" w:rsidRDefault="000C6B7B" w:rsidP="7B33A330">
      <w:pPr>
        <w:pStyle w:val="FootnoteText"/>
        <w:rPr>
          <w:sz w:val="16"/>
          <w:szCs w:val="16"/>
        </w:rPr>
      </w:pPr>
    </w:p>
  </w:footnote>
  <w:footnote w:id="30">
    <w:p w14:paraId="03D06D2B" w14:textId="049A8A6A" w:rsidR="000C6B7B" w:rsidRPr="00600920" w:rsidRDefault="000C6B7B" w:rsidP="006104B1">
      <w:pPr>
        <w:pStyle w:val="FootnoteText"/>
        <w:rPr>
          <w:sz w:val="16"/>
          <w:szCs w:val="16"/>
        </w:rPr>
      </w:pPr>
      <w:r w:rsidRPr="00600920">
        <w:rPr>
          <w:rStyle w:val="FootnoteReference"/>
          <w:sz w:val="16"/>
          <w:szCs w:val="16"/>
        </w:rPr>
        <w:footnoteRef/>
      </w:r>
      <w:r w:rsidRPr="00600920">
        <w:rPr>
          <w:sz w:val="16"/>
          <w:szCs w:val="16"/>
        </w:rPr>
        <w:t xml:space="preserve"> Australian Consumer and Competition </w:t>
      </w:r>
      <w:proofErr w:type="spellStart"/>
      <w:r w:rsidRPr="00600920">
        <w:rPr>
          <w:sz w:val="16"/>
          <w:szCs w:val="16"/>
        </w:rPr>
        <w:t>Commisson</w:t>
      </w:r>
      <w:proofErr w:type="spellEnd"/>
      <w:r w:rsidRPr="00600920">
        <w:rPr>
          <w:sz w:val="16"/>
          <w:szCs w:val="16"/>
        </w:rPr>
        <w:t xml:space="preserve"> (2018) </w:t>
      </w:r>
      <w:hyperlink r:id="rId16" w:history="1">
        <w:r w:rsidRPr="00600920">
          <w:rPr>
            <w:rStyle w:val="Hyperlink"/>
            <w:sz w:val="16"/>
            <w:szCs w:val="16"/>
          </w:rPr>
          <w:t>https://www.accc.gov.au/system/files/Retail%20Electricity%20Pricing%20Inquiry%e2%80%94Final%20Report%20June%202018_Exec%20summary.pdf</w:t>
        </w:r>
      </w:hyperlink>
      <w:r w:rsidRPr="00600920">
        <w:rPr>
          <w:sz w:val="16"/>
          <w:szCs w:val="16"/>
        </w:rPr>
        <w:t xml:space="preserve"> recommendation 24.</w:t>
      </w:r>
    </w:p>
  </w:footnote>
  <w:footnote w:id="31">
    <w:p w14:paraId="25F5EEAC" w14:textId="77777777" w:rsidR="000C6B7B" w:rsidRPr="00600920" w:rsidRDefault="000C6B7B" w:rsidP="006104B1">
      <w:pPr>
        <w:rPr>
          <w:sz w:val="16"/>
          <w:szCs w:val="16"/>
        </w:rPr>
      </w:pPr>
    </w:p>
  </w:footnote>
  <w:footnote w:id="32">
    <w:p w14:paraId="62E53A84" w14:textId="5F1A82C2"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ACOSS (2020) Health of the NEM 2020: Current and Emerging affordability issues for people on low incomes. </w:t>
      </w:r>
      <w:hyperlink r:id="rId17" w:history="1">
        <w:r w:rsidRPr="00600920">
          <w:rPr>
            <w:rStyle w:val="Hyperlink"/>
            <w:sz w:val="16"/>
            <w:szCs w:val="16"/>
          </w:rPr>
          <w:t>https://www.acoss.org.au/wp-content/uploads/2020/12/ACOSS-Health-of-the-NEM-report-2020.pdf</w:t>
        </w:r>
      </w:hyperlink>
      <w:r w:rsidRPr="00600920">
        <w:rPr>
          <w:sz w:val="16"/>
          <w:szCs w:val="16"/>
        </w:rPr>
        <w:t xml:space="preserve"> </w:t>
      </w:r>
    </w:p>
  </w:footnote>
  <w:footnote w:id="33">
    <w:p w14:paraId="6A27CFCD" w14:textId="2BF194C1"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Calculations based on small-scale technology certificate (STC) forecast modelling produced for the Clean Energy Regulator by Jacobs </w:t>
      </w:r>
      <w:hyperlink r:id="rId18">
        <w:r w:rsidRPr="00600920">
          <w:rPr>
            <w:rStyle w:val="Hyperlink"/>
            <w:sz w:val="16"/>
            <w:szCs w:val="16"/>
          </w:rPr>
          <w:t>http://www.cleanenergyregulator.gov.au/DocumentAssets/Documents/STC%20modelling%20report%20by%20Jacobs%20-%20January%202020.pdf</w:t>
        </w:r>
      </w:hyperlink>
      <w:r w:rsidRPr="00600920">
        <w:rPr>
          <w:sz w:val="16"/>
          <w:szCs w:val="16"/>
        </w:rPr>
        <w:t>. The number of forecasts certificates were multiplied by STC spot price of $37.25 (the 2020 STC spot price ranged from $37.25 to $37.95)</w:t>
      </w:r>
    </w:p>
  </w:footnote>
  <w:footnote w:id="34">
    <w:p w14:paraId="62266388" w14:textId="266DB743"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Based on analysis of budget proposals of ALP and Greens, ACOSS proposes $15 million over 4 years, assuming less costs in first year of establishing the Just Transition Authority and programs.</w:t>
      </w:r>
    </w:p>
  </w:footnote>
  <w:footnote w:id="35">
    <w:p w14:paraId="24059770" w14:textId="422A4D8A"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ACOSS has estimated costings based on there being 537 local councils and federal Government contribute a minimum $100,000 to each council.</w:t>
      </w:r>
    </w:p>
  </w:footnote>
  <w:footnote w:id="36">
    <w:p w14:paraId="5AB1E617" w14:textId="002E3865"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ACOSS has estimated costings based on an initial investment of $1 million outlay per community hub in yr 1 and $1.1 million in yr 2, to staff, accommodate and resource the hub. There are approximately 537 local councils. Bringing total cost to $537 million in 2021/22 and 590 million in 22/23. The federal Government contribute half the costs, matched by States.</w:t>
      </w:r>
    </w:p>
    <w:p w14:paraId="1A1FC83B" w14:textId="72F1804E" w:rsidR="000C6B7B" w:rsidRPr="00600920" w:rsidRDefault="000C6B7B" w:rsidP="7B33A330">
      <w:pPr>
        <w:pStyle w:val="FootnoteText"/>
        <w:rPr>
          <w:sz w:val="16"/>
          <w:szCs w:val="16"/>
        </w:rPr>
      </w:pPr>
    </w:p>
  </w:footnote>
  <w:footnote w:id="37">
    <w:p w14:paraId="7233C194" w14:textId="77777777" w:rsidR="000C6B7B" w:rsidRPr="00600920" w:rsidRDefault="000C6B7B" w:rsidP="006104B1">
      <w:pPr>
        <w:pStyle w:val="FootnoteText"/>
        <w:rPr>
          <w:sz w:val="16"/>
          <w:szCs w:val="16"/>
        </w:rPr>
      </w:pPr>
      <w:r w:rsidRPr="00600920">
        <w:rPr>
          <w:rStyle w:val="FootnoteReference"/>
          <w:sz w:val="16"/>
          <w:szCs w:val="16"/>
        </w:rPr>
        <w:footnoteRef/>
      </w:r>
      <w:r w:rsidRPr="00600920">
        <w:rPr>
          <w:sz w:val="16"/>
          <w:szCs w:val="16"/>
        </w:rPr>
        <w:t xml:space="preserve"> D</w:t>
      </w:r>
      <w:r w:rsidRPr="00600920">
        <w:rPr>
          <w:rFonts w:eastAsia="Calibri" w:cs="Calibri"/>
          <w:sz w:val="16"/>
          <w:szCs w:val="16"/>
        </w:rPr>
        <w:t>isaster Recovery Allowance recipients are currently ineligible to receive Commonwealth Rent Assistance</w:t>
      </w:r>
    </w:p>
  </w:footnote>
  <w:footnote w:id="38">
    <w:p w14:paraId="46964114" w14:textId="77777777" w:rsidR="000C6B7B" w:rsidRPr="00600920" w:rsidRDefault="000C6B7B" w:rsidP="006104B1">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 xml:space="preserve">Australian Red Cross (2019): </w:t>
      </w:r>
      <w:hyperlink r:id="rId19">
        <w:r w:rsidRPr="00600920">
          <w:rPr>
            <w:rStyle w:val="Hyperlink"/>
            <w:rFonts w:eastAsia="Verdana" w:cs="Verdana"/>
            <w:sz w:val="16"/>
            <w:szCs w:val="16"/>
          </w:rPr>
          <w:t>Create an emergency plan website</w:t>
        </w:r>
      </w:hyperlink>
      <w:r w:rsidRPr="00600920">
        <w:rPr>
          <w:rFonts w:eastAsia="Verdana" w:cs="Verdana"/>
          <w:sz w:val="16"/>
          <w:szCs w:val="16"/>
        </w:rPr>
        <w:t>, accessed 16 December 2019</w:t>
      </w:r>
    </w:p>
  </w:footnote>
  <w:footnote w:id="39">
    <w:p w14:paraId="4C559B30" w14:textId="77777777" w:rsidR="000C6B7B" w:rsidRPr="00600920" w:rsidRDefault="000C6B7B" w:rsidP="003C73EF">
      <w:pPr>
        <w:pStyle w:val="FootnoteText"/>
        <w:rPr>
          <w:rFonts w:eastAsia="Verdana" w:cs="Verdana"/>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ACOSS has estimated costings utilising an estimation of 14,000 community service organisations under DSS service provision. ACOSS has allowed for up to 25% of community sector organisations to access the fund a year at an average cost to deliver RediPlan for clients and other relevant plans of up to $50,000 per organisation</w:t>
      </w:r>
    </w:p>
  </w:footnote>
  <w:footnote w:id="40">
    <w:p w14:paraId="227F0A54" w14:textId="77777777" w:rsidR="000C6B7B" w:rsidRPr="00600920" w:rsidRDefault="000C6B7B" w:rsidP="00D167CF">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 xml:space="preserve">ACOSS has developed a Resilient Community Organisations Toolkit specifically designed for community sector organisations, but there is a need to deliver training and build a community of practice to community service organisations to implement the toolkit and develop disaster management. See ACOSS (2015): </w:t>
      </w:r>
      <w:hyperlink r:id="rId20">
        <w:r w:rsidRPr="00600920">
          <w:rPr>
            <w:rStyle w:val="Hyperlink"/>
            <w:rFonts w:eastAsia="Verdana" w:cs="Verdana"/>
            <w:sz w:val="16"/>
            <w:szCs w:val="16"/>
          </w:rPr>
          <w:t>Resilient community organisations website</w:t>
        </w:r>
      </w:hyperlink>
      <w:r w:rsidRPr="00600920">
        <w:rPr>
          <w:rFonts w:eastAsia="Verdana" w:cs="Verdana"/>
          <w:sz w:val="16"/>
          <w:szCs w:val="16"/>
        </w:rPr>
        <w:t>, accessed 16 December 2019.</w:t>
      </w:r>
    </w:p>
  </w:footnote>
  <w:footnote w:id="41">
    <w:p w14:paraId="72E94482" w14:textId="0BF6F459"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ACOSS has estimated costings utilising an estimation of 14,000 community service organisations under DSS service provision. ACOSS has assumed up to 50% of these organisations would be required to participate in local disaster management at an average cost of $30,000 per organisation.</w:t>
      </w:r>
    </w:p>
  </w:footnote>
  <w:footnote w:id="42">
    <w:p w14:paraId="4D7B20EA" w14:textId="77777777"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ACOSS has estimated costings utilising an estimation of 14,000 community service organisations under DSS service provision. ACOSS has assumed up to 20% a year may be affected by extreme weather events and estimate an average of up to $50,000 per organisation would be required to manage surge capacity, compensation for additional service provision, and enable community sector organisations to adapt and recover.</w:t>
      </w:r>
    </w:p>
  </w:footnote>
  <w:footnote w:id="43">
    <w:p w14:paraId="2270FEE1" w14:textId="77777777" w:rsidR="000C6B7B" w:rsidRPr="00600920" w:rsidRDefault="000C6B7B" w:rsidP="001E1F7F">
      <w:pPr>
        <w:pStyle w:val="FootnoteText"/>
        <w:rPr>
          <w:sz w:val="16"/>
          <w:szCs w:val="16"/>
        </w:rPr>
      </w:pPr>
      <w:r w:rsidRPr="00600920">
        <w:rPr>
          <w:rStyle w:val="FootnoteReference"/>
          <w:sz w:val="16"/>
          <w:szCs w:val="16"/>
        </w:rPr>
        <w:footnoteRef/>
      </w:r>
      <w:r w:rsidRPr="00600920">
        <w:rPr>
          <w:sz w:val="16"/>
          <w:szCs w:val="16"/>
        </w:rPr>
        <w:t xml:space="preserve"> ACOSS (2019), How to reduce homelessness and boost incomes and jobs: Social housing as infrastructure.</w:t>
      </w:r>
    </w:p>
    <w:p w14:paraId="63EEC285" w14:textId="77777777" w:rsidR="000C6B7B" w:rsidRPr="00600920" w:rsidRDefault="000C6B7B" w:rsidP="001E1F7F">
      <w:pPr>
        <w:pStyle w:val="FootnoteText"/>
        <w:rPr>
          <w:sz w:val="16"/>
          <w:szCs w:val="16"/>
        </w:rPr>
      </w:pPr>
      <w:hyperlink r:id="rId21" w:history="1">
        <w:r w:rsidRPr="00600920">
          <w:rPr>
            <w:rStyle w:val="Hyperlink"/>
            <w:sz w:val="16"/>
            <w:szCs w:val="16"/>
          </w:rPr>
          <w:t>https://www.acoss.org.au/wp-content/uploads/2019/08/ACOSS-Brief-Social-Housing-Investment-as-Infrastructure.pdf</w:t>
        </w:r>
      </w:hyperlink>
      <w:r w:rsidRPr="00600920">
        <w:rPr>
          <w:sz w:val="16"/>
          <w:szCs w:val="16"/>
        </w:rPr>
        <w:t xml:space="preserve"> </w:t>
      </w:r>
    </w:p>
  </w:footnote>
  <w:footnote w:id="44">
    <w:p w14:paraId="59A95EC7" w14:textId="77777777" w:rsidR="000C6B7B" w:rsidRPr="00600920" w:rsidRDefault="000C6B7B" w:rsidP="001E1F7F">
      <w:pPr>
        <w:pStyle w:val="FootnoteText"/>
        <w:rPr>
          <w:sz w:val="16"/>
          <w:szCs w:val="16"/>
        </w:rPr>
      </w:pPr>
      <w:r w:rsidRPr="00600920">
        <w:rPr>
          <w:rStyle w:val="FootnoteReference"/>
          <w:sz w:val="16"/>
          <w:szCs w:val="16"/>
        </w:rPr>
        <w:footnoteRef/>
      </w:r>
      <w:r w:rsidRPr="00600920">
        <w:rPr>
          <w:sz w:val="16"/>
          <w:szCs w:val="16"/>
        </w:rPr>
        <w:t xml:space="preserve"> KPMG (2012), Social Housing Initiative Review – Report to Housing Ministers’ Advisory Committee.</w:t>
      </w:r>
    </w:p>
  </w:footnote>
  <w:footnote w:id="45">
    <w:p w14:paraId="51A5D8CD" w14:textId="77777777" w:rsidR="000C6B7B" w:rsidRPr="00600920" w:rsidRDefault="000C6B7B" w:rsidP="001E1F7F">
      <w:pPr>
        <w:pStyle w:val="FootnoteText"/>
        <w:rPr>
          <w:sz w:val="16"/>
          <w:szCs w:val="16"/>
        </w:rPr>
      </w:pPr>
      <w:r w:rsidRPr="00600920">
        <w:rPr>
          <w:rStyle w:val="FootnoteReference"/>
          <w:sz w:val="16"/>
          <w:szCs w:val="16"/>
        </w:rPr>
        <w:footnoteRef/>
      </w:r>
      <w:r w:rsidRPr="00600920">
        <w:rPr>
          <w:sz w:val="16"/>
          <w:szCs w:val="16"/>
        </w:rPr>
        <w:t xml:space="preserve"> </w:t>
      </w:r>
      <w:hyperlink r:id="rId22" w:history="1">
        <w:r w:rsidRPr="00600920">
          <w:rPr>
            <w:rStyle w:val="Hyperlink"/>
            <w:sz w:val="16"/>
            <w:szCs w:val="16"/>
          </w:rPr>
          <w:t>https://www.communityhousing.com.au/wp-content/uploads/2020/05/SHARP-Full-Report-1.pdf?x73896</w:t>
        </w:r>
      </w:hyperlink>
      <w:r w:rsidRPr="00600920">
        <w:rPr>
          <w:sz w:val="16"/>
          <w:szCs w:val="16"/>
        </w:rPr>
        <w:t xml:space="preserve"> </w:t>
      </w:r>
    </w:p>
  </w:footnote>
  <w:footnote w:id="46">
    <w:p w14:paraId="38329027" w14:textId="69DEDED3" w:rsidR="000C6B7B" w:rsidRPr="00600920" w:rsidRDefault="000C6B7B" w:rsidP="00D67482">
      <w:pPr>
        <w:rPr>
          <w:rFonts w:eastAsia="Times New Roman" w:cs="Times New Roman"/>
          <w:color w:val="auto"/>
          <w:sz w:val="16"/>
          <w:szCs w:val="16"/>
        </w:rPr>
      </w:pPr>
      <w:r w:rsidRPr="00600920">
        <w:rPr>
          <w:rStyle w:val="FootnoteReference"/>
          <w:sz w:val="16"/>
          <w:szCs w:val="16"/>
        </w:rPr>
        <w:footnoteRef/>
      </w:r>
      <w:r w:rsidRPr="00600920">
        <w:rPr>
          <w:sz w:val="16"/>
          <w:szCs w:val="16"/>
        </w:rPr>
        <w:t xml:space="preserve"> </w:t>
      </w:r>
      <w:r w:rsidRPr="00600920">
        <w:rPr>
          <w:rFonts w:eastAsia="Times New Roman" w:cs="Times New Roman"/>
          <w:color w:val="auto"/>
          <w:sz w:val="16"/>
          <w:szCs w:val="16"/>
        </w:rPr>
        <w:t xml:space="preserve">Cortis, N &amp; Blaxland, M (2020): Australia’s community sector and COVID-19: Supporting communities through the crisis. Sydney: ACOSS </w:t>
      </w:r>
      <w:hyperlink r:id="rId23">
        <w:r w:rsidRPr="00600920">
          <w:rPr>
            <w:rStyle w:val="Hyperlink"/>
            <w:sz w:val="16"/>
            <w:szCs w:val="16"/>
          </w:rPr>
          <w:t>https://www.acoss.org.au/wp-content/uploads/2020/09/Australias-community-sector-and-Covid-19_FINAL.pdf</w:t>
        </w:r>
      </w:hyperlink>
      <w:r w:rsidRPr="00600920">
        <w:rPr>
          <w:sz w:val="16"/>
          <w:szCs w:val="16"/>
        </w:rPr>
        <w:t xml:space="preserve"> </w:t>
      </w:r>
    </w:p>
  </w:footnote>
  <w:footnote w:id="47">
    <w:p w14:paraId="641E21AD" w14:textId="454425A1" w:rsidR="000C6B7B" w:rsidRPr="00600920" w:rsidRDefault="000C6B7B" w:rsidP="7B33A330">
      <w:pPr>
        <w:spacing w:line="276" w:lineRule="auto"/>
        <w:rPr>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McLeod, J. 2020, Where to from here? The outlook for philanthropy during COVID-19. JBWere</w:t>
      </w:r>
    </w:p>
    <w:p w14:paraId="7377364A" w14:textId="7C5E31C0" w:rsidR="000C6B7B" w:rsidRPr="00600920" w:rsidRDefault="000C6B7B" w:rsidP="7B33A330">
      <w:pPr>
        <w:pStyle w:val="FootnoteText"/>
        <w:rPr>
          <w:sz w:val="16"/>
          <w:szCs w:val="16"/>
        </w:rPr>
      </w:pPr>
    </w:p>
  </w:footnote>
  <w:footnote w:id="48">
    <w:p w14:paraId="3A878E62" w14:textId="04E5FE3A" w:rsidR="000C6B7B" w:rsidRPr="00600920" w:rsidRDefault="000C6B7B" w:rsidP="7B33A330">
      <w:pPr>
        <w:spacing w:line="276" w:lineRule="auto"/>
        <w:rPr>
          <w:rFonts w:eastAsia="Calibri" w:cs="Calibri"/>
          <w:sz w:val="16"/>
          <w:szCs w:val="16"/>
        </w:rPr>
      </w:pPr>
      <w:r w:rsidRPr="00600920">
        <w:rPr>
          <w:rStyle w:val="FootnoteReference"/>
          <w:sz w:val="16"/>
          <w:szCs w:val="16"/>
        </w:rPr>
        <w:footnoteRef/>
      </w:r>
      <w:r w:rsidRPr="00600920">
        <w:rPr>
          <w:sz w:val="16"/>
          <w:szCs w:val="16"/>
        </w:rPr>
        <w:t xml:space="preserve"> </w:t>
      </w:r>
      <w:r w:rsidRPr="00600920">
        <w:rPr>
          <w:rFonts w:eastAsia="Calibri" w:cs="Calibri"/>
          <w:sz w:val="16"/>
          <w:szCs w:val="16"/>
        </w:rPr>
        <w:t xml:space="preserve">Nous, 2020, </w:t>
      </w:r>
      <w:r w:rsidRPr="00600920">
        <w:rPr>
          <w:rFonts w:eastAsia="Calibri" w:cs="Calibri"/>
          <w:i/>
          <w:iCs/>
          <w:sz w:val="16"/>
          <w:szCs w:val="16"/>
        </w:rPr>
        <w:t>UNAP Review – COAG Education Council</w:t>
      </w:r>
      <w:r w:rsidRPr="00600920">
        <w:rPr>
          <w:rFonts w:eastAsia="Calibri" w:cs="Calibri"/>
          <w:sz w:val="16"/>
          <w:szCs w:val="16"/>
        </w:rPr>
        <w:t xml:space="preserve">, Nous, </w:t>
      </w:r>
      <w:hyperlink r:id="rId24">
        <w:r w:rsidRPr="00600920">
          <w:rPr>
            <w:rStyle w:val="Hyperlink"/>
            <w:rFonts w:eastAsia="Calibri" w:cs="Calibri"/>
            <w:sz w:val="16"/>
            <w:szCs w:val="16"/>
          </w:rPr>
          <w:t>http://www.educationcouncil.edu.au/site/DefaultSite/filesystem/documents/Reports%20and%20publications/UANP%20Review%20Report.pdf</w:t>
        </w:r>
      </w:hyperlink>
    </w:p>
  </w:footnote>
  <w:footnote w:id="49">
    <w:p w14:paraId="2F55646D" w14:textId="23D18FD7"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Calibri" w:cs="Calibri"/>
          <w:sz w:val="16"/>
          <w:szCs w:val="16"/>
        </w:rPr>
        <w:t xml:space="preserve">Grattan Institute, Cheaper Childcare: A practical plan to boost female workforce participation, 2020: </w:t>
      </w:r>
      <w:hyperlink r:id="rId25">
        <w:r w:rsidRPr="00600920">
          <w:rPr>
            <w:rStyle w:val="Hyperlink"/>
            <w:rFonts w:eastAsia="Calibri" w:cs="Calibri"/>
            <w:sz w:val="16"/>
            <w:szCs w:val="16"/>
          </w:rPr>
          <w:t>https://grattan.edu.au/wp-content/uploads/2020/08/Cheaper-Childcare-Grattan-Institute-Report.pdf</w:t>
        </w:r>
      </w:hyperlink>
    </w:p>
  </w:footnote>
  <w:footnote w:id="50">
    <w:p w14:paraId="26CA582E" w14:textId="20FFA2A7"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Calibri" w:cs="Calibri"/>
          <w:sz w:val="16"/>
          <w:szCs w:val="16"/>
        </w:rPr>
        <w:t xml:space="preserve">Parliamentary Budget Office (2018): </w:t>
      </w:r>
      <w:r w:rsidRPr="00600920">
        <w:rPr>
          <w:rFonts w:eastAsia="Calibri" w:cs="Calibri"/>
          <w:i/>
          <w:iCs/>
          <w:sz w:val="16"/>
          <w:szCs w:val="16"/>
        </w:rPr>
        <w:t>2018-19 Medium-term fiscal projections</w:t>
      </w:r>
      <w:r w:rsidRPr="00600920">
        <w:rPr>
          <w:rFonts w:eastAsia="Calibri" w:cs="Calibri"/>
          <w:sz w:val="16"/>
          <w:szCs w:val="16"/>
        </w:rPr>
        <w:t xml:space="preserve">, Parliamentary Budget Office, Canberra. Available: </w:t>
      </w:r>
      <w:hyperlink r:id="rId26">
        <w:r w:rsidRPr="00600920">
          <w:rPr>
            <w:rStyle w:val="Hyperlink"/>
            <w:rFonts w:eastAsia="Calibri" w:cs="Calibri"/>
            <w:sz w:val="16"/>
            <w:szCs w:val="16"/>
          </w:rPr>
          <w:t>https://www.aph.gov.au/About_Parliament/Parliamentary_Departments/Parliamentary_Budget_Office/Publications/Research_reports/Medium-term_budget_projections</w:t>
        </w:r>
      </w:hyperlink>
    </w:p>
  </w:footnote>
  <w:footnote w:id="51">
    <w:p w14:paraId="2D53C222" w14:textId="2490E6AD"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Calibri" w:cs="Calibri"/>
          <w:sz w:val="16"/>
          <w:szCs w:val="16"/>
        </w:rPr>
        <w:t xml:space="preserve">For a strong rationale for preventive services, see for example Preventative Health Task Force (2010): </w:t>
      </w:r>
      <w:r w:rsidRPr="00600920">
        <w:rPr>
          <w:rFonts w:eastAsia="Calibri" w:cs="Calibri"/>
          <w:i/>
          <w:iCs/>
          <w:sz w:val="16"/>
          <w:szCs w:val="16"/>
        </w:rPr>
        <w:t>Taking preventative action – a response to Australia: The healthiest country by 2020</w:t>
      </w:r>
      <w:r w:rsidRPr="00600920">
        <w:rPr>
          <w:rFonts w:eastAsia="Calibri" w:cs="Calibri"/>
          <w:sz w:val="16"/>
          <w:szCs w:val="16"/>
        </w:rPr>
        <w:t xml:space="preserve">, Preventative Health Task Force, Canberra. Available: </w:t>
      </w:r>
      <w:hyperlink r:id="rId27">
        <w:r w:rsidRPr="00600920">
          <w:rPr>
            <w:rStyle w:val="Hyperlink"/>
            <w:rFonts w:eastAsia="Calibri" w:cs="Calibri"/>
            <w:sz w:val="16"/>
            <w:szCs w:val="16"/>
          </w:rPr>
          <w:t>https://apo.org.au/node/21989</w:t>
        </w:r>
      </w:hyperlink>
    </w:p>
  </w:footnote>
  <w:footnote w:id="52">
    <w:p w14:paraId="3BA7E1FA" w14:textId="7C0BA62C"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w:t>
      </w:r>
      <w:r w:rsidRPr="00600920">
        <w:rPr>
          <w:rFonts w:eastAsia="Verdana" w:cs="Verdana"/>
          <w:sz w:val="16"/>
          <w:szCs w:val="16"/>
        </w:rPr>
        <w:t>Crooks K, Casuarina NT, Casey D, City C, Territory AC, Ward JS. ‘First Nations people leading the way in COVID-19 pandemic planning, response and management’. Medical Journal of Australia. 2020 April 29</w:t>
      </w:r>
    </w:p>
  </w:footnote>
  <w:footnote w:id="53">
    <w:p w14:paraId="73ED3E46" w14:textId="11852075" w:rsidR="000C6B7B" w:rsidRPr="00600920" w:rsidRDefault="000C6B7B" w:rsidP="00524C81">
      <w:pPr>
        <w:spacing w:line="276" w:lineRule="auto"/>
        <w:rPr>
          <w:sz w:val="16"/>
          <w:szCs w:val="16"/>
        </w:rPr>
      </w:pPr>
      <w:r w:rsidRPr="00600920">
        <w:rPr>
          <w:rStyle w:val="FootnoteReference"/>
          <w:sz w:val="16"/>
          <w:szCs w:val="16"/>
        </w:rPr>
        <w:footnoteRef/>
      </w:r>
      <w:r w:rsidRPr="00600920">
        <w:rPr>
          <w:sz w:val="16"/>
          <w:szCs w:val="16"/>
        </w:rPr>
        <w:t xml:space="preserve"> </w:t>
      </w:r>
      <w:r w:rsidRPr="00600920">
        <w:rPr>
          <w:rFonts w:eastAsia="Calibri" w:cs="Calibri"/>
          <w:sz w:val="16"/>
          <w:szCs w:val="16"/>
        </w:rPr>
        <w:t xml:space="preserve">Grattan Institute (2013): </w:t>
      </w:r>
      <w:r w:rsidRPr="00600920">
        <w:rPr>
          <w:rFonts w:eastAsia="Calibri" w:cs="Calibri"/>
          <w:i/>
          <w:iCs/>
          <w:sz w:val="16"/>
          <w:szCs w:val="16"/>
        </w:rPr>
        <w:t>Balancing budgets: Tough choices we need</w:t>
      </w:r>
      <w:r w:rsidRPr="00600920">
        <w:rPr>
          <w:rFonts w:eastAsia="Calibri" w:cs="Calibri"/>
          <w:sz w:val="16"/>
          <w:szCs w:val="16"/>
        </w:rPr>
        <w:t xml:space="preserve">, Grattan Institute, Melbourne. Available: </w:t>
      </w:r>
      <w:hyperlink r:id="rId28">
        <w:r w:rsidRPr="00600920">
          <w:rPr>
            <w:rStyle w:val="Hyperlink"/>
            <w:rFonts w:eastAsia="Calibri" w:cs="Calibri"/>
            <w:sz w:val="16"/>
            <w:szCs w:val="16"/>
          </w:rPr>
          <w:t>https://grattan.edu.au/report/balancing-budgets-tough-choices-we-need/</w:t>
        </w:r>
      </w:hyperlink>
    </w:p>
  </w:footnote>
  <w:footnote w:id="54">
    <w:p w14:paraId="6F024544" w14:textId="3E794F4C" w:rsidR="000C6B7B" w:rsidRPr="00600920" w:rsidRDefault="000C6B7B" w:rsidP="00F55E3B">
      <w:pPr>
        <w:spacing w:line="276" w:lineRule="auto"/>
        <w:rPr>
          <w:sz w:val="16"/>
          <w:szCs w:val="16"/>
        </w:rPr>
      </w:pPr>
      <w:r w:rsidRPr="00600920">
        <w:rPr>
          <w:rStyle w:val="FootnoteReference"/>
          <w:sz w:val="16"/>
          <w:szCs w:val="16"/>
        </w:rPr>
        <w:footnoteRef/>
      </w:r>
      <w:r w:rsidRPr="00600920">
        <w:rPr>
          <w:sz w:val="16"/>
          <w:szCs w:val="16"/>
        </w:rPr>
        <w:t xml:space="preserve"> </w:t>
      </w:r>
      <w:r w:rsidRPr="00600920">
        <w:rPr>
          <w:rFonts w:eastAsia="Calibri" w:cs="Calibri"/>
          <w:sz w:val="16"/>
          <w:szCs w:val="16"/>
        </w:rPr>
        <w:t xml:space="preserve">The EMSN provides an additional rebate for people who incur out-of-pocket costs for Medicare eligible out-of-hospital services. Once the relevant annual threshold of out-of-pocket costs has been met, Medicare will pay for 80% of any future out-of-pocket costs for out-of-hospital Medicare services for the remainder of the calendar year. From 1 January 2021 the annual EMSN thresholds are: $697 for Commonwealth concession cardholders and Family Tax Benefit part A, and $2,184.30 for all other singles and families. See Department of Health (2020): </w:t>
      </w:r>
      <w:r w:rsidRPr="00600920">
        <w:rPr>
          <w:rFonts w:eastAsia="Calibri" w:cs="Calibri"/>
          <w:i/>
          <w:iCs/>
          <w:sz w:val="16"/>
          <w:szCs w:val="16"/>
        </w:rPr>
        <w:t>Medicare safety net arrangements - 1 January 2019</w:t>
      </w:r>
      <w:r w:rsidRPr="00600920">
        <w:rPr>
          <w:rFonts w:eastAsia="Calibri" w:cs="Calibri"/>
          <w:sz w:val="16"/>
          <w:szCs w:val="16"/>
        </w:rPr>
        <w:t xml:space="preserve">, Department of Health, Canberra. Available: </w:t>
      </w:r>
      <w:hyperlink r:id="rId29">
        <w:r w:rsidRPr="00600920">
          <w:rPr>
            <w:rStyle w:val="Hyperlink"/>
            <w:rFonts w:eastAsia="Calibri" w:cs="Calibri"/>
            <w:sz w:val="16"/>
            <w:szCs w:val="16"/>
          </w:rPr>
          <w:t>http://www.mbsonline.gov.au/internet/mbsonline/publishing.nsf/Content/Factsheet-MSN_1Jan2021</w:t>
        </w:r>
        <w:r w:rsidRPr="00600920">
          <w:rPr>
            <w:sz w:val="16"/>
            <w:szCs w:val="16"/>
          </w:rPr>
          <w:br/>
        </w:r>
      </w:hyperlink>
      <w:r w:rsidRPr="00600920">
        <w:rPr>
          <w:rFonts w:eastAsia="Calibri" w:cs="Calibri"/>
          <w:sz w:val="16"/>
          <w:szCs w:val="16"/>
        </w:rPr>
        <w:t xml:space="preserve"> Centre for Health Economics Research and Evaluation (2011): </w:t>
      </w:r>
      <w:r w:rsidRPr="00600920">
        <w:rPr>
          <w:rFonts w:eastAsia="Calibri" w:cs="Calibri"/>
          <w:i/>
          <w:iCs/>
          <w:sz w:val="16"/>
          <w:szCs w:val="16"/>
        </w:rPr>
        <w:t>Extended Medicare Safety Net: Review of capping arrangements report 2011</w:t>
      </w:r>
      <w:r w:rsidRPr="00600920">
        <w:rPr>
          <w:rFonts w:eastAsia="Calibri" w:cs="Calibri"/>
          <w:sz w:val="16"/>
          <w:szCs w:val="16"/>
        </w:rPr>
        <w:t xml:space="preserve">, CHERE, University of Technology, Sydney, Sydney. Available: </w:t>
      </w:r>
      <w:hyperlink r:id="rId30">
        <w:r w:rsidRPr="00600920">
          <w:rPr>
            <w:rStyle w:val="Hyperlink"/>
            <w:rFonts w:eastAsia="Calibri" w:cs="Calibri"/>
            <w:sz w:val="16"/>
            <w:szCs w:val="16"/>
          </w:rPr>
          <w:t>https://www1.health.gov.au/internet/main/publishing.nsf/Content/2011_Review_Extended_Medicare_Safety_Net/$File/Final%20Report%20-%20Review%20of%20EMSN%20benefit%20capping%20June%202011.pdf</w:t>
        </w:r>
      </w:hyperlink>
    </w:p>
  </w:footnote>
  <w:footnote w:id="55">
    <w:p w14:paraId="03A3BBEA" w14:textId="75CE68D8" w:rsidR="000C6B7B" w:rsidRPr="00600920" w:rsidRDefault="000C6B7B" w:rsidP="00524C81">
      <w:pPr>
        <w:spacing w:line="276" w:lineRule="auto"/>
        <w:rPr>
          <w:sz w:val="16"/>
          <w:szCs w:val="16"/>
        </w:rPr>
      </w:pPr>
      <w:r w:rsidRPr="00600920">
        <w:rPr>
          <w:rStyle w:val="FootnoteReference"/>
          <w:sz w:val="16"/>
          <w:szCs w:val="16"/>
        </w:rPr>
        <w:footnoteRef/>
      </w:r>
      <w:r w:rsidRPr="00600920">
        <w:rPr>
          <w:sz w:val="16"/>
          <w:szCs w:val="16"/>
        </w:rPr>
        <w:t xml:space="preserve"> </w:t>
      </w:r>
      <w:r w:rsidRPr="00600920">
        <w:rPr>
          <w:rFonts w:eastAsia="Calibri" w:cs="Calibri"/>
          <w:sz w:val="16"/>
          <w:szCs w:val="16"/>
        </w:rPr>
        <w:t xml:space="preserve">Combined rates of overweight and obesity were 63% in 2014, up from 56% in 1995 and 61% in 2007-8. See Australian Institute of Health and Welfare (2018): </w:t>
      </w:r>
      <w:r w:rsidRPr="00600920">
        <w:rPr>
          <w:rFonts w:eastAsia="Calibri" w:cs="Calibri"/>
          <w:i/>
          <w:iCs/>
          <w:sz w:val="16"/>
          <w:szCs w:val="16"/>
        </w:rPr>
        <w:t>Healthy communities: Overweight and obesity rates across Australia, 2014–15</w:t>
      </w:r>
      <w:r w:rsidRPr="00600920">
        <w:rPr>
          <w:rFonts w:eastAsia="Calibri" w:cs="Calibri"/>
          <w:sz w:val="16"/>
          <w:szCs w:val="16"/>
        </w:rPr>
        <w:t xml:space="preserve">, AIHW, Canberra. Available: </w:t>
      </w:r>
      <w:hyperlink r:id="rId31">
        <w:r w:rsidRPr="00600920">
          <w:rPr>
            <w:rStyle w:val="Hyperlink"/>
            <w:rFonts w:eastAsia="Calibri" w:cs="Calibri"/>
            <w:sz w:val="16"/>
            <w:szCs w:val="16"/>
          </w:rPr>
          <w:t>https://www.aihw.gov.au/getmedia/762dea8d-07fb-47c7-8f40-83a3933f66c7/aihw-mhc-hpf-27-Overweight-Obesity-December-2016.pdf.aspx?inline=true</w:t>
        </w:r>
      </w:hyperlink>
    </w:p>
  </w:footnote>
  <w:footnote w:id="56">
    <w:p w14:paraId="29D4ADAE" w14:textId="38AC8D1C" w:rsidR="000C6B7B" w:rsidRPr="00600920" w:rsidRDefault="000C6B7B" w:rsidP="7B33A330">
      <w:pPr>
        <w:spacing w:line="276" w:lineRule="auto"/>
        <w:rPr>
          <w:sz w:val="16"/>
          <w:szCs w:val="16"/>
        </w:rPr>
      </w:pPr>
      <w:r w:rsidRPr="00600920">
        <w:rPr>
          <w:rStyle w:val="FootnoteReference"/>
          <w:sz w:val="16"/>
          <w:szCs w:val="16"/>
        </w:rPr>
        <w:footnoteRef/>
      </w:r>
      <w:r w:rsidRPr="00600920">
        <w:rPr>
          <w:sz w:val="16"/>
          <w:szCs w:val="16"/>
        </w:rPr>
        <w:t xml:space="preserve"> </w:t>
      </w:r>
      <w:r w:rsidRPr="00600920">
        <w:rPr>
          <w:rFonts w:eastAsia="Calibri" w:cs="Calibri"/>
          <w:sz w:val="16"/>
          <w:szCs w:val="16"/>
        </w:rPr>
        <w:t xml:space="preserve">Obesity Policy Coalition (2018): </w:t>
      </w:r>
      <w:r w:rsidRPr="00600920">
        <w:rPr>
          <w:rFonts w:eastAsia="Calibri" w:cs="Calibri"/>
          <w:i/>
          <w:iCs/>
          <w:sz w:val="16"/>
          <w:szCs w:val="16"/>
        </w:rPr>
        <w:t>A comprehensive policy program to reduce consumption of sugar-sweetened beverages in Australia</w:t>
      </w:r>
      <w:r w:rsidRPr="00600920">
        <w:rPr>
          <w:rFonts w:eastAsia="Calibri" w:cs="Calibri"/>
          <w:sz w:val="16"/>
          <w:szCs w:val="16"/>
        </w:rPr>
        <w:t xml:space="preserve">, Obesity Policy Coalition, Melbourne. Available: </w:t>
      </w:r>
      <w:hyperlink r:id="rId32">
        <w:r w:rsidRPr="00600920">
          <w:rPr>
            <w:rStyle w:val="Hyperlink"/>
            <w:rFonts w:eastAsia="Calibri" w:cs="Calibri"/>
            <w:sz w:val="16"/>
            <w:szCs w:val="16"/>
          </w:rPr>
          <w:t>https://www.opc.org.au/downloads/policy-briefs/reduce-sugary-drinks-in-australia.pdf</w:t>
        </w:r>
      </w:hyperlink>
      <w:r w:rsidRPr="00600920">
        <w:rPr>
          <w:rFonts w:eastAsia="Calibri" w:cs="Calibri"/>
          <w:sz w:val="16"/>
          <w:szCs w:val="16"/>
        </w:rPr>
        <w:t xml:space="preserve">; Obesity Policy Coalition (2018): </w:t>
      </w:r>
      <w:r w:rsidRPr="00600920">
        <w:rPr>
          <w:rFonts w:eastAsia="Calibri" w:cs="Calibri"/>
          <w:i/>
          <w:iCs/>
          <w:sz w:val="16"/>
          <w:szCs w:val="16"/>
        </w:rPr>
        <w:t>The case for a health levy on sugar-sweetened beverages</w:t>
      </w:r>
      <w:r w:rsidRPr="00600920">
        <w:rPr>
          <w:rFonts w:eastAsia="Calibri" w:cs="Calibri"/>
          <w:sz w:val="16"/>
          <w:szCs w:val="16"/>
        </w:rPr>
        <w:t xml:space="preserve">, Obesity Policy Coalition, Melbourne. Available: </w:t>
      </w:r>
      <w:hyperlink r:id="rId33">
        <w:r w:rsidRPr="00600920">
          <w:rPr>
            <w:rStyle w:val="Hyperlink"/>
            <w:rFonts w:eastAsia="Calibri" w:cs="Calibri"/>
            <w:sz w:val="16"/>
            <w:szCs w:val="16"/>
          </w:rPr>
          <w:t>https://www.opc.org.au/downloads/policy-briefs/the-case-for-australian-tax-sugar-sweetened-beverages.pdf</w:t>
        </w:r>
      </w:hyperlink>
    </w:p>
    <w:p w14:paraId="4706CF78" w14:textId="699859F8" w:rsidR="000C6B7B" w:rsidRPr="00600920" w:rsidRDefault="000C6B7B" w:rsidP="7B33A330">
      <w:pPr>
        <w:pStyle w:val="FootnoteText"/>
        <w:rPr>
          <w:sz w:val="16"/>
          <w:szCs w:val="16"/>
        </w:rPr>
      </w:pPr>
    </w:p>
  </w:footnote>
  <w:footnote w:id="57">
    <w:p w14:paraId="4B044322" w14:textId="0DA57447"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More detail is provided in our submission to the Retirement Incomes Review, at:</w:t>
      </w:r>
    </w:p>
    <w:p w14:paraId="41D64015" w14:textId="307892A1" w:rsidR="000C6B7B" w:rsidRPr="00600920" w:rsidRDefault="000C6B7B" w:rsidP="7B33A330">
      <w:pPr>
        <w:pStyle w:val="FootnoteText"/>
        <w:rPr>
          <w:sz w:val="16"/>
          <w:szCs w:val="16"/>
        </w:rPr>
      </w:pPr>
      <w:hyperlink r:id="rId34">
        <w:r w:rsidRPr="00600920">
          <w:rPr>
            <w:rStyle w:val="Hyperlink"/>
            <w:sz w:val="16"/>
            <w:szCs w:val="16"/>
          </w:rPr>
          <w:t>https://www.acoss.org.au/wp-content/uploads/2020/02/200202-Retirement-Incomes-Review-ACOSS-submission.pdf</w:t>
        </w:r>
      </w:hyperlink>
      <w:r w:rsidRPr="00600920">
        <w:rPr>
          <w:sz w:val="16"/>
          <w:szCs w:val="16"/>
        </w:rPr>
        <w:t xml:space="preserve"> </w:t>
      </w:r>
    </w:p>
  </w:footnote>
  <w:footnote w:id="58">
    <w:p w14:paraId="0EF9ED16" w14:textId="73993D3B" w:rsidR="000C6B7B" w:rsidRPr="00600920" w:rsidRDefault="000C6B7B" w:rsidP="00524C81">
      <w:pPr>
        <w:rPr>
          <w:sz w:val="16"/>
          <w:szCs w:val="16"/>
        </w:rPr>
      </w:pPr>
      <w:r w:rsidRPr="00600920">
        <w:rPr>
          <w:rStyle w:val="FootnoteReference"/>
          <w:sz w:val="16"/>
          <w:szCs w:val="16"/>
        </w:rPr>
        <w:footnoteRef/>
      </w:r>
      <w:r w:rsidRPr="00600920">
        <w:rPr>
          <w:sz w:val="16"/>
          <w:szCs w:val="16"/>
        </w:rPr>
        <w:t xml:space="preserve"> Retirement Income Review (2020), Report. Australian Government, at: </w:t>
      </w:r>
      <w:hyperlink r:id="rId35">
        <w:r w:rsidRPr="00600920">
          <w:rPr>
            <w:rStyle w:val="Hyperlink"/>
            <w:sz w:val="16"/>
            <w:szCs w:val="16"/>
          </w:rPr>
          <w:t>https://treasury.gov.au/sites/default/files/2020-11/p2020-100554-complete-report.pdf</w:t>
        </w:r>
      </w:hyperlink>
      <w:r w:rsidRPr="00600920">
        <w:rPr>
          <w:sz w:val="16"/>
          <w:szCs w:val="16"/>
        </w:rPr>
        <w:t xml:space="preserve"> </w:t>
      </w:r>
    </w:p>
    <w:p w14:paraId="25091014" w14:textId="77777777" w:rsidR="000C6B7B" w:rsidRPr="00600920" w:rsidRDefault="000C6B7B" w:rsidP="00524C81">
      <w:pPr>
        <w:rPr>
          <w:sz w:val="16"/>
          <w:szCs w:val="16"/>
        </w:rPr>
      </w:pPr>
      <w:r w:rsidRPr="00600920">
        <w:rPr>
          <w:sz w:val="16"/>
          <w:szCs w:val="16"/>
        </w:rPr>
        <w:t>Saunders, P and Wong, M (2008): Deprivation and other indicators of the living standards of older Australians, Social Policy Research Centre, UNSW, Sydney.</w:t>
      </w:r>
    </w:p>
    <w:p w14:paraId="429B4BD5" w14:textId="087617EA" w:rsidR="000C6B7B" w:rsidRPr="00600920" w:rsidRDefault="000C6B7B">
      <w:pPr>
        <w:pStyle w:val="FootnoteText"/>
        <w:rPr>
          <w:sz w:val="16"/>
          <w:szCs w:val="16"/>
        </w:rPr>
      </w:pPr>
    </w:p>
  </w:footnote>
  <w:footnote w:id="59">
    <w:p w14:paraId="58614B5E" w14:textId="4D5FDBF3"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About half of this is the increased cost of pensions and the other half health and care services; Parliamentary Budget Office (2019), Medium-term fiscal projections, at: </w:t>
      </w:r>
      <w:hyperlink r:id="rId36">
        <w:r w:rsidRPr="00600920">
          <w:rPr>
            <w:rStyle w:val="Hyperlink"/>
            <w:sz w:val="16"/>
            <w:szCs w:val="16"/>
          </w:rPr>
          <w:t>https://www.aph.gov.au/About_Parliament/Parliamentary_Departments/Parliamentary_Budget_Office/Publications/Research_reports/Medium-term_budget_projections</w:t>
        </w:r>
      </w:hyperlink>
    </w:p>
  </w:footnote>
  <w:footnote w:id="60">
    <w:p w14:paraId="44F13EBE" w14:textId="7DD71480"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Coates B &amp; Nolan J (2019), Balancing act: managing the trade-offs in retirement incomes policy. Grattan Institute, at: </w:t>
      </w:r>
      <w:hyperlink r:id="rId37">
        <w:r w:rsidRPr="00600920">
          <w:rPr>
            <w:rStyle w:val="Hyperlink"/>
            <w:sz w:val="16"/>
            <w:szCs w:val="16"/>
          </w:rPr>
          <w:t>https://grattan.edu.au/wp-content/uploads/2020/03/Grattan-Institute-sub-balancing-act-retirement-income-review.pdf</w:t>
        </w:r>
      </w:hyperlink>
      <w:r w:rsidRPr="00600920">
        <w:rPr>
          <w:sz w:val="16"/>
          <w:szCs w:val="16"/>
        </w:rPr>
        <w:t xml:space="preserve"> .</w:t>
      </w:r>
    </w:p>
  </w:footnote>
  <w:footnote w:id="61">
    <w:p w14:paraId="73F9C108" w14:textId="3718FF73"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The evidence in the Retirement Incomes Report, along with research by the Grattan Institute, indicates that increases in compulsory employer super contributions mainly come from lower wage increases. This assessment is supported by the Reserve Bank and most economists. The issue here is not whether wage increases are high or low, but whether they are lower than they would have been without increases in compulsory super contributions. For evidence see: </w:t>
      </w:r>
    </w:p>
    <w:p w14:paraId="5DDA2A9E" w14:textId="29514708" w:rsidR="000C6B7B" w:rsidRPr="00600920" w:rsidRDefault="000C6B7B" w:rsidP="7B33A330">
      <w:pPr>
        <w:pStyle w:val="FootnoteText"/>
        <w:rPr>
          <w:sz w:val="16"/>
          <w:szCs w:val="16"/>
        </w:rPr>
      </w:pPr>
      <w:hyperlink r:id="rId38">
        <w:r w:rsidRPr="00600920">
          <w:rPr>
            <w:rStyle w:val="Hyperlink"/>
            <w:sz w:val="16"/>
            <w:szCs w:val="16"/>
          </w:rPr>
          <w:t>https://treasury.gov.au/sites/default/files/2020-11/p2020-100554-complete-report.pdf</w:t>
        </w:r>
      </w:hyperlink>
      <w:r w:rsidRPr="00600920">
        <w:rPr>
          <w:sz w:val="16"/>
          <w:szCs w:val="16"/>
        </w:rPr>
        <w:t xml:space="preserve">   </w:t>
      </w:r>
    </w:p>
    <w:p w14:paraId="0138F16D" w14:textId="246A4C1A" w:rsidR="000C6B7B" w:rsidRPr="00600920" w:rsidRDefault="000C6B7B" w:rsidP="7B33A330">
      <w:pPr>
        <w:pStyle w:val="FootnoteText"/>
        <w:rPr>
          <w:sz w:val="16"/>
          <w:szCs w:val="16"/>
        </w:rPr>
      </w:pPr>
      <w:hyperlink r:id="rId39">
        <w:r w:rsidRPr="00600920">
          <w:rPr>
            <w:rStyle w:val="Hyperlink"/>
            <w:sz w:val="16"/>
            <w:szCs w:val="16"/>
          </w:rPr>
          <w:t>https://grattan.edu.au/wp-content/uploads/2020/02/No-free-lunch-Higher-superannuation-means-lower-wages.pdf</w:t>
        </w:r>
      </w:hyperlink>
      <w:r w:rsidRPr="00600920">
        <w:rPr>
          <w:sz w:val="16"/>
          <w:szCs w:val="16"/>
        </w:rPr>
        <w:t xml:space="preserve">   </w:t>
      </w:r>
    </w:p>
    <w:p w14:paraId="538735E7" w14:textId="5F01DF2E" w:rsidR="000C6B7B" w:rsidRPr="00600920" w:rsidRDefault="000C6B7B" w:rsidP="7B33A330">
      <w:pPr>
        <w:pStyle w:val="FootnoteText"/>
        <w:rPr>
          <w:sz w:val="16"/>
          <w:szCs w:val="16"/>
        </w:rPr>
      </w:pPr>
      <w:hyperlink r:id="rId40">
        <w:r w:rsidRPr="00600920">
          <w:rPr>
            <w:rStyle w:val="Hyperlink"/>
            <w:sz w:val="16"/>
            <w:szCs w:val="16"/>
          </w:rPr>
          <w:t>https://www.afr.com/policy/economy/super-rise-to-12pc-puts-cart-before-the-horse-20200210-p53zdf</w:t>
        </w:r>
      </w:hyperlink>
      <w:r w:rsidRPr="00600920">
        <w:rPr>
          <w:sz w:val="16"/>
          <w:szCs w:val="16"/>
        </w:rPr>
        <w:t xml:space="preserve">   </w:t>
      </w:r>
    </w:p>
  </w:footnote>
  <w:footnote w:id="62">
    <w:p w14:paraId="14B66AD7" w14:textId="46761BC2"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Retirement Income Review (2020), op cit. </w:t>
      </w:r>
    </w:p>
  </w:footnote>
  <w:footnote w:id="63">
    <w:p w14:paraId="361F4730" w14:textId="239711D7"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Coates B (2018), The entitlement of age, Grattan Institute.</w:t>
      </w:r>
    </w:p>
  </w:footnote>
  <w:footnote w:id="64">
    <w:p w14:paraId="770A49AB" w14:textId="0DCFB922"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Henry K et al. (2009): Australia’s future tax system review final report, The Treasury, Canberra, at: </w:t>
      </w:r>
      <w:hyperlink r:id="rId41">
        <w:r w:rsidRPr="00600920">
          <w:rPr>
            <w:rStyle w:val="Hyperlink"/>
            <w:sz w:val="16"/>
            <w:szCs w:val="16"/>
          </w:rPr>
          <w:t>https://treasury.gov.au/review/the-australias-future-tax-system-review/final-report</w:t>
        </w:r>
      </w:hyperlink>
      <w:r w:rsidRPr="00600920">
        <w:rPr>
          <w:sz w:val="16"/>
          <w:szCs w:val="16"/>
        </w:rPr>
        <w:t xml:space="preserve"> . Tax avoidance through re-contribution strategies was addressed in part by the government’s decision in 2016 to apply the 15% tax rate to the investment income of Transition to Retirement accounts.</w:t>
      </w:r>
    </w:p>
  </w:footnote>
  <w:footnote w:id="65">
    <w:p w14:paraId="61980378" w14:textId="3C00E39F"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Retirement Income Review (2020), op cit.</w:t>
      </w:r>
    </w:p>
  </w:footnote>
  <w:footnote w:id="66">
    <w:p w14:paraId="755B48D4" w14:textId="7B7FF324"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Parliamentary Budget Office (2020), Medium-term fiscal projections, at:  </w:t>
      </w:r>
      <w:hyperlink r:id="rId42">
        <w:r w:rsidRPr="00600920">
          <w:rPr>
            <w:rStyle w:val="Hyperlink"/>
            <w:sz w:val="16"/>
            <w:szCs w:val="16"/>
          </w:rPr>
          <w:t>https://www.aph.gov.au/About_Parliament/Parliamentary_Departments/Parliamentary_Budget_Office/Publications/Research_reports/Medium-term_budget_projections</w:t>
        </w:r>
      </w:hyperlink>
      <w:r w:rsidRPr="00600920">
        <w:rPr>
          <w:sz w:val="16"/>
          <w:szCs w:val="16"/>
        </w:rPr>
        <w:t xml:space="preserve">   </w:t>
      </w:r>
    </w:p>
  </w:footnote>
  <w:footnote w:id="67">
    <w:p w14:paraId="4C6CDBFE" w14:textId="70C28D9D"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Daley, J and Wood, D (2016): Hot property: Negative gearing and capital gains tax, Grattan Institute, Melbourne. Available: https://grattan.edu.au/report/hot-property/</w:t>
      </w:r>
    </w:p>
  </w:footnote>
  <w:footnote w:id="68">
    <w:p w14:paraId="026173B6" w14:textId="70629352"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A more detailed explanation of this reform, including our responses to claims that it would mainly affect people on low or modest incomes, is in ACOSS (2016): Fuel on the fire: Negative gearing, capital gains tax &amp; housing affordability, ACOSS, Sydney, at: </w:t>
      </w:r>
      <w:hyperlink r:id="rId43">
        <w:r w:rsidRPr="00600920">
          <w:rPr>
            <w:rStyle w:val="Hyperlink"/>
            <w:sz w:val="16"/>
            <w:szCs w:val="16"/>
          </w:rPr>
          <w:t>https://www.acoss.org.au/wp-content/uploads/2016/04/Fuel_on_the_fire_ACOSS.pdf</w:t>
        </w:r>
      </w:hyperlink>
      <w:r w:rsidRPr="00600920">
        <w:rPr>
          <w:sz w:val="16"/>
          <w:szCs w:val="16"/>
        </w:rPr>
        <w:t xml:space="preserve">   </w:t>
      </w:r>
    </w:p>
  </w:footnote>
  <w:footnote w:id="69">
    <w:p w14:paraId="512E35B1" w14:textId="3E2E4E3E"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Unlike the above change to CGT, grandfathering is appropriate in this case because otherwise some existing investors would lack the cashflow to pay the additional tax.</w:t>
      </w:r>
    </w:p>
  </w:footnote>
  <w:footnote w:id="70">
    <w:p w14:paraId="682AF6B3" w14:textId="2A55FD6A"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Review of Business Taxation (1999): A tax system redesigned: More certain, equitable and durable, Treasury, Canberra.</w:t>
      </w:r>
    </w:p>
  </w:footnote>
  <w:footnote w:id="71">
    <w:p w14:paraId="5BE4E36C" w14:textId="56C79322"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Group of 20 (2014): High-level principles on beneficial ownership transparency, G20, Brisbane, at: </w:t>
      </w:r>
      <w:hyperlink r:id="rId44">
        <w:r w:rsidRPr="00600920">
          <w:rPr>
            <w:rStyle w:val="Hyperlink"/>
            <w:sz w:val="16"/>
            <w:szCs w:val="16"/>
          </w:rPr>
          <w:t>https://star.worldbank.org/sites/star/files/g20_high-level_principles_beneficial_ownership_transparency.pdf</w:t>
        </w:r>
      </w:hyperlink>
      <w:r w:rsidRPr="00600920">
        <w:rPr>
          <w:sz w:val="16"/>
          <w:szCs w:val="16"/>
        </w:rPr>
        <w:t xml:space="preserve"> ; OECD (2017): Global forum on transparency and exchange of information for tax purposes: Australia 2017 (second round): Peer review report on the exchange of information on request, Global Forum on Transparency and Exchange of Information for Tax Purposes, OECD Publishing, Paris, at: </w:t>
      </w:r>
      <w:hyperlink r:id="rId45">
        <w:r w:rsidRPr="00600920">
          <w:rPr>
            <w:rStyle w:val="Hyperlink"/>
            <w:sz w:val="16"/>
            <w:szCs w:val="16"/>
          </w:rPr>
          <w:t>https://doi.org/10.1787/9789264280069-en</w:t>
        </w:r>
      </w:hyperlink>
    </w:p>
  </w:footnote>
  <w:footnote w:id="72">
    <w:p w14:paraId="7138CFFA" w14:textId="1342CADD"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With a family trust election, the transfer of income or losses beyond beneficiaries who belong to the family that owns the trust is discouraged by a penalty tax. Private companies exempted from disclosure requirements by previous grandfathering arrangements should be included.</w:t>
      </w:r>
    </w:p>
  </w:footnote>
  <w:footnote w:id="73">
    <w:p w14:paraId="71794B11" w14:textId="06811615"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The lower company tax rate is restricted to active businesses, as distinct from passive investment vehicles. Nevertheless, incorporated active business entities with turnover of up to $50 million include many owned by high income-earners (for example, professional practices). Business owners with low to modest incomes are less likely to incorporate.</w:t>
      </w:r>
    </w:p>
  </w:footnote>
  <w:footnote w:id="74">
    <w:p w14:paraId="18509807" w14:textId="7330EE73" w:rsidR="000C6B7B" w:rsidRPr="00600920" w:rsidRDefault="000C6B7B" w:rsidP="7B33A330">
      <w:pPr>
        <w:pStyle w:val="FootnoteText"/>
        <w:rPr>
          <w:sz w:val="16"/>
          <w:szCs w:val="16"/>
        </w:rPr>
      </w:pPr>
      <w:r w:rsidRPr="00600920">
        <w:rPr>
          <w:rStyle w:val="FootnoteReference"/>
          <w:sz w:val="16"/>
          <w:szCs w:val="16"/>
        </w:rPr>
        <w:footnoteRef/>
      </w:r>
      <w:r w:rsidRPr="00600920">
        <w:rPr>
          <w:sz w:val="16"/>
          <w:szCs w:val="16"/>
        </w:rPr>
        <w:t xml:space="preserve"> That tax applies to drinks with sugar content above 5g/100ml and at a higher rate for drinks with over 8g/100ml. Soft drink manufacturers quickly reduced the sugar content of their products to bring them under the thresholds for higher taxation.</w:t>
      </w:r>
    </w:p>
  </w:footnote>
  <w:footnote w:id="75">
    <w:p w14:paraId="1B2A30C8" w14:textId="501BBD92"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This could be modelled on a Canadian program, ‘Nutrition North America’, which provides a transport subsidy to food providers in remote, isolated regions. Funding is based on the total weight of fresh food products shipped to eligible communities, who must then pass on the savings to consumers.</w:t>
      </w:r>
    </w:p>
  </w:footnote>
  <w:footnote w:id="76">
    <w:p w14:paraId="7E506428" w14:textId="2B70B3D2" w:rsidR="000C6B7B" w:rsidRPr="00600920" w:rsidRDefault="000C6B7B">
      <w:pPr>
        <w:pStyle w:val="FootnoteText"/>
        <w:rPr>
          <w:sz w:val="16"/>
          <w:szCs w:val="16"/>
        </w:rPr>
      </w:pPr>
      <w:r w:rsidRPr="00600920">
        <w:rPr>
          <w:rStyle w:val="FootnoteReference"/>
          <w:sz w:val="16"/>
          <w:szCs w:val="16"/>
        </w:rPr>
        <w:footnoteRef/>
      </w:r>
      <w:r w:rsidRPr="00600920">
        <w:rPr>
          <w:sz w:val="16"/>
          <w:szCs w:val="16"/>
        </w:rPr>
        <w:t xml:space="preserve"> ACIL Allen Consulting (2015): Alcohol tax reform: Economic modelling, ACIL Allen Consulting, Sydney for FARE. Available: </w:t>
      </w:r>
      <w:hyperlink r:id="rId46">
        <w:r w:rsidRPr="00600920">
          <w:rPr>
            <w:rStyle w:val="Hyperlink"/>
            <w:sz w:val="16"/>
            <w:szCs w:val="16"/>
          </w:rPr>
          <w:t>https://www.acilallen.com.au/uploads/files/projects/177/ACILAllen_AlcoholTax_2015.pdf</w:t>
        </w:r>
      </w:hyperlink>
      <w:r w:rsidRPr="00600920">
        <w:rPr>
          <w:sz w:val="16"/>
          <w:szCs w:val="16"/>
        </w:rPr>
        <w:t xml:space="preserve"> A common volumetric tax rate for wine at $56.46 (half way between the full-strength draught beer rate of $33.16 and the spirits rate of $79.77) would raise $2.3 billion in annual revenue and reduce overall alcohol consumption by 7.1% (mainly by raising the cost of cask wines); The Henry Report also proposed a uniform volumetric tax. See Henry et al (2009): op.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BA33E" w14:textId="77777777" w:rsidR="000C6B7B" w:rsidRDefault="000C6B7B">
    <w:pPr>
      <w:pStyle w:val="Header"/>
      <w:rPr>
        <w:noProof/>
      </w:rPr>
    </w:pPr>
  </w:p>
  <w:p w14:paraId="377A0038" w14:textId="77777777" w:rsidR="000C6B7B" w:rsidRDefault="000C6B7B">
    <w:pPr>
      <w:pStyle w:val="Header"/>
    </w:pPr>
    <w:r>
      <w:rPr>
        <w:noProof/>
        <w:color w:val="2B579A"/>
        <w:shd w:val="clear" w:color="auto" w:fill="E6E6E6"/>
        <w:lang w:val="en-AU" w:eastAsia="en-AU"/>
      </w:rPr>
      <w:drawing>
        <wp:anchor distT="0" distB="0" distL="114300" distR="114300" simplePos="0" relativeHeight="251659264" behindDoc="1" locked="1" layoutInCell="1" allowOverlap="1" wp14:anchorId="09711CAD" wp14:editId="07777777">
          <wp:simplePos x="0" y="0"/>
          <wp:positionH relativeFrom="page">
            <wp:posOffset>6637655</wp:posOffset>
          </wp:positionH>
          <wp:positionV relativeFrom="page">
            <wp:align>top</wp:align>
          </wp:positionV>
          <wp:extent cx="925830" cy="92583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5485B0C"/>
    <w:lvl w:ilvl="0">
      <w:start w:val="1"/>
      <w:numFmt w:val="decimal"/>
      <w:pStyle w:val="ListNumber"/>
      <w:lvlText w:val="%1."/>
      <w:lvlJc w:val="left"/>
      <w:pPr>
        <w:tabs>
          <w:tab w:val="num" w:pos="360"/>
        </w:tabs>
        <w:ind w:left="360" w:hanging="360"/>
      </w:pPr>
    </w:lvl>
  </w:abstractNum>
  <w:abstractNum w:abstractNumId="1" w15:restartNumberingAfterBreak="0">
    <w:nsid w:val="0062617B"/>
    <w:multiLevelType w:val="hybridMultilevel"/>
    <w:tmpl w:val="D5826102"/>
    <w:lvl w:ilvl="0" w:tplc="02ACBF0C">
      <w:start w:val="1"/>
      <w:numFmt w:val="bullet"/>
      <w:lvlText w:val=""/>
      <w:lvlJc w:val="left"/>
      <w:pPr>
        <w:ind w:left="720" w:hanging="360"/>
      </w:pPr>
      <w:rPr>
        <w:rFonts w:ascii="Symbol" w:hAnsi="Symbol" w:hint="default"/>
      </w:rPr>
    </w:lvl>
    <w:lvl w:ilvl="1" w:tplc="ACEC5CBA">
      <w:start w:val="1"/>
      <w:numFmt w:val="bullet"/>
      <w:lvlText w:val="o"/>
      <w:lvlJc w:val="left"/>
      <w:pPr>
        <w:ind w:left="1440" w:hanging="360"/>
      </w:pPr>
      <w:rPr>
        <w:rFonts w:ascii="Courier New" w:hAnsi="Courier New" w:hint="default"/>
      </w:rPr>
    </w:lvl>
    <w:lvl w:ilvl="2" w:tplc="D7E0466A">
      <w:start w:val="1"/>
      <w:numFmt w:val="bullet"/>
      <w:lvlText w:val=""/>
      <w:lvlJc w:val="left"/>
      <w:pPr>
        <w:ind w:left="2160" w:hanging="360"/>
      </w:pPr>
      <w:rPr>
        <w:rFonts w:ascii="Wingdings" w:hAnsi="Wingdings" w:hint="default"/>
      </w:rPr>
    </w:lvl>
    <w:lvl w:ilvl="3" w:tplc="BECAD174">
      <w:start w:val="1"/>
      <w:numFmt w:val="bullet"/>
      <w:lvlText w:val=""/>
      <w:lvlJc w:val="left"/>
      <w:pPr>
        <w:ind w:left="2880" w:hanging="360"/>
      </w:pPr>
      <w:rPr>
        <w:rFonts w:ascii="Symbol" w:hAnsi="Symbol" w:hint="default"/>
      </w:rPr>
    </w:lvl>
    <w:lvl w:ilvl="4" w:tplc="063ED8A6">
      <w:start w:val="1"/>
      <w:numFmt w:val="bullet"/>
      <w:lvlText w:val="o"/>
      <w:lvlJc w:val="left"/>
      <w:pPr>
        <w:ind w:left="3600" w:hanging="360"/>
      </w:pPr>
      <w:rPr>
        <w:rFonts w:ascii="Courier New" w:hAnsi="Courier New" w:hint="default"/>
      </w:rPr>
    </w:lvl>
    <w:lvl w:ilvl="5" w:tplc="F0D0E986">
      <w:start w:val="1"/>
      <w:numFmt w:val="bullet"/>
      <w:lvlText w:val=""/>
      <w:lvlJc w:val="left"/>
      <w:pPr>
        <w:ind w:left="4320" w:hanging="360"/>
      </w:pPr>
      <w:rPr>
        <w:rFonts w:ascii="Wingdings" w:hAnsi="Wingdings" w:hint="default"/>
      </w:rPr>
    </w:lvl>
    <w:lvl w:ilvl="6" w:tplc="4358DED2">
      <w:start w:val="1"/>
      <w:numFmt w:val="bullet"/>
      <w:lvlText w:val=""/>
      <w:lvlJc w:val="left"/>
      <w:pPr>
        <w:ind w:left="5040" w:hanging="360"/>
      </w:pPr>
      <w:rPr>
        <w:rFonts w:ascii="Symbol" w:hAnsi="Symbol" w:hint="default"/>
      </w:rPr>
    </w:lvl>
    <w:lvl w:ilvl="7" w:tplc="BC9073FA">
      <w:start w:val="1"/>
      <w:numFmt w:val="bullet"/>
      <w:lvlText w:val="o"/>
      <w:lvlJc w:val="left"/>
      <w:pPr>
        <w:ind w:left="5760" w:hanging="360"/>
      </w:pPr>
      <w:rPr>
        <w:rFonts w:ascii="Courier New" w:hAnsi="Courier New" w:hint="default"/>
      </w:rPr>
    </w:lvl>
    <w:lvl w:ilvl="8" w:tplc="BDAE604C">
      <w:start w:val="1"/>
      <w:numFmt w:val="bullet"/>
      <w:lvlText w:val=""/>
      <w:lvlJc w:val="left"/>
      <w:pPr>
        <w:ind w:left="6480" w:hanging="360"/>
      </w:pPr>
      <w:rPr>
        <w:rFonts w:ascii="Wingdings" w:hAnsi="Wingdings" w:hint="default"/>
      </w:rPr>
    </w:lvl>
  </w:abstractNum>
  <w:abstractNum w:abstractNumId="2" w15:restartNumberingAfterBreak="0">
    <w:nsid w:val="05C7515A"/>
    <w:multiLevelType w:val="hybridMultilevel"/>
    <w:tmpl w:val="7258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7189B"/>
    <w:multiLevelType w:val="hybridMultilevel"/>
    <w:tmpl w:val="5038F990"/>
    <w:lvl w:ilvl="0" w:tplc="F7365F0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B728D"/>
    <w:multiLevelType w:val="hybridMultilevel"/>
    <w:tmpl w:val="B3DCB32C"/>
    <w:lvl w:ilvl="0" w:tplc="1EFC0A28">
      <w:start w:val="1"/>
      <w:numFmt w:val="bullet"/>
      <w:lvlText w:val=""/>
      <w:lvlJc w:val="left"/>
      <w:pPr>
        <w:ind w:left="720" w:hanging="360"/>
      </w:pPr>
      <w:rPr>
        <w:rFonts w:ascii="Symbol" w:hAnsi="Symbol" w:hint="default"/>
      </w:rPr>
    </w:lvl>
    <w:lvl w:ilvl="1" w:tplc="F0DAA1B4">
      <w:start w:val="1"/>
      <w:numFmt w:val="bullet"/>
      <w:lvlText w:val="o"/>
      <w:lvlJc w:val="left"/>
      <w:pPr>
        <w:ind w:left="1440" w:hanging="360"/>
      </w:pPr>
      <w:rPr>
        <w:rFonts w:ascii="Courier New" w:hAnsi="Courier New" w:hint="default"/>
      </w:rPr>
    </w:lvl>
    <w:lvl w:ilvl="2" w:tplc="2354A1B8">
      <w:start w:val="1"/>
      <w:numFmt w:val="bullet"/>
      <w:lvlText w:val=""/>
      <w:lvlJc w:val="left"/>
      <w:pPr>
        <w:ind w:left="2160" w:hanging="360"/>
      </w:pPr>
      <w:rPr>
        <w:rFonts w:ascii="Wingdings" w:hAnsi="Wingdings" w:hint="default"/>
      </w:rPr>
    </w:lvl>
    <w:lvl w:ilvl="3" w:tplc="981870AC">
      <w:start w:val="1"/>
      <w:numFmt w:val="bullet"/>
      <w:lvlText w:val=""/>
      <w:lvlJc w:val="left"/>
      <w:pPr>
        <w:ind w:left="2880" w:hanging="360"/>
      </w:pPr>
      <w:rPr>
        <w:rFonts w:ascii="Symbol" w:hAnsi="Symbol" w:hint="default"/>
      </w:rPr>
    </w:lvl>
    <w:lvl w:ilvl="4" w:tplc="174AC110">
      <w:start w:val="1"/>
      <w:numFmt w:val="bullet"/>
      <w:lvlText w:val="o"/>
      <w:lvlJc w:val="left"/>
      <w:pPr>
        <w:ind w:left="3600" w:hanging="360"/>
      </w:pPr>
      <w:rPr>
        <w:rFonts w:ascii="Courier New" w:hAnsi="Courier New" w:hint="default"/>
      </w:rPr>
    </w:lvl>
    <w:lvl w:ilvl="5" w:tplc="117E6F16">
      <w:start w:val="1"/>
      <w:numFmt w:val="bullet"/>
      <w:lvlText w:val=""/>
      <w:lvlJc w:val="left"/>
      <w:pPr>
        <w:ind w:left="4320" w:hanging="360"/>
      </w:pPr>
      <w:rPr>
        <w:rFonts w:ascii="Wingdings" w:hAnsi="Wingdings" w:hint="default"/>
      </w:rPr>
    </w:lvl>
    <w:lvl w:ilvl="6" w:tplc="14A447A6">
      <w:start w:val="1"/>
      <w:numFmt w:val="bullet"/>
      <w:lvlText w:val=""/>
      <w:lvlJc w:val="left"/>
      <w:pPr>
        <w:ind w:left="5040" w:hanging="360"/>
      </w:pPr>
      <w:rPr>
        <w:rFonts w:ascii="Symbol" w:hAnsi="Symbol" w:hint="default"/>
      </w:rPr>
    </w:lvl>
    <w:lvl w:ilvl="7" w:tplc="F9689266">
      <w:start w:val="1"/>
      <w:numFmt w:val="bullet"/>
      <w:lvlText w:val="o"/>
      <w:lvlJc w:val="left"/>
      <w:pPr>
        <w:ind w:left="5760" w:hanging="360"/>
      </w:pPr>
      <w:rPr>
        <w:rFonts w:ascii="Courier New" w:hAnsi="Courier New" w:hint="default"/>
      </w:rPr>
    </w:lvl>
    <w:lvl w:ilvl="8" w:tplc="FDDEDCC8">
      <w:start w:val="1"/>
      <w:numFmt w:val="bullet"/>
      <w:lvlText w:val=""/>
      <w:lvlJc w:val="left"/>
      <w:pPr>
        <w:ind w:left="6480" w:hanging="360"/>
      </w:pPr>
      <w:rPr>
        <w:rFonts w:ascii="Wingdings" w:hAnsi="Wingdings" w:hint="default"/>
      </w:rPr>
    </w:lvl>
  </w:abstractNum>
  <w:abstractNum w:abstractNumId="5" w15:restartNumberingAfterBreak="0">
    <w:nsid w:val="0CE5524C"/>
    <w:multiLevelType w:val="hybridMultilevel"/>
    <w:tmpl w:val="906C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8947DD"/>
    <w:multiLevelType w:val="hybridMultilevel"/>
    <w:tmpl w:val="5F2A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2501B"/>
    <w:multiLevelType w:val="hybridMultilevel"/>
    <w:tmpl w:val="B24E128E"/>
    <w:lvl w:ilvl="0" w:tplc="2822EDEC">
      <w:start w:val="1"/>
      <w:numFmt w:val="bullet"/>
      <w:lvlText w:val=""/>
      <w:lvlJc w:val="left"/>
      <w:pPr>
        <w:ind w:left="720" w:hanging="360"/>
      </w:pPr>
      <w:rPr>
        <w:rFonts w:ascii="Symbol" w:hAnsi="Symbol" w:hint="default"/>
      </w:rPr>
    </w:lvl>
    <w:lvl w:ilvl="1" w:tplc="FB907262">
      <w:start w:val="1"/>
      <w:numFmt w:val="bullet"/>
      <w:lvlText w:val="o"/>
      <w:lvlJc w:val="left"/>
      <w:pPr>
        <w:ind w:left="1440" w:hanging="360"/>
      </w:pPr>
      <w:rPr>
        <w:rFonts w:ascii="Courier New" w:hAnsi="Courier New" w:hint="default"/>
      </w:rPr>
    </w:lvl>
    <w:lvl w:ilvl="2" w:tplc="8C146CEC">
      <w:start w:val="1"/>
      <w:numFmt w:val="bullet"/>
      <w:lvlText w:val=""/>
      <w:lvlJc w:val="left"/>
      <w:pPr>
        <w:ind w:left="2160" w:hanging="360"/>
      </w:pPr>
      <w:rPr>
        <w:rFonts w:ascii="Wingdings" w:hAnsi="Wingdings" w:hint="default"/>
      </w:rPr>
    </w:lvl>
    <w:lvl w:ilvl="3" w:tplc="0E16C9D4">
      <w:start w:val="1"/>
      <w:numFmt w:val="bullet"/>
      <w:lvlText w:val=""/>
      <w:lvlJc w:val="left"/>
      <w:pPr>
        <w:ind w:left="2880" w:hanging="360"/>
      </w:pPr>
      <w:rPr>
        <w:rFonts w:ascii="Symbol" w:hAnsi="Symbol" w:hint="default"/>
      </w:rPr>
    </w:lvl>
    <w:lvl w:ilvl="4" w:tplc="6108E8DC">
      <w:start w:val="1"/>
      <w:numFmt w:val="bullet"/>
      <w:lvlText w:val="o"/>
      <w:lvlJc w:val="left"/>
      <w:pPr>
        <w:ind w:left="3600" w:hanging="360"/>
      </w:pPr>
      <w:rPr>
        <w:rFonts w:ascii="Courier New" w:hAnsi="Courier New" w:hint="default"/>
      </w:rPr>
    </w:lvl>
    <w:lvl w:ilvl="5" w:tplc="E06C4BC4">
      <w:start w:val="1"/>
      <w:numFmt w:val="bullet"/>
      <w:lvlText w:val=""/>
      <w:lvlJc w:val="left"/>
      <w:pPr>
        <w:ind w:left="4320" w:hanging="360"/>
      </w:pPr>
      <w:rPr>
        <w:rFonts w:ascii="Wingdings" w:hAnsi="Wingdings" w:hint="default"/>
      </w:rPr>
    </w:lvl>
    <w:lvl w:ilvl="6" w:tplc="34E0E430">
      <w:start w:val="1"/>
      <w:numFmt w:val="bullet"/>
      <w:lvlText w:val=""/>
      <w:lvlJc w:val="left"/>
      <w:pPr>
        <w:ind w:left="5040" w:hanging="360"/>
      </w:pPr>
      <w:rPr>
        <w:rFonts w:ascii="Symbol" w:hAnsi="Symbol" w:hint="default"/>
      </w:rPr>
    </w:lvl>
    <w:lvl w:ilvl="7" w:tplc="9FF4D4D6">
      <w:start w:val="1"/>
      <w:numFmt w:val="bullet"/>
      <w:lvlText w:val="o"/>
      <w:lvlJc w:val="left"/>
      <w:pPr>
        <w:ind w:left="5760" w:hanging="360"/>
      </w:pPr>
      <w:rPr>
        <w:rFonts w:ascii="Courier New" w:hAnsi="Courier New" w:hint="default"/>
      </w:rPr>
    </w:lvl>
    <w:lvl w:ilvl="8" w:tplc="BB8A2654">
      <w:start w:val="1"/>
      <w:numFmt w:val="bullet"/>
      <w:lvlText w:val=""/>
      <w:lvlJc w:val="left"/>
      <w:pPr>
        <w:ind w:left="6480" w:hanging="360"/>
      </w:pPr>
      <w:rPr>
        <w:rFonts w:ascii="Wingdings" w:hAnsi="Wingdings" w:hint="default"/>
      </w:rPr>
    </w:lvl>
  </w:abstractNum>
  <w:abstractNum w:abstractNumId="8" w15:restartNumberingAfterBreak="0">
    <w:nsid w:val="10F3641A"/>
    <w:multiLevelType w:val="hybridMultilevel"/>
    <w:tmpl w:val="0BF04CB8"/>
    <w:lvl w:ilvl="0" w:tplc="8D6CCC08">
      <w:start w:val="1"/>
      <w:numFmt w:val="decimal"/>
      <w:lvlText w:val="%1."/>
      <w:lvlJc w:val="left"/>
      <w:pPr>
        <w:ind w:left="720" w:hanging="360"/>
      </w:pPr>
    </w:lvl>
    <w:lvl w:ilvl="1" w:tplc="EAE4C0D8">
      <w:start w:val="1"/>
      <w:numFmt w:val="lowerLetter"/>
      <w:lvlText w:val="%2."/>
      <w:lvlJc w:val="left"/>
      <w:pPr>
        <w:ind w:left="1440" w:hanging="360"/>
      </w:pPr>
    </w:lvl>
    <w:lvl w:ilvl="2" w:tplc="D4B25CFE">
      <w:start w:val="1"/>
      <w:numFmt w:val="lowerRoman"/>
      <w:lvlText w:val="%3."/>
      <w:lvlJc w:val="right"/>
      <w:pPr>
        <w:ind w:left="2160" w:hanging="180"/>
      </w:pPr>
    </w:lvl>
    <w:lvl w:ilvl="3" w:tplc="091244B0">
      <w:start w:val="1"/>
      <w:numFmt w:val="decimal"/>
      <w:lvlText w:val="%4."/>
      <w:lvlJc w:val="left"/>
      <w:pPr>
        <w:ind w:left="2880" w:hanging="360"/>
      </w:pPr>
    </w:lvl>
    <w:lvl w:ilvl="4" w:tplc="94C848B2">
      <w:start w:val="1"/>
      <w:numFmt w:val="lowerLetter"/>
      <w:lvlText w:val="%5."/>
      <w:lvlJc w:val="left"/>
      <w:pPr>
        <w:ind w:left="3600" w:hanging="360"/>
      </w:pPr>
    </w:lvl>
    <w:lvl w:ilvl="5" w:tplc="5DCEFE42">
      <w:start w:val="1"/>
      <w:numFmt w:val="lowerRoman"/>
      <w:lvlText w:val="%6."/>
      <w:lvlJc w:val="right"/>
      <w:pPr>
        <w:ind w:left="4320" w:hanging="180"/>
      </w:pPr>
    </w:lvl>
    <w:lvl w:ilvl="6" w:tplc="AF361B6A">
      <w:start w:val="1"/>
      <w:numFmt w:val="decimal"/>
      <w:lvlText w:val="%7."/>
      <w:lvlJc w:val="left"/>
      <w:pPr>
        <w:ind w:left="5040" w:hanging="360"/>
      </w:pPr>
    </w:lvl>
    <w:lvl w:ilvl="7" w:tplc="F5E2A61A">
      <w:start w:val="1"/>
      <w:numFmt w:val="lowerLetter"/>
      <w:lvlText w:val="%8."/>
      <w:lvlJc w:val="left"/>
      <w:pPr>
        <w:ind w:left="5760" w:hanging="360"/>
      </w:pPr>
    </w:lvl>
    <w:lvl w:ilvl="8" w:tplc="E31EA638">
      <w:start w:val="1"/>
      <w:numFmt w:val="lowerRoman"/>
      <w:lvlText w:val="%9."/>
      <w:lvlJc w:val="right"/>
      <w:pPr>
        <w:ind w:left="6480" w:hanging="180"/>
      </w:pPr>
    </w:lvl>
  </w:abstractNum>
  <w:abstractNum w:abstractNumId="9" w15:restartNumberingAfterBreak="0">
    <w:nsid w:val="12E76AE4"/>
    <w:multiLevelType w:val="hybridMultilevel"/>
    <w:tmpl w:val="9C12ECD8"/>
    <w:lvl w:ilvl="0" w:tplc="D0A60F78">
      <w:start w:val="1"/>
      <w:numFmt w:val="decimal"/>
      <w:lvlText w:val="(%1)"/>
      <w:lvlJc w:val="left"/>
      <w:pPr>
        <w:ind w:left="360" w:hanging="360"/>
      </w:pPr>
      <w:rPr>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5E3ECC"/>
    <w:multiLevelType w:val="hybridMultilevel"/>
    <w:tmpl w:val="1D269504"/>
    <w:lvl w:ilvl="0" w:tplc="97DEB6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40AC0"/>
    <w:multiLevelType w:val="hybridMultilevel"/>
    <w:tmpl w:val="25B27C12"/>
    <w:lvl w:ilvl="0" w:tplc="1B608636">
      <w:start w:val="1"/>
      <w:numFmt w:val="bullet"/>
      <w:lvlText w:val=""/>
      <w:lvlJc w:val="left"/>
      <w:pPr>
        <w:ind w:left="720" w:hanging="360"/>
      </w:pPr>
      <w:rPr>
        <w:rFonts w:ascii="Symbol" w:hAnsi="Symbol" w:hint="default"/>
      </w:rPr>
    </w:lvl>
    <w:lvl w:ilvl="1" w:tplc="3FA27B6E">
      <w:start w:val="1"/>
      <w:numFmt w:val="bullet"/>
      <w:lvlText w:val="o"/>
      <w:lvlJc w:val="left"/>
      <w:pPr>
        <w:ind w:left="1440" w:hanging="360"/>
      </w:pPr>
      <w:rPr>
        <w:rFonts w:ascii="Courier New" w:hAnsi="Courier New" w:hint="default"/>
      </w:rPr>
    </w:lvl>
    <w:lvl w:ilvl="2" w:tplc="A7700FC2">
      <w:start w:val="1"/>
      <w:numFmt w:val="bullet"/>
      <w:lvlText w:val=""/>
      <w:lvlJc w:val="left"/>
      <w:pPr>
        <w:ind w:left="2160" w:hanging="360"/>
      </w:pPr>
      <w:rPr>
        <w:rFonts w:ascii="Wingdings" w:hAnsi="Wingdings" w:hint="default"/>
      </w:rPr>
    </w:lvl>
    <w:lvl w:ilvl="3" w:tplc="D2D4CD32">
      <w:start w:val="1"/>
      <w:numFmt w:val="bullet"/>
      <w:lvlText w:val=""/>
      <w:lvlJc w:val="left"/>
      <w:pPr>
        <w:ind w:left="2880" w:hanging="360"/>
      </w:pPr>
      <w:rPr>
        <w:rFonts w:ascii="Symbol" w:hAnsi="Symbol" w:hint="default"/>
      </w:rPr>
    </w:lvl>
    <w:lvl w:ilvl="4" w:tplc="9F8AE320">
      <w:start w:val="1"/>
      <w:numFmt w:val="bullet"/>
      <w:lvlText w:val="o"/>
      <w:lvlJc w:val="left"/>
      <w:pPr>
        <w:ind w:left="3600" w:hanging="360"/>
      </w:pPr>
      <w:rPr>
        <w:rFonts w:ascii="Courier New" w:hAnsi="Courier New" w:hint="default"/>
      </w:rPr>
    </w:lvl>
    <w:lvl w:ilvl="5" w:tplc="E2BE459E">
      <w:start w:val="1"/>
      <w:numFmt w:val="bullet"/>
      <w:lvlText w:val=""/>
      <w:lvlJc w:val="left"/>
      <w:pPr>
        <w:ind w:left="4320" w:hanging="360"/>
      </w:pPr>
      <w:rPr>
        <w:rFonts w:ascii="Wingdings" w:hAnsi="Wingdings" w:hint="default"/>
      </w:rPr>
    </w:lvl>
    <w:lvl w:ilvl="6" w:tplc="4586865C">
      <w:start w:val="1"/>
      <w:numFmt w:val="bullet"/>
      <w:lvlText w:val=""/>
      <w:lvlJc w:val="left"/>
      <w:pPr>
        <w:ind w:left="5040" w:hanging="360"/>
      </w:pPr>
      <w:rPr>
        <w:rFonts w:ascii="Symbol" w:hAnsi="Symbol" w:hint="default"/>
      </w:rPr>
    </w:lvl>
    <w:lvl w:ilvl="7" w:tplc="15ACAE80">
      <w:start w:val="1"/>
      <w:numFmt w:val="bullet"/>
      <w:lvlText w:val="o"/>
      <w:lvlJc w:val="left"/>
      <w:pPr>
        <w:ind w:left="5760" w:hanging="360"/>
      </w:pPr>
      <w:rPr>
        <w:rFonts w:ascii="Courier New" w:hAnsi="Courier New" w:hint="default"/>
      </w:rPr>
    </w:lvl>
    <w:lvl w:ilvl="8" w:tplc="D346A21C">
      <w:start w:val="1"/>
      <w:numFmt w:val="bullet"/>
      <w:lvlText w:val=""/>
      <w:lvlJc w:val="left"/>
      <w:pPr>
        <w:ind w:left="6480" w:hanging="360"/>
      </w:pPr>
      <w:rPr>
        <w:rFonts w:ascii="Wingdings" w:hAnsi="Wingdings" w:hint="default"/>
      </w:rPr>
    </w:lvl>
  </w:abstractNum>
  <w:abstractNum w:abstractNumId="12" w15:restartNumberingAfterBreak="0">
    <w:nsid w:val="174900C4"/>
    <w:multiLevelType w:val="hybridMultilevel"/>
    <w:tmpl w:val="0FF6BDC0"/>
    <w:lvl w:ilvl="0" w:tplc="0C09000F">
      <w:start w:val="1"/>
      <w:numFmt w:val="decimal"/>
      <w:lvlText w:val="%1."/>
      <w:lvlJc w:val="left"/>
      <w:pPr>
        <w:ind w:left="741" w:hanging="381"/>
      </w:pPr>
      <w:rPr>
        <w:rFonts w:hint="default"/>
        <w:spacing w:val="-1"/>
        <w:w w:val="100"/>
        <w:sz w:val="20"/>
        <w:szCs w:val="20"/>
      </w:rPr>
    </w:lvl>
    <w:lvl w:ilvl="1" w:tplc="8EB67BC0">
      <w:numFmt w:val="bullet"/>
      <w:lvlText w:val="•"/>
      <w:lvlJc w:val="left"/>
      <w:pPr>
        <w:ind w:left="1709" w:hanging="381"/>
      </w:pPr>
      <w:rPr>
        <w:rFonts w:hint="default"/>
      </w:rPr>
    </w:lvl>
    <w:lvl w:ilvl="2" w:tplc="E4F668CC">
      <w:numFmt w:val="bullet"/>
      <w:lvlText w:val="•"/>
      <w:lvlJc w:val="left"/>
      <w:pPr>
        <w:ind w:left="2686" w:hanging="381"/>
      </w:pPr>
      <w:rPr>
        <w:rFonts w:hint="default"/>
      </w:rPr>
    </w:lvl>
    <w:lvl w:ilvl="3" w:tplc="DCF2E374">
      <w:numFmt w:val="bullet"/>
      <w:lvlText w:val="•"/>
      <w:lvlJc w:val="left"/>
      <w:pPr>
        <w:ind w:left="3663" w:hanging="381"/>
      </w:pPr>
      <w:rPr>
        <w:rFonts w:hint="default"/>
      </w:rPr>
    </w:lvl>
    <w:lvl w:ilvl="4" w:tplc="60F298E4">
      <w:numFmt w:val="bullet"/>
      <w:lvlText w:val="•"/>
      <w:lvlJc w:val="left"/>
      <w:pPr>
        <w:ind w:left="4640" w:hanging="381"/>
      </w:pPr>
      <w:rPr>
        <w:rFonts w:hint="default"/>
      </w:rPr>
    </w:lvl>
    <w:lvl w:ilvl="5" w:tplc="F806B3E0">
      <w:numFmt w:val="bullet"/>
      <w:lvlText w:val="•"/>
      <w:lvlJc w:val="left"/>
      <w:pPr>
        <w:ind w:left="5616" w:hanging="381"/>
      </w:pPr>
      <w:rPr>
        <w:rFonts w:hint="default"/>
      </w:rPr>
    </w:lvl>
    <w:lvl w:ilvl="6" w:tplc="4594ACBE">
      <w:numFmt w:val="bullet"/>
      <w:lvlText w:val="•"/>
      <w:lvlJc w:val="left"/>
      <w:pPr>
        <w:ind w:left="6593" w:hanging="381"/>
      </w:pPr>
      <w:rPr>
        <w:rFonts w:hint="default"/>
      </w:rPr>
    </w:lvl>
    <w:lvl w:ilvl="7" w:tplc="690EAFBA">
      <w:numFmt w:val="bullet"/>
      <w:lvlText w:val="•"/>
      <w:lvlJc w:val="left"/>
      <w:pPr>
        <w:ind w:left="7570" w:hanging="381"/>
      </w:pPr>
      <w:rPr>
        <w:rFonts w:hint="default"/>
      </w:rPr>
    </w:lvl>
    <w:lvl w:ilvl="8" w:tplc="0D1061E4">
      <w:numFmt w:val="bullet"/>
      <w:lvlText w:val="•"/>
      <w:lvlJc w:val="left"/>
      <w:pPr>
        <w:ind w:left="8547" w:hanging="381"/>
      </w:pPr>
      <w:rPr>
        <w:rFonts w:hint="default"/>
      </w:rPr>
    </w:lvl>
  </w:abstractNum>
  <w:abstractNum w:abstractNumId="13" w15:restartNumberingAfterBreak="0">
    <w:nsid w:val="1D36562B"/>
    <w:multiLevelType w:val="hybridMultilevel"/>
    <w:tmpl w:val="F05455E6"/>
    <w:lvl w:ilvl="0" w:tplc="DE46D7EC">
      <w:start w:val="1"/>
      <w:numFmt w:val="bullet"/>
      <w:lvlText w:val=""/>
      <w:lvlJc w:val="left"/>
      <w:pPr>
        <w:ind w:left="720" w:hanging="360"/>
      </w:pPr>
      <w:rPr>
        <w:rFonts w:ascii="Symbol" w:hAnsi="Symbol" w:hint="default"/>
      </w:rPr>
    </w:lvl>
    <w:lvl w:ilvl="1" w:tplc="072A13F8">
      <w:start w:val="1"/>
      <w:numFmt w:val="bullet"/>
      <w:lvlText w:val="o"/>
      <w:lvlJc w:val="left"/>
      <w:pPr>
        <w:ind w:left="1440" w:hanging="360"/>
      </w:pPr>
      <w:rPr>
        <w:rFonts w:ascii="Courier New" w:hAnsi="Courier New" w:hint="default"/>
      </w:rPr>
    </w:lvl>
    <w:lvl w:ilvl="2" w:tplc="878C8C2E">
      <w:start w:val="1"/>
      <w:numFmt w:val="bullet"/>
      <w:lvlText w:val=""/>
      <w:lvlJc w:val="left"/>
      <w:pPr>
        <w:ind w:left="2160" w:hanging="360"/>
      </w:pPr>
      <w:rPr>
        <w:rFonts w:ascii="Wingdings" w:hAnsi="Wingdings" w:hint="default"/>
      </w:rPr>
    </w:lvl>
    <w:lvl w:ilvl="3" w:tplc="62F819A4">
      <w:start w:val="1"/>
      <w:numFmt w:val="bullet"/>
      <w:lvlText w:val=""/>
      <w:lvlJc w:val="left"/>
      <w:pPr>
        <w:ind w:left="2880" w:hanging="360"/>
      </w:pPr>
      <w:rPr>
        <w:rFonts w:ascii="Symbol" w:hAnsi="Symbol" w:hint="default"/>
      </w:rPr>
    </w:lvl>
    <w:lvl w:ilvl="4" w:tplc="0CCEB95C">
      <w:start w:val="1"/>
      <w:numFmt w:val="bullet"/>
      <w:lvlText w:val="o"/>
      <w:lvlJc w:val="left"/>
      <w:pPr>
        <w:ind w:left="3600" w:hanging="360"/>
      </w:pPr>
      <w:rPr>
        <w:rFonts w:ascii="Courier New" w:hAnsi="Courier New" w:hint="default"/>
      </w:rPr>
    </w:lvl>
    <w:lvl w:ilvl="5" w:tplc="745EDF7C">
      <w:start w:val="1"/>
      <w:numFmt w:val="bullet"/>
      <w:lvlText w:val=""/>
      <w:lvlJc w:val="left"/>
      <w:pPr>
        <w:ind w:left="4320" w:hanging="360"/>
      </w:pPr>
      <w:rPr>
        <w:rFonts w:ascii="Wingdings" w:hAnsi="Wingdings" w:hint="default"/>
      </w:rPr>
    </w:lvl>
    <w:lvl w:ilvl="6" w:tplc="2682C4A8">
      <w:start w:val="1"/>
      <w:numFmt w:val="bullet"/>
      <w:lvlText w:val=""/>
      <w:lvlJc w:val="left"/>
      <w:pPr>
        <w:ind w:left="5040" w:hanging="360"/>
      </w:pPr>
      <w:rPr>
        <w:rFonts w:ascii="Symbol" w:hAnsi="Symbol" w:hint="default"/>
      </w:rPr>
    </w:lvl>
    <w:lvl w:ilvl="7" w:tplc="176279E2">
      <w:start w:val="1"/>
      <w:numFmt w:val="bullet"/>
      <w:lvlText w:val="o"/>
      <w:lvlJc w:val="left"/>
      <w:pPr>
        <w:ind w:left="5760" w:hanging="360"/>
      </w:pPr>
      <w:rPr>
        <w:rFonts w:ascii="Courier New" w:hAnsi="Courier New" w:hint="default"/>
      </w:rPr>
    </w:lvl>
    <w:lvl w:ilvl="8" w:tplc="30848E2E">
      <w:start w:val="1"/>
      <w:numFmt w:val="bullet"/>
      <w:lvlText w:val=""/>
      <w:lvlJc w:val="left"/>
      <w:pPr>
        <w:ind w:left="6480" w:hanging="360"/>
      </w:pPr>
      <w:rPr>
        <w:rFonts w:ascii="Wingdings" w:hAnsi="Wingdings" w:hint="default"/>
      </w:rPr>
    </w:lvl>
  </w:abstractNum>
  <w:abstractNum w:abstractNumId="14" w15:restartNumberingAfterBreak="0">
    <w:nsid w:val="26E550BD"/>
    <w:multiLevelType w:val="hybridMultilevel"/>
    <w:tmpl w:val="8FB6BD5C"/>
    <w:lvl w:ilvl="0" w:tplc="2730E5E2">
      <w:start w:val="1"/>
      <w:numFmt w:val="decimal"/>
      <w:lvlText w:val="(%1)"/>
      <w:lvlJc w:val="left"/>
      <w:pPr>
        <w:ind w:left="720" w:hanging="72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5859B4"/>
    <w:multiLevelType w:val="hybridMultilevel"/>
    <w:tmpl w:val="220C8B54"/>
    <w:lvl w:ilvl="0" w:tplc="9C02899E">
      <w:start w:val="1"/>
      <w:numFmt w:val="bullet"/>
      <w:lvlText w:val=""/>
      <w:lvlJc w:val="left"/>
      <w:pPr>
        <w:ind w:left="720" w:hanging="360"/>
      </w:pPr>
      <w:rPr>
        <w:rFonts w:ascii="Symbol" w:hAnsi="Symbol" w:hint="default"/>
      </w:rPr>
    </w:lvl>
    <w:lvl w:ilvl="1" w:tplc="E8106B6A">
      <w:start w:val="1"/>
      <w:numFmt w:val="bullet"/>
      <w:lvlText w:val="o"/>
      <w:lvlJc w:val="left"/>
      <w:pPr>
        <w:ind w:left="1440" w:hanging="360"/>
      </w:pPr>
      <w:rPr>
        <w:rFonts w:ascii="Courier New" w:hAnsi="Courier New" w:hint="default"/>
      </w:rPr>
    </w:lvl>
    <w:lvl w:ilvl="2" w:tplc="6076FBF6">
      <w:start w:val="1"/>
      <w:numFmt w:val="bullet"/>
      <w:lvlText w:val=""/>
      <w:lvlJc w:val="left"/>
      <w:pPr>
        <w:ind w:left="2160" w:hanging="360"/>
      </w:pPr>
      <w:rPr>
        <w:rFonts w:ascii="Wingdings" w:hAnsi="Wingdings" w:hint="default"/>
      </w:rPr>
    </w:lvl>
    <w:lvl w:ilvl="3" w:tplc="CBFCFADE">
      <w:start w:val="1"/>
      <w:numFmt w:val="bullet"/>
      <w:lvlText w:val=""/>
      <w:lvlJc w:val="left"/>
      <w:pPr>
        <w:ind w:left="2880" w:hanging="360"/>
      </w:pPr>
      <w:rPr>
        <w:rFonts w:ascii="Symbol" w:hAnsi="Symbol" w:hint="default"/>
      </w:rPr>
    </w:lvl>
    <w:lvl w:ilvl="4" w:tplc="DECE0ACC">
      <w:start w:val="1"/>
      <w:numFmt w:val="bullet"/>
      <w:lvlText w:val="o"/>
      <w:lvlJc w:val="left"/>
      <w:pPr>
        <w:ind w:left="3600" w:hanging="360"/>
      </w:pPr>
      <w:rPr>
        <w:rFonts w:ascii="Courier New" w:hAnsi="Courier New" w:hint="default"/>
      </w:rPr>
    </w:lvl>
    <w:lvl w:ilvl="5" w:tplc="7A3CDC78">
      <w:start w:val="1"/>
      <w:numFmt w:val="bullet"/>
      <w:lvlText w:val=""/>
      <w:lvlJc w:val="left"/>
      <w:pPr>
        <w:ind w:left="4320" w:hanging="360"/>
      </w:pPr>
      <w:rPr>
        <w:rFonts w:ascii="Wingdings" w:hAnsi="Wingdings" w:hint="default"/>
      </w:rPr>
    </w:lvl>
    <w:lvl w:ilvl="6" w:tplc="75D615A2">
      <w:start w:val="1"/>
      <w:numFmt w:val="bullet"/>
      <w:lvlText w:val=""/>
      <w:lvlJc w:val="left"/>
      <w:pPr>
        <w:ind w:left="5040" w:hanging="360"/>
      </w:pPr>
      <w:rPr>
        <w:rFonts w:ascii="Symbol" w:hAnsi="Symbol" w:hint="default"/>
      </w:rPr>
    </w:lvl>
    <w:lvl w:ilvl="7" w:tplc="40FA27C2">
      <w:start w:val="1"/>
      <w:numFmt w:val="bullet"/>
      <w:lvlText w:val="o"/>
      <w:lvlJc w:val="left"/>
      <w:pPr>
        <w:ind w:left="5760" w:hanging="360"/>
      </w:pPr>
      <w:rPr>
        <w:rFonts w:ascii="Courier New" w:hAnsi="Courier New" w:hint="default"/>
      </w:rPr>
    </w:lvl>
    <w:lvl w:ilvl="8" w:tplc="C262A264">
      <w:start w:val="1"/>
      <w:numFmt w:val="bullet"/>
      <w:lvlText w:val=""/>
      <w:lvlJc w:val="left"/>
      <w:pPr>
        <w:ind w:left="6480" w:hanging="360"/>
      </w:pPr>
      <w:rPr>
        <w:rFonts w:ascii="Wingdings" w:hAnsi="Wingdings" w:hint="default"/>
      </w:rPr>
    </w:lvl>
  </w:abstractNum>
  <w:abstractNum w:abstractNumId="16" w15:restartNumberingAfterBreak="0">
    <w:nsid w:val="2A47263F"/>
    <w:multiLevelType w:val="hybridMultilevel"/>
    <w:tmpl w:val="EC7C11A0"/>
    <w:lvl w:ilvl="0" w:tplc="B3D47A1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821690"/>
    <w:multiLevelType w:val="hybridMultilevel"/>
    <w:tmpl w:val="1F0ED54A"/>
    <w:lvl w:ilvl="0" w:tplc="50623BDE">
      <w:start w:val="1"/>
      <w:numFmt w:val="decimal"/>
      <w:lvlText w:val="(%1)"/>
      <w:lvlJc w:val="left"/>
      <w:pPr>
        <w:ind w:left="720" w:hanging="360"/>
      </w:pPr>
      <w:rPr>
        <w:rFonts w:ascii="Verdana" w:eastAsiaTheme="minorHAnsi" w:hAnsi="Verdan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E23D98"/>
    <w:multiLevelType w:val="hybridMultilevel"/>
    <w:tmpl w:val="80D02AB6"/>
    <w:lvl w:ilvl="0" w:tplc="14EE530E">
      <w:start w:val="1"/>
      <w:numFmt w:val="bullet"/>
      <w:lvlText w:val=""/>
      <w:lvlJc w:val="left"/>
      <w:pPr>
        <w:ind w:left="720" w:hanging="360"/>
      </w:pPr>
      <w:rPr>
        <w:rFonts w:ascii="Symbol" w:hAnsi="Symbol" w:hint="default"/>
      </w:rPr>
    </w:lvl>
    <w:lvl w:ilvl="1" w:tplc="92903A2A">
      <w:start w:val="1"/>
      <w:numFmt w:val="bullet"/>
      <w:lvlText w:val="o"/>
      <w:lvlJc w:val="left"/>
      <w:pPr>
        <w:ind w:left="1440" w:hanging="360"/>
      </w:pPr>
      <w:rPr>
        <w:rFonts w:ascii="Courier New" w:hAnsi="Courier New" w:hint="default"/>
      </w:rPr>
    </w:lvl>
    <w:lvl w:ilvl="2" w:tplc="D72AFA4A">
      <w:start w:val="1"/>
      <w:numFmt w:val="bullet"/>
      <w:lvlText w:val=""/>
      <w:lvlJc w:val="left"/>
      <w:pPr>
        <w:ind w:left="2160" w:hanging="360"/>
      </w:pPr>
      <w:rPr>
        <w:rFonts w:ascii="Wingdings" w:hAnsi="Wingdings" w:hint="default"/>
      </w:rPr>
    </w:lvl>
    <w:lvl w:ilvl="3" w:tplc="A246EECC">
      <w:start w:val="1"/>
      <w:numFmt w:val="bullet"/>
      <w:lvlText w:val=""/>
      <w:lvlJc w:val="left"/>
      <w:pPr>
        <w:ind w:left="2880" w:hanging="360"/>
      </w:pPr>
      <w:rPr>
        <w:rFonts w:ascii="Symbol" w:hAnsi="Symbol" w:hint="default"/>
      </w:rPr>
    </w:lvl>
    <w:lvl w:ilvl="4" w:tplc="CA1E6962">
      <w:start w:val="1"/>
      <w:numFmt w:val="bullet"/>
      <w:lvlText w:val="o"/>
      <w:lvlJc w:val="left"/>
      <w:pPr>
        <w:ind w:left="3600" w:hanging="360"/>
      </w:pPr>
      <w:rPr>
        <w:rFonts w:ascii="Courier New" w:hAnsi="Courier New" w:hint="default"/>
      </w:rPr>
    </w:lvl>
    <w:lvl w:ilvl="5" w:tplc="31DC5048">
      <w:start w:val="1"/>
      <w:numFmt w:val="bullet"/>
      <w:lvlText w:val=""/>
      <w:lvlJc w:val="left"/>
      <w:pPr>
        <w:ind w:left="4320" w:hanging="360"/>
      </w:pPr>
      <w:rPr>
        <w:rFonts w:ascii="Wingdings" w:hAnsi="Wingdings" w:hint="default"/>
      </w:rPr>
    </w:lvl>
    <w:lvl w:ilvl="6" w:tplc="40B24812">
      <w:start w:val="1"/>
      <w:numFmt w:val="bullet"/>
      <w:lvlText w:val=""/>
      <w:lvlJc w:val="left"/>
      <w:pPr>
        <w:ind w:left="5040" w:hanging="360"/>
      </w:pPr>
      <w:rPr>
        <w:rFonts w:ascii="Symbol" w:hAnsi="Symbol" w:hint="default"/>
      </w:rPr>
    </w:lvl>
    <w:lvl w:ilvl="7" w:tplc="5BA415E6">
      <w:start w:val="1"/>
      <w:numFmt w:val="bullet"/>
      <w:lvlText w:val="o"/>
      <w:lvlJc w:val="left"/>
      <w:pPr>
        <w:ind w:left="5760" w:hanging="360"/>
      </w:pPr>
      <w:rPr>
        <w:rFonts w:ascii="Courier New" w:hAnsi="Courier New" w:hint="default"/>
      </w:rPr>
    </w:lvl>
    <w:lvl w:ilvl="8" w:tplc="8C76ECF0">
      <w:start w:val="1"/>
      <w:numFmt w:val="bullet"/>
      <w:lvlText w:val=""/>
      <w:lvlJc w:val="left"/>
      <w:pPr>
        <w:ind w:left="6480" w:hanging="360"/>
      </w:pPr>
      <w:rPr>
        <w:rFonts w:ascii="Wingdings" w:hAnsi="Wingdings" w:hint="default"/>
      </w:rPr>
    </w:lvl>
  </w:abstractNum>
  <w:abstractNum w:abstractNumId="19" w15:restartNumberingAfterBreak="0">
    <w:nsid w:val="38E321A4"/>
    <w:multiLevelType w:val="hybridMultilevel"/>
    <w:tmpl w:val="E3D60F16"/>
    <w:lvl w:ilvl="0" w:tplc="7660B00A">
      <w:start w:val="1"/>
      <w:numFmt w:val="decimal"/>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274B56"/>
    <w:multiLevelType w:val="hybridMultilevel"/>
    <w:tmpl w:val="DC1A6E1A"/>
    <w:lvl w:ilvl="0" w:tplc="685612DE">
      <w:start w:val="1"/>
      <w:numFmt w:val="decimal"/>
      <w:lvlText w:val="(%1)"/>
      <w:lvlJc w:val="left"/>
      <w:pPr>
        <w:ind w:left="360" w:hanging="360"/>
      </w:pPr>
      <w:rPr>
        <w:rFonts w:ascii="Verdana" w:eastAsia="Verdana" w:hAnsi="Verdana" w:cs="Verdana"/>
      </w:rPr>
    </w:lvl>
    <w:lvl w:ilvl="1" w:tplc="1EC24B92">
      <w:start w:val="1"/>
      <w:numFmt w:val="bullet"/>
      <w:lvlText w:val="o"/>
      <w:lvlJc w:val="left"/>
      <w:pPr>
        <w:ind w:left="1080" w:hanging="360"/>
      </w:pPr>
      <w:rPr>
        <w:rFonts w:ascii="Courier New" w:hAnsi="Courier New" w:hint="default"/>
      </w:rPr>
    </w:lvl>
    <w:lvl w:ilvl="2" w:tplc="9E30463E">
      <w:start w:val="1"/>
      <w:numFmt w:val="bullet"/>
      <w:lvlText w:val=""/>
      <w:lvlJc w:val="left"/>
      <w:pPr>
        <w:ind w:left="1800" w:hanging="360"/>
      </w:pPr>
      <w:rPr>
        <w:rFonts w:ascii="Wingdings" w:hAnsi="Wingdings" w:hint="default"/>
      </w:rPr>
    </w:lvl>
    <w:lvl w:ilvl="3" w:tplc="465EE17A">
      <w:start w:val="1"/>
      <w:numFmt w:val="bullet"/>
      <w:lvlText w:val=""/>
      <w:lvlJc w:val="left"/>
      <w:pPr>
        <w:ind w:left="2520" w:hanging="360"/>
      </w:pPr>
      <w:rPr>
        <w:rFonts w:ascii="Symbol" w:hAnsi="Symbol" w:hint="default"/>
      </w:rPr>
    </w:lvl>
    <w:lvl w:ilvl="4" w:tplc="97A08360">
      <w:start w:val="1"/>
      <w:numFmt w:val="bullet"/>
      <w:lvlText w:val="o"/>
      <w:lvlJc w:val="left"/>
      <w:pPr>
        <w:ind w:left="3240" w:hanging="360"/>
      </w:pPr>
      <w:rPr>
        <w:rFonts w:ascii="Courier New" w:hAnsi="Courier New" w:hint="default"/>
      </w:rPr>
    </w:lvl>
    <w:lvl w:ilvl="5" w:tplc="5D1C58D2">
      <w:start w:val="1"/>
      <w:numFmt w:val="bullet"/>
      <w:lvlText w:val=""/>
      <w:lvlJc w:val="left"/>
      <w:pPr>
        <w:ind w:left="3960" w:hanging="360"/>
      </w:pPr>
      <w:rPr>
        <w:rFonts w:ascii="Wingdings" w:hAnsi="Wingdings" w:hint="default"/>
      </w:rPr>
    </w:lvl>
    <w:lvl w:ilvl="6" w:tplc="0812DE3A">
      <w:start w:val="1"/>
      <w:numFmt w:val="bullet"/>
      <w:lvlText w:val=""/>
      <w:lvlJc w:val="left"/>
      <w:pPr>
        <w:ind w:left="4680" w:hanging="360"/>
      </w:pPr>
      <w:rPr>
        <w:rFonts w:ascii="Symbol" w:hAnsi="Symbol" w:hint="default"/>
      </w:rPr>
    </w:lvl>
    <w:lvl w:ilvl="7" w:tplc="050E6602">
      <w:start w:val="1"/>
      <w:numFmt w:val="bullet"/>
      <w:lvlText w:val="o"/>
      <w:lvlJc w:val="left"/>
      <w:pPr>
        <w:ind w:left="5400" w:hanging="360"/>
      </w:pPr>
      <w:rPr>
        <w:rFonts w:ascii="Courier New" w:hAnsi="Courier New" w:hint="default"/>
      </w:rPr>
    </w:lvl>
    <w:lvl w:ilvl="8" w:tplc="CBDE8B6A">
      <w:start w:val="1"/>
      <w:numFmt w:val="bullet"/>
      <w:lvlText w:val=""/>
      <w:lvlJc w:val="left"/>
      <w:pPr>
        <w:ind w:left="6120" w:hanging="360"/>
      </w:pPr>
      <w:rPr>
        <w:rFonts w:ascii="Wingdings" w:hAnsi="Wingdings" w:hint="default"/>
      </w:rPr>
    </w:lvl>
  </w:abstractNum>
  <w:abstractNum w:abstractNumId="21" w15:restartNumberingAfterBreak="0">
    <w:nsid w:val="3DA81315"/>
    <w:multiLevelType w:val="hybridMultilevel"/>
    <w:tmpl w:val="3DE6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6F7B34"/>
    <w:multiLevelType w:val="hybridMultilevel"/>
    <w:tmpl w:val="BC3017CE"/>
    <w:lvl w:ilvl="0" w:tplc="97AC3AF0">
      <w:start w:val="1"/>
      <w:numFmt w:val="bullet"/>
      <w:lvlText w:val=""/>
      <w:lvlJc w:val="left"/>
      <w:pPr>
        <w:ind w:left="720" w:hanging="360"/>
      </w:pPr>
      <w:rPr>
        <w:rFonts w:ascii="Symbol" w:hAnsi="Symbol" w:hint="default"/>
      </w:rPr>
    </w:lvl>
    <w:lvl w:ilvl="1" w:tplc="6C9AC818">
      <w:start w:val="1"/>
      <w:numFmt w:val="bullet"/>
      <w:lvlText w:val="o"/>
      <w:lvlJc w:val="left"/>
      <w:pPr>
        <w:ind w:left="1440" w:hanging="360"/>
      </w:pPr>
      <w:rPr>
        <w:rFonts w:ascii="Courier New" w:hAnsi="Courier New" w:hint="default"/>
      </w:rPr>
    </w:lvl>
    <w:lvl w:ilvl="2" w:tplc="FB78D8B4">
      <w:start w:val="1"/>
      <w:numFmt w:val="bullet"/>
      <w:lvlText w:val=""/>
      <w:lvlJc w:val="left"/>
      <w:pPr>
        <w:ind w:left="2160" w:hanging="360"/>
      </w:pPr>
      <w:rPr>
        <w:rFonts w:ascii="Wingdings" w:hAnsi="Wingdings" w:hint="default"/>
      </w:rPr>
    </w:lvl>
    <w:lvl w:ilvl="3" w:tplc="101C5E4C">
      <w:start w:val="1"/>
      <w:numFmt w:val="bullet"/>
      <w:lvlText w:val=""/>
      <w:lvlJc w:val="left"/>
      <w:pPr>
        <w:ind w:left="2880" w:hanging="360"/>
      </w:pPr>
      <w:rPr>
        <w:rFonts w:ascii="Symbol" w:hAnsi="Symbol" w:hint="default"/>
      </w:rPr>
    </w:lvl>
    <w:lvl w:ilvl="4" w:tplc="F5C05B0E">
      <w:start w:val="1"/>
      <w:numFmt w:val="bullet"/>
      <w:lvlText w:val="o"/>
      <w:lvlJc w:val="left"/>
      <w:pPr>
        <w:ind w:left="3600" w:hanging="360"/>
      </w:pPr>
      <w:rPr>
        <w:rFonts w:ascii="Courier New" w:hAnsi="Courier New" w:hint="default"/>
      </w:rPr>
    </w:lvl>
    <w:lvl w:ilvl="5" w:tplc="90BE6C64">
      <w:start w:val="1"/>
      <w:numFmt w:val="bullet"/>
      <w:lvlText w:val=""/>
      <w:lvlJc w:val="left"/>
      <w:pPr>
        <w:ind w:left="4320" w:hanging="360"/>
      </w:pPr>
      <w:rPr>
        <w:rFonts w:ascii="Wingdings" w:hAnsi="Wingdings" w:hint="default"/>
      </w:rPr>
    </w:lvl>
    <w:lvl w:ilvl="6" w:tplc="A7222E86">
      <w:start w:val="1"/>
      <w:numFmt w:val="bullet"/>
      <w:lvlText w:val=""/>
      <w:lvlJc w:val="left"/>
      <w:pPr>
        <w:ind w:left="5040" w:hanging="360"/>
      </w:pPr>
      <w:rPr>
        <w:rFonts w:ascii="Symbol" w:hAnsi="Symbol" w:hint="default"/>
      </w:rPr>
    </w:lvl>
    <w:lvl w:ilvl="7" w:tplc="1F14CE4A">
      <w:start w:val="1"/>
      <w:numFmt w:val="bullet"/>
      <w:lvlText w:val="o"/>
      <w:lvlJc w:val="left"/>
      <w:pPr>
        <w:ind w:left="5760" w:hanging="360"/>
      </w:pPr>
      <w:rPr>
        <w:rFonts w:ascii="Courier New" w:hAnsi="Courier New" w:hint="default"/>
      </w:rPr>
    </w:lvl>
    <w:lvl w:ilvl="8" w:tplc="846C837C">
      <w:start w:val="1"/>
      <w:numFmt w:val="bullet"/>
      <w:lvlText w:val=""/>
      <w:lvlJc w:val="left"/>
      <w:pPr>
        <w:ind w:left="6480" w:hanging="360"/>
      </w:pPr>
      <w:rPr>
        <w:rFonts w:ascii="Wingdings" w:hAnsi="Wingdings" w:hint="default"/>
      </w:rPr>
    </w:lvl>
  </w:abstractNum>
  <w:abstractNum w:abstractNumId="23" w15:restartNumberingAfterBreak="0">
    <w:nsid w:val="449B398A"/>
    <w:multiLevelType w:val="hybridMultilevel"/>
    <w:tmpl w:val="FC282016"/>
    <w:lvl w:ilvl="0" w:tplc="C20033D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4A52410"/>
    <w:multiLevelType w:val="hybridMultilevel"/>
    <w:tmpl w:val="AFA286FA"/>
    <w:lvl w:ilvl="0" w:tplc="C9D22C8C">
      <w:start w:val="1"/>
      <w:numFmt w:val="bullet"/>
      <w:pStyle w:val="ListParagraph"/>
      <w:lvlText w:val=""/>
      <w:lvlJc w:val="left"/>
      <w:pPr>
        <w:ind w:left="720" w:hanging="360"/>
      </w:pPr>
      <w:rPr>
        <w:rFonts w:ascii="Symbol" w:hAnsi="Symbol" w:hint="default"/>
      </w:rPr>
    </w:lvl>
    <w:lvl w:ilvl="1" w:tplc="871E12DA">
      <w:start w:val="1"/>
      <w:numFmt w:val="lowerLetter"/>
      <w:lvlText w:val="(%2)"/>
      <w:lvlJc w:val="left"/>
      <w:pPr>
        <w:ind w:left="1440" w:hanging="360"/>
      </w:pPr>
      <w:rPr>
        <w:rFonts w:ascii="Verdana" w:eastAsiaTheme="minorHAnsi" w:hAnsi="Verdana" w:cstheme="minorBidi"/>
      </w:rPr>
    </w:lvl>
    <w:lvl w:ilvl="2" w:tplc="8FC8644E">
      <w:start w:val="1"/>
      <w:numFmt w:val="bullet"/>
      <w:lvlText w:val=""/>
      <w:lvlJc w:val="left"/>
      <w:pPr>
        <w:ind w:left="2160" w:hanging="360"/>
      </w:pPr>
      <w:rPr>
        <w:rFonts w:ascii="Wingdings" w:hAnsi="Wingdings" w:hint="default"/>
      </w:rPr>
    </w:lvl>
    <w:lvl w:ilvl="3" w:tplc="8ECCB944">
      <w:start w:val="1"/>
      <w:numFmt w:val="bullet"/>
      <w:lvlText w:val=""/>
      <w:lvlJc w:val="left"/>
      <w:pPr>
        <w:ind w:left="2880" w:hanging="360"/>
      </w:pPr>
      <w:rPr>
        <w:rFonts w:ascii="Symbol" w:hAnsi="Symbol" w:hint="default"/>
      </w:rPr>
    </w:lvl>
    <w:lvl w:ilvl="4" w:tplc="069876E4">
      <w:start w:val="1"/>
      <w:numFmt w:val="bullet"/>
      <w:lvlText w:val="o"/>
      <w:lvlJc w:val="left"/>
      <w:pPr>
        <w:ind w:left="3600" w:hanging="360"/>
      </w:pPr>
      <w:rPr>
        <w:rFonts w:ascii="Courier New" w:hAnsi="Courier New" w:hint="default"/>
      </w:rPr>
    </w:lvl>
    <w:lvl w:ilvl="5" w:tplc="97C02854">
      <w:start w:val="1"/>
      <w:numFmt w:val="bullet"/>
      <w:lvlText w:val=""/>
      <w:lvlJc w:val="left"/>
      <w:pPr>
        <w:ind w:left="4320" w:hanging="360"/>
      </w:pPr>
      <w:rPr>
        <w:rFonts w:ascii="Wingdings" w:hAnsi="Wingdings" w:hint="default"/>
      </w:rPr>
    </w:lvl>
    <w:lvl w:ilvl="6" w:tplc="86CA9906">
      <w:start w:val="1"/>
      <w:numFmt w:val="bullet"/>
      <w:lvlText w:val=""/>
      <w:lvlJc w:val="left"/>
      <w:pPr>
        <w:ind w:left="5040" w:hanging="360"/>
      </w:pPr>
      <w:rPr>
        <w:rFonts w:ascii="Symbol" w:hAnsi="Symbol" w:hint="default"/>
      </w:rPr>
    </w:lvl>
    <w:lvl w:ilvl="7" w:tplc="1214E7A6">
      <w:start w:val="1"/>
      <w:numFmt w:val="bullet"/>
      <w:lvlText w:val="o"/>
      <w:lvlJc w:val="left"/>
      <w:pPr>
        <w:ind w:left="5760" w:hanging="360"/>
      </w:pPr>
      <w:rPr>
        <w:rFonts w:ascii="Courier New" w:hAnsi="Courier New" w:hint="default"/>
      </w:rPr>
    </w:lvl>
    <w:lvl w:ilvl="8" w:tplc="913895C2">
      <w:start w:val="1"/>
      <w:numFmt w:val="bullet"/>
      <w:lvlText w:val=""/>
      <w:lvlJc w:val="left"/>
      <w:pPr>
        <w:ind w:left="6480" w:hanging="360"/>
      </w:pPr>
      <w:rPr>
        <w:rFonts w:ascii="Wingdings" w:hAnsi="Wingdings" w:hint="default"/>
      </w:rPr>
    </w:lvl>
  </w:abstractNum>
  <w:abstractNum w:abstractNumId="25" w15:restartNumberingAfterBreak="0">
    <w:nsid w:val="4E47309A"/>
    <w:multiLevelType w:val="hybridMultilevel"/>
    <w:tmpl w:val="5EB251FC"/>
    <w:lvl w:ilvl="0" w:tplc="92B4A092">
      <w:start w:val="1"/>
      <w:numFmt w:val="bullet"/>
      <w:lvlText w:val=""/>
      <w:lvlJc w:val="left"/>
      <w:pPr>
        <w:ind w:left="720" w:hanging="360"/>
      </w:pPr>
      <w:rPr>
        <w:rFonts w:ascii="Symbol" w:hAnsi="Symbol" w:hint="default"/>
      </w:rPr>
    </w:lvl>
    <w:lvl w:ilvl="1" w:tplc="7316946E">
      <w:start w:val="1"/>
      <w:numFmt w:val="bullet"/>
      <w:lvlText w:val="o"/>
      <w:lvlJc w:val="left"/>
      <w:pPr>
        <w:ind w:left="1440" w:hanging="360"/>
      </w:pPr>
      <w:rPr>
        <w:rFonts w:ascii="Courier New" w:hAnsi="Courier New" w:hint="default"/>
      </w:rPr>
    </w:lvl>
    <w:lvl w:ilvl="2" w:tplc="E7AC5D4A">
      <w:start w:val="1"/>
      <w:numFmt w:val="bullet"/>
      <w:lvlText w:val=""/>
      <w:lvlJc w:val="left"/>
      <w:pPr>
        <w:ind w:left="2160" w:hanging="360"/>
      </w:pPr>
      <w:rPr>
        <w:rFonts w:ascii="Wingdings" w:hAnsi="Wingdings" w:hint="default"/>
      </w:rPr>
    </w:lvl>
    <w:lvl w:ilvl="3" w:tplc="35E88BE6">
      <w:start w:val="1"/>
      <w:numFmt w:val="bullet"/>
      <w:lvlText w:val=""/>
      <w:lvlJc w:val="left"/>
      <w:pPr>
        <w:ind w:left="2880" w:hanging="360"/>
      </w:pPr>
      <w:rPr>
        <w:rFonts w:ascii="Symbol" w:hAnsi="Symbol" w:hint="default"/>
      </w:rPr>
    </w:lvl>
    <w:lvl w:ilvl="4" w:tplc="70864F6C">
      <w:start w:val="1"/>
      <w:numFmt w:val="bullet"/>
      <w:lvlText w:val="o"/>
      <w:lvlJc w:val="left"/>
      <w:pPr>
        <w:ind w:left="3600" w:hanging="360"/>
      </w:pPr>
      <w:rPr>
        <w:rFonts w:ascii="Courier New" w:hAnsi="Courier New" w:hint="default"/>
      </w:rPr>
    </w:lvl>
    <w:lvl w:ilvl="5" w:tplc="7744E84E">
      <w:start w:val="1"/>
      <w:numFmt w:val="bullet"/>
      <w:lvlText w:val=""/>
      <w:lvlJc w:val="left"/>
      <w:pPr>
        <w:ind w:left="4320" w:hanging="360"/>
      </w:pPr>
      <w:rPr>
        <w:rFonts w:ascii="Wingdings" w:hAnsi="Wingdings" w:hint="default"/>
      </w:rPr>
    </w:lvl>
    <w:lvl w:ilvl="6" w:tplc="9E4433A2">
      <w:start w:val="1"/>
      <w:numFmt w:val="bullet"/>
      <w:lvlText w:val=""/>
      <w:lvlJc w:val="left"/>
      <w:pPr>
        <w:ind w:left="5040" w:hanging="360"/>
      </w:pPr>
      <w:rPr>
        <w:rFonts w:ascii="Symbol" w:hAnsi="Symbol" w:hint="default"/>
      </w:rPr>
    </w:lvl>
    <w:lvl w:ilvl="7" w:tplc="5C6650A2">
      <w:start w:val="1"/>
      <w:numFmt w:val="bullet"/>
      <w:lvlText w:val="o"/>
      <w:lvlJc w:val="left"/>
      <w:pPr>
        <w:ind w:left="5760" w:hanging="360"/>
      </w:pPr>
      <w:rPr>
        <w:rFonts w:ascii="Courier New" w:hAnsi="Courier New" w:hint="default"/>
      </w:rPr>
    </w:lvl>
    <w:lvl w:ilvl="8" w:tplc="E9EEFDDA">
      <w:start w:val="1"/>
      <w:numFmt w:val="bullet"/>
      <w:lvlText w:val=""/>
      <w:lvlJc w:val="left"/>
      <w:pPr>
        <w:ind w:left="6480" w:hanging="360"/>
      </w:pPr>
      <w:rPr>
        <w:rFonts w:ascii="Wingdings" w:hAnsi="Wingdings" w:hint="default"/>
      </w:rPr>
    </w:lvl>
  </w:abstractNum>
  <w:abstractNum w:abstractNumId="26" w15:restartNumberingAfterBreak="0">
    <w:nsid w:val="4EAC5C4C"/>
    <w:multiLevelType w:val="hybridMultilevel"/>
    <w:tmpl w:val="23C00012"/>
    <w:lvl w:ilvl="0" w:tplc="20EEC272">
      <w:start w:val="1"/>
      <w:numFmt w:val="bullet"/>
      <w:lvlText w:val=""/>
      <w:lvlJc w:val="left"/>
      <w:pPr>
        <w:ind w:left="720" w:hanging="360"/>
      </w:pPr>
      <w:rPr>
        <w:rFonts w:ascii="Symbol" w:hAnsi="Symbol" w:hint="default"/>
      </w:rPr>
    </w:lvl>
    <w:lvl w:ilvl="1" w:tplc="224E5468">
      <w:start w:val="1"/>
      <w:numFmt w:val="bullet"/>
      <w:lvlText w:val="o"/>
      <w:lvlJc w:val="left"/>
      <w:pPr>
        <w:ind w:left="1440" w:hanging="360"/>
      </w:pPr>
      <w:rPr>
        <w:rFonts w:ascii="Courier New" w:hAnsi="Courier New" w:hint="default"/>
      </w:rPr>
    </w:lvl>
    <w:lvl w:ilvl="2" w:tplc="A51A66D2">
      <w:start w:val="1"/>
      <w:numFmt w:val="bullet"/>
      <w:lvlText w:val=""/>
      <w:lvlJc w:val="left"/>
      <w:pPr>
        <w:ind w:left="2160" w:hanging="360"/>
      </w:pPr>
      <w:rPr>
        <w:rFonts w:ascii="Wingdings" w:hAnsi="Wingdings" w:hint="default"/>
      </w:rPr>
    </w:lvl>
    <w:lvl w:ilvl="3" w:tplc="F02EB9CE">
      <w:start w:val="1"/>
      <w:numFmt w:val="bullet"/>
      <w:lvlText w:val=""/>
      <w:lvlJc w:val="left"/>
      <w:pPr>
        <w:ind w:left="2880" w:hanging="360"/>
      </w:pPr>
      <w:rPr>
        <w:rFonts w:ascii="Symbol" w:hAnsi="Symbol" w:hint="default"/>
      </w:rPr>
    </w:lvl>
    <w:lvl w:ilvl="4" w:tplc="BC78ECA8">
      <w:start w:val="1"/>
      <w:numFmt w:val="bullet"/>
      <w:lvlText w:val="o"/>
      <w:lvlJc w:val="left"/>
      <w:pPr>
        <w:ind w:left="3600" w:hanging="360"/>
      </w:pPr>
      <w:rPr>
        <w:rFonts w:ascii="Courier New" w:hAnsi="Courier New" w:hint="default"/>
      </w:rPr>
    </w:lvl>
    <w:lvl w:ilvl="5" w:tplc="9426E8D0">
      <w:start w:val="1"/>
      <w:numFmt w:val="bullet"/>
      <w:lvlText w:val=""/>
      <w:lvlJc w:val="left"/>
      <w:pPr>
        <w:ind w:left="4320" w:hanging="360"/>
      </w:pPr>
      <w:rPr>
        <w:rFonts w:ascii="Wingdings" w:hAnsi="Wingdings" w:hint="default"/>
      </w:rPr>
    </w:lvl>
    <w:lvl w:ilvl="6" w:tplc="1F6E3696">
      <w:start w:val="1"/>
      <w:numFmt w:val="bullet"/>
      <w:lvlText w:val=""/>
      <w:lvlJc w:val="left"/>
      <w:pPr>
        <w:ind w:left="5040" w:hanging="360"/>
      </w:pPr>
      <w:rPr>
        <w:rFonts w:ascii="Symbol" w:hAnsi="Symbol" w:hint="default"/>
      </w:rPr>
    </w:lvl>
    <w:lvl w:ilvl="7" w:tplc="909AD024">
      <w:start w:val="1"/>
      <w:numFmt w:val="bullet"/>
      <w:lvlText w:val="o"/>
      <w:lvlJc w:val="left"/>
      <w:pPr>
        <w:ind w:left="5760" w:hanging="360"/>
      </w:pPr>
      <w:rPr>
        <w:rFonts w:ascii="Courier New" w:hAnsi="Courier New" w:hint="default"/>
      </w:rPr>
    </w:lvl>
    <w:lvl w:ilvl="8" w:tplc="A4E20E80">
      <w:start w:val="1"/>
      <w:numFmt w:val="bullet"/>
      <w:lvlText w:val=""/>
      <w:lvlJc w:val="left"/>
      <w:pPr>
        <w:ind w:left="6480" w:hanging="360"/>
      </w:pPr>
      <w:rPr>
        <w:rFonts w:ascii="Wingdings" w:hAnsi="Wingdings" w:hint="default"/>
      </w:rPr>
    </w:lvl>
  </w:abstractNum>
  <w:abstractNum w:abstractNumId="27" w15:restartNumberingAfterBreak="0">
    <w:nsid w:val="4FCD2789"/>
    <w:multiLevelType w:val="hybridMultilevel"/>
    <w:tmpl w:val="E46489FA"/>
    <w:lvl w:ilvl="0" w:tplc="E004B220">
      <w:start w:val="1"/>
      <w:numFmt w:val="bullet"/>
      <w:lvlText w:val=""/>
      <w:lvlJc w:val="left"/>
      <w:pPr>
        <w:ind w:left="720" w:hanging="360"/>
      </w:pPr>
      <w:rPr>
        <w:rFonts w:ascii="Symbol" w:hAnsi="Symbol" w:hint="default"/>
      </w:rPr>
    </w:lvl>
    <w:lvl w:ilvl="1" w:tplc="F4920AEE">
      <w:start w:val="1"/>
      <w:numFmt w:val="bullet"/>
      <w:lvlText w:val="o"/>
      <w:lvlJc w:val="left"/>
      <w:pPr>
        <w:ind w:left="1440" w:hanging="360"/>
      </w:pPr>
      <w:rPr>
        <w:rFonts w:ascii="Courier New" w:hAnsi="Courier New" w:hint="default"/>
      </w:rPr>
    </w:lvl>
    <w:lvl w:ilvl="2" w:tplc="8D1E33E0">
      <w:start w:val="1"/>
      <w:numFmt w:val="bullet"/>
      <w:lvlText w:val=""/>
      <w:lvlJc w:val="left"/>
      <w:pPr>
        <w:ind w:left="2160" w:hanging="360"/>
      </w:pPr>
      <w:rPr>
        <w:rFonts w:ascii="Wingdings" w:hAnsi="Wingdings" w:hint="default"/>
      </w:rPr>
    </w:lvl>
    <w:lvl w:ilvl="3" w:tplc="5F7445BA">
      <w:start w:val="1"/>
      <w:numFmt w:val="bullet"/>
      <w:lvlText w:val=""/>
      <w:lvlJc w:val="left"/>
      <w:pPr>
        <w:ind w:left="2880" w:hanging="360"/>
      </w:pPr>
      <w:rPr>
        <w:rFonts w:ascii="Symbol" w:hAnsi="Symbol" w:hint="default"/>
      </w:rPr>
    </w:lvl>
    <w:lvl w:ilvl="4" w:tplc="65862AB0">
      <w:start w:val="1"/>
      <w:numFmt w:val="bullet"/>
      <w:lvlText w:val="o"/>
      <w:lvlJc w:val="left"/>
      <w:pPr>
        <w:ind w:left="3600" w:hanging="360"/>
      </w:pPr>
      <w:rPr>
        <w:rFonts w:ascii="Courier New" w:hAnsi="Courier New" w:hint="default"/>
      </w:rPr>
    </w:lvl>
    <w:lvl w:ilvl="5" w:tplc="F8AA1E66">
      <w:start w:val="1"/>
      <w:numFmt w:val="bullet"/>
      <w:lvlText w:val=""/>
      <w:lvlJc w:val="left"/>
      <w:pPr>
        <w:ind w:left="4320" w:hanging="360"/>
      </w:pPr>
      <w:rPr>
        <w:rFonts w:ascii="Wingdings" w:hAnsi="Wingdings" w:hint="default"/>
      </w:rPr>
    </w:lvl>
    <w:lvl w:ilvl="6" w:tplc="7166F4A8">
      <w:start w:val="1"/>
      <w:numFmt w:val="bullet"/>
      <w:lvlText w:val=""/>
      <w:lvlJc w:val="left"/>
      <w:pPr>
        <w:ind w:left="5040" w:hanging="360"/>
      </w:pPr>
      <w:rPr>
        <w:rFonts w:ascii="Symbol" w:hAnsi="Symbol" w:hint="default"/>
      </w:rPr>
    </w:lvl>
    <w:lvl w:ilvl="7" w:tplc="83FA6B82">
      <w:start w:val="1"/>
      <w:numFmt w:val="bullet"/>
      <w:lvlText w:val="o"/>
      <w:lvlJc w:val="left"/>
      <w:pPr>
        <w:ind w:left="5760" w:hanging="360"/>
      </w:pPr>
      <w:rPr>
        <w:rFonts w:ascii="Courier New" w:hAnsi="Courier New" w:hint="default"/>
      </w:rPr>
    </w:lvl>
    <w:lvl w:ilvl="8" w:tplc="E236D350">
      <w:start w:val="1"/>
      <w:numFmt w:val="bullet"/>
      <w:lvlText w:val=""/>
      <w:lvlJc w:val="left"/>
      <w:pPr>
        <w:ind w:left="6480" w:hanging="360"/>
      </w:pPr>
      <w:rPr>
        <w:rFonts w:ascii="Wingdings" w:hAnsi="Wingdings" w:hint="default"/>
      </w:rPr>
    </w:lvl>
  </w:abstractNum>
  <w:abstractNum w:abstractNumId="28" w15:restartNumberingAfterBreak="0">
    <w:nsid w:val="50C60FA0"/>
    <w:multiLevelType w:val="hybridMultilevel"/>
    <w:tmpl w:val="1C8A579E"/>
    <w:lvl w:ilvl="0" w:tplc="E47A976E">
      <w:start w:val="1"/>
      <w:numFmt w:val="bullet"/>
      <w:lvlText w:val=""/>
      <w:lvlJc w:val="left"/>
      <w:pPr>
        <w:ind w:left="720" w:hanging="360"/>
      </w:pPr>
      <w:rPr>
        <w:rFonts w:ascii="Symbol" w:hAnsi="Symbol" w:hint="default"/>
      </w:rPr>
    </w:lvl>
    <w:lvl w:ilvl="1" w:tplc="EE607EC6">
      <w:start w:val="1"/>
      <w:numFmt w:val="bullet"/>
      <w:lvlText w:val="o"/>
      <w:lvlJc w:val="left"/>
      <w:pPr>
        <w:ind w:left="1440" w:hanging="360"/>
      </w:pPr>
      <w:rPr>
        <w:rFonts w:ascii="Courier New" w:hAnsi="Courier New" w:hint="default"/>
      </w:rPr>
    </w:lvl>
    <w:lvl w:ilvl="2" w:tplc="0F9E6320">
      <w:start w:val="1"/>
      <w:numFmt w:val="bullet"/>
      <w:lvlText w:val=""/>
      <w:lvlJc w:val="left"/>
      <w:pPr>
        <w:ind w:left="2160" w:hanging="360"/>
      </w:pPr>
      <w:rPr>
        <w:rFonts w:ascii="Wingdings" w:hAnsi="Wingdings" w:hint="default"/>
      </w:rPr>
    </w:lvl>
    <w:lvl w:ilvl="3" w:tplc="60D2C326">
      <w:start w:val="1"/>
      <w:numFmt w:val="bullet"/>
      <w:lvlText w:val=""/>
      <w:lvlJc w:val="left"/>
      <w:pPr>
        <w:ind w:left="2880" w:hanging="360"/>
      </w:pPr>
      <w:rPr>
        <w:rFonts w:ascii="Symbol" w:hAnsi="Symbol" w:hint="default"/>
      </w:rPr>
    </w:lvl>
    <w:lvl w:ilvl="4" w:tplc="0CBA9EFE">
      <w:start w:val="1"/>
      <w:numFmt w:val="bullet"/>
      <w:lvlText w:val="o"/>
      <w:lvlJc w:val="left"/>
      <w:pPr>
        <w:ind w:left="3600" w:hanging="360"/>
      </w:pPr>
      <w:rPr>
        <w:rFonts w:ascii="Courier New" w:hAnsi="Courier New" w:hint="default"/>
      </w:rPr>
    </w:lvl>
    <w:lvl w:ilvl="5" w:tplc="1BEA4E1A">
      <w:start w:val="1"/>
      <w:numFmt w:val="bullet"/>
      <w:lvlText w:val=""/>
      <w:lvlJc w:val="left"/>
      <w:pPr>
        <w:ind w:left="4320" w:hanging="360"/>
      </w:pPr>
      <w:rPr>
        <w:rFonts w:ascii="Wingdings" w:hAnsi="Wingdings" w:hint="default"/>
      </w:rPr>
    </w:lvl>
    <w:lvl w:ilvl="6" w:tplc="9D206E62">
      <w:start w:val="1"/>
      <w:numFmt w:val="bullet"/>
      <w:lvlText w:val=""/>
      <w:lvlJc w:val="left"/>
      <w:pPr>
        <w:ind w:left="5040" w:hanging="360"/>
      </w:pPr>
      <w:rPr>
        <w:rFonts w:ascii="Symbol" w:hAnsi="Symbol" w:hint="default"/>
      </w:rPr>
    </w:lvl>
    <w:lvl w:ilvl="7" w:tplc="16B682FA">
      <w:start w:val="1"/>
      <w:numFmt w:val="bullet"/>
      <w:lvlText w:val="o"/>
      <w:lvlJc w:val="left"/>
      <w:pPr>
        <w:ind w:left="5760" w:hanging="360"/>
      </w:pPr>
      <w:rPr>
        <w:rFonts w:ascii="Courier New" w:hAnsi="Courier New" w:hint="default"/>
      </w:rPr>
    </w:lvl>
    <w:lvl w:ilvl="8" w:tplc="1E66AA20">
      <w:start w:val="1"/>
      <w:numFmt w:val="bullet"/>
      <w:lvlText w:val=""/>
      <w:lvlJc w:val="left"/>
      <w:pPr>
        <w:ind w:left="6480" w:hanging="360"/>
      </w:pPr>
      <w:rPr>
        <w:rFonts w:ascii="Wingdings" w:hAnsi="Wingdings" w:hint="default"/>
      </w:rPr>
    </w:lvl>
  </w:abstractNum>
  <w:abstractNum w:abstractNumId="29" w15:restartNumberingAfterBreak="0">
    <w:nsid w:val="50DF53B9"/>
    <w:multiLevelType w:val="hybridMultilevel"/>
    <w:tmpl w:val="6026202A"/>
    <w:lvl w:ilvl="0" w:tplc="0C090003">
      <w:start w:val="1"/>
      <w:numFmt w:val="bullet"/>
      <w:lvlText w:val="o"/>
      <w:lvlJc w:val="left"/>
      <w:pPr>
        <w:ind w:left="1440" w:hanging="360"/>
      </w:pPr>
      <w:rPr>
        <w:rFonts w:ascii="Courier New" w:hAnsi="Courier New" w:cs="Courier New" w:hint="default"/>
      </w:rPr>
    </w:lvl>
    <w:lvl w:ilvl="1" w:tplc="23FAAA12">
      <w:start w:val="1"/>
      <w:numFmt w:val="bullet"/>
      <w:lvlText w:val="o"/>
      <w:lvlJc w:val="left"/>
      <w:pPr>
        <w:ind w:left="2160" w:hanging="360"/>
      </w:pPr>
      <w:rPr>
        <w:rFonts w:ascii="Courier New" w:hAnsi="Courier New" w:hint="default"/>
      </w:rPr>
    </w:lvl>
    <w:lvl w:ilvl="2" w:tplc="E9560A54">
      <w:start w:val="1"/>
      <w:numFmt w:val="bullet"/>
      <w:lvlText w:val=""/>
      <w:lvlJc w:val="left"/>
      <w:pPr>
        <w:ind w:left="2880" w:hanging="360"/>
      </w:pPr>
      <w:rPr>
        <w:rFonts w:ascii="Wingdings" w:hAnsi="Wingdings" w:hint="default"/>
      </w:rPr>
    </w:lvl>
    <w:lvl w:ilvl="3" w:tplc="B4E424F6">
      <w:start w:val="1"/>
      <w:numFmt w:val="bullet"/>
      <w:lvlText w:val=""/>
      <w:lvlJc w:val="left"/>
      <w:pPr>
        <w:ind w:left="3600" w:hanging="360"/>
      </w:pPr>
      <w:rPr>
        <w:rFonts w:ascii="Symbol" w:hAnsi="Symbol" w:hint="default"/>
      </w:rPr>
    </w:lvl>
    <w:lvl w:ilvl="4" w:tplc="6A92C2DC">
      <w:start w:val="1"/>
      <w:numFmt w:val="bullet"/>
      <w:lvlText w:val="o"/>
      <w:lvlJc w:val="left"/>
      <w:pPr>
        <w:ind w:left="4320" w:hanging="360"/>
      </w:pPr>
      <w:rPr>
        <w:rFonts w:ascii="Courier New" w:hAnsi="Courier New" w:hint="default"/>
      </w:rPr>
    </w:lvl>
    <w:lvl w:ilvl="5" w:tplc="22D0C7FC">
      <w:start w:val="1"/>
      <w:numFmt w:val="bullet"/>
      <w:lvlText w:val=""/>
      <w:lvlJc w:val="left"/>
      <w:pPr>
        <w:ind w:left="5040" w:hanging="360"/>
      </w:pPr>
      <w:rPr>
        <w:rFonts w:ascii="Wingdings" w:hAnsi="Wingdings" w:hint="default"/>
      </w:rPr>
    </w:lvl>
    <w:lvl w:ilvl="6" w:tplc="9A5C248C">
      <w:start w:val="1"/>
      <w:numFmt w:val="bullet"/>
      <w:lvlText w:val=""/>
      <w:lvlJc w:val="left"/>
      <w:pPr>
        <w:ind w:left="5760" w:hanging="360"/>
      </w:pPr>
      <w:rPr>
        <w:rFonts w:ascii="Symbol" w:hAnsi="Symbol" w:hint="default"/>
      </w:rPr>
    </w:lvl>
    <w:lvl w:ilvl="7" w:tplc="70B8B4A2">
      <w:start w:val="1"/>
      <w:numFmt w:val="bullet"/>
      <w:lvlText w:val="o"/>
      <w:lvlJc w:val="left"/>
      <w:pPr>
        <w:ind w:left="6480" w:hanging="360"/>
      </w:pPr>
      <w:rPr>
        <w:rFonts w:ascii="Courier New" w:hAnsi="Courier New" w:hint="default"/>
      </w:rPr>
    </w:lvl>
    <w:lvl w:ilvl="8" w:tplc="18385D36">
      <w:start w:val="1"/>
      <w:numFmt w:val="bullet"/>
      <w:lvlText w:val=""/>
      <w:lvlJc w:val="left"/>
      <w:pPr>
        <w:ind w:left="7200" w:hanging="360"/>
      </w:pPr>
      <w:rPr>
        <w:rFonts w:ascii="Wingdings" w:hAnsi="Wingdings" w:hint="default"/>
      </w:rPr>
    </w:lvl>
  </w:abstractNum>
  <w:abstractNum w:abstractNumId="30" w15:restartNumberingAfterBreak="0">
    <w:nsid w:val="5263550F"/>
    <w:multiLevelType w:val="hybridMultilevel"/>
    <w:tmpl w:val="B1C42B92"/>
    <w:lvl w:ilvl="0" w:tplc="499427F4">
      <w:start w:val="1"/>
      <w:numFmt w:val="decimal"/>
      <w:lvlText w:val="%1."/>
      <w:lvlJc w:val="left"/>
      <w:pPr>
        <w:ind w:left="720" w:hanging="360"/>
      </w:pPr>
      <w:rPr>
        <w:rFonts w:hint="default"/>
        <w:spacing w:val="2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87281"/>
    <w:multiLevelType w:val="hybridMultilevel"/>
    <w:tmpl w:val="B77CB1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630FCF"/>
    <w:multiLevelType w:val="hybridMultilevel"/>
    <w:tmpl w:val="438809F6"/>
    <w:lvl w:ilvl="0" w:tplc="97807CC4">
      <w:start w:val="1"/>
      <w:numFmt w:val="bullet"/>
      <w:lvlText w:val=""/>
      <w:lvlJc w:val="left"/>
      <w:pPr>
        <w:ind w:left="720" w:hanging="360"/>
      </w:pPr>
      <w:rPr>
        <w:rFonts w:ascii="Symbol" w:hAnsi="Symbol" w:hint="default"/>
      </w:rPr>
    </w:lvl>
    <w:lvl w:ilvl="1" w:tplc="03A29A5C">
      <w:start w:val="1"/>
      <w:numFmt w:val="bullet"/>
      <w:lvlText w:val="o"/>
      <w:lvlJc w:val="left"/>
      <w:pPr>
        <w:ind w:left="1440" w:hanging="360"/>
      </w:pPr>
      <w:rPr>
        <w:rFonts w:ascii="Courier New" w:hAnsi="Courier New" w:hint="default"/>
      </w:rPr>
    </w:lvl>
    <w:lvl w:ilvl="2" w:tplc="4EDCA650">
      <w:start w:val="1"/>
      <w:numFmt w:val="bullet"/>
      <w:lvlText w:val=""/>
      <w:lvlJc w:val="left"/>
      <w:pPr>
        <w:ind w:left="2160" w:hanging="360"/>
      </w:pPr>
      <w:rPr>
        <w:rFonts w:ascii="Wingdings" w:hAnsi="Wingdings" w:hint="default"/>
      </w:rPr>
    </w:lvl>
    <w:lvl w:ilvl="3" w:tplc="E7FA0D6A">
      <w:start w:val="1"/>
      <w:numFmt w:val="bullet"/>
      <w:lvlText w:val=""/>
      <w:lvlJc w:val="left"/>
      <w:pPr>
        <w:ind w:left="2880" w:hanging="360"/>
      </w:pPr>
      <w:rPr>
        <w:rFonts w:ascii="Symbol" w:hAnsi="Symbol" w:hint="default"/>
      </w:rPr>
    </w:lvl>
    <w:lvl w:ilvl="4" w:tplc="014890CC">
      <w:start w:val="1"/>
      <w:numFmt w:val="bullet"/>
      <w:lvlText w:val="o"/>
      <w:lvlJc w:val="left"/>
      <w:pPr>
        <w:ind w:left="3600" w:hanging="360"/>
      </w:pPr>
      <w:rPr>
        <w:rFonts w:ascii="Courier New" w:hAnsi="Courier New" w:hint="default"/>
      </w:rPr>
    </w:lvl>
    <w:lvl w:ilvl="5" w:tplc="5F8E3998">
      <w:start w:val="1"/>
      <w:numFmt w:val="bullet"/>
      <w:lvlText w:val=""/>
      <w:lvlJc w:val="left"/>
      <w:pPr>
        <w:ind w:left="4320" w:hanging="360"/>
      </w:pPr>
      <w:rPr>
        <w:rFonts w:ascii="Wingdings" w:hAnsi="Wingdings" w:hint="default"/>
      </w:rPr>
    </w:lvl>
    <w:lvl w:ilvl="6" w:tplc="F29E5504">
      <w:start w:val="1"/>
      <w:numFmt w:val="bullet"/>
      <w:lvlText w:val=""/>
      <w:lvlJc w:val="left"/>
      <w:pPr>
        <w:ind w:left="5040" w:hanging="360"/>
      </w:pPr>
      <w:rPr>
        <w:rFonts w:ascii="Symbol" w:hAnsi="Symbol" w:hint="default"/>
      </w:rPr>
    </w:lvl>
    <w:lvl w:ilvl="7" w:tplc="FD1A6676">
      <w:start w:val="1"/>
      <w:numFmt w:val="bullet"/>
      <w:lvlText w:val="o"/>
      <w:lvlJc w:val="left"/>
      <w:pPr>
        <w:ind w:left="5760" w:hanging="360"/>
      </w:pPr>
      <w:rPr>
        <w:rFonts w:ascii="Courier New" w:hAnsi="Courier New" w:hint="default"/>
      </w:rPr>
    </w:lvl>
    <w:lvl w:ilvl="8" w:tplc="47FA98AA">
      <w:start w:val="1"/>
      <w:numFmt w:val="bullet"/>
      <w:lvlText w:val=""/>
      <w:lvlJc w:val="left"/>
      <w:pPr>
        <w:ind w:left="6480" w:hanging="360"/>
      </w:pPr>
      <w:rPr>
        <w:rFonts w:ascii="Wingdings" w:hAnsi="Wingdings" w:hint="default"/>
      </w:rPr>
    </w:lvl>
  </w:abstractNum>
  <w:abstractNum w:abstractNumId="33" w15:restartNumberingAfterBreak="0">
    <w:nsid w:val="560557B3"/>
    <w:multiLevelType w:val="hybridMultilevel"/>
    <w:tmpl w:val="8ABE3236"/>
    <w:lvl w:ilvl="0" w:tplc="871E12DA">
      <w:start w:val="1"/>
      <w:numFmt w:val="lowerLetter"/>
      <w:lvlText w:val="(%1)"/>
      <w:lvlJc w:val="left"/>
      <w:pPr>
        <w:ind w:left="720" w:hanging="360"/>
      </w:pPr>
      <w:rPr>
        <w:rFonts w:ascii="Verdana" w:eastAsiaTheme="minorHAnsi" w:hAnsi="Verdana"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1A25CA"/>
    <w:multiLevelType w:val="hybridMultilevel"/>
    <w:tmpl w:val="43D6EC58"/>
    <w:lvl w:ilvl="0" w:tplc="C598DF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A536C1"/>
    <w:multiLevelType w:val="hybridMultilevel"/>
    <w:tmpl w:val="8FF0975C"/>
    <w:lvl w:ilvl="0" w:tplc="35E4D4C6">
      <w:start w:val="1"/>
      <w:numFmt w:val="decimal"/>
      <w:lvlText w:val="%1."/>
      <w:lvlJc w:val="left"/>
      <w:pPr>
        <w:ind w:left="720" w:hanging="360"/>
      </w:pPr>
    </w:lvl>
    <w:lvl w:ilvl="1" w:tplc="5F26ACEE">
      <w:start w:val="1"/>
      <w:numFmt w:val="lowerLetter"/>
      <w:lvlText w:val="%2."/>
      <w:lvlJc w:val="left"/>
      <w:pPr>
        <w:ind w:left="1440" w:hanging="360"/>
      </w:pPr>
    </w:lvl>
    <w:lvl w:ilvl="2" w:tplc="C7BE5F08">
      <w:start w:val="1"/>
      <w:numFmt w:val="lowerRoman"/>
      <w:lvlText w:val="%3."/>
      <w:lvlJc w:val="right"/>
      <w:pPr>
        <w:ind w:left="2160" w:hanging="180"/>
      </w:pPr>
    </w:lvl>
    <w:lvl w:ilvl="3" w:tplc="154A3910">
      <w:start w:val="1"/>
      <w:numFmt w:val="decimal"/>
      <w:lvlText w:val="%4."/>
      <w:lvlJc w:val="left"/>
      <w:pPr>
        <w:ind w:left="2880" w:hanging="360"/>
      </w:pPr>
    </w:lvl>
    <w:lvl w:ilvl="4" w:tplc="81FC0BE4">
      <w:start w:val="1"/>
      <w:numFmt w:val="lowerLetter"/>
      <w:lvlText w:val="%5."/>
      <w:lvlJc w:val="left"/>
      <w:pPr>
        <w:ind w:left="3600" w:hanging="360"/>
      </w:pPr>
    </w:lvl>
    <w:lvl w:ilvl="5" w:tplc="64CE9696">
      <w:start w:val="1"/>
      <w:numFmt w:val="lowerRoman"/>
      <w:lvlText w:val="%6."/>
      <w:lvlJc w:val="right"/>
      <w:pPr>
        <w:ind w:left="4320" w:hanging="180"/>
      </w:pPr>
    </w:lvl>
    <w:lvl w:ilvl="6" w:tplc="76B2E722">
      <w:start w:val="1"/>
      <w:numFmt w:val="decimal"/>
      <w:lvlText w:val="%7."/>
      <w:lvlJc w:val="left"/>
      <w:pPr>
        <w:ind w:left="5040" w:hanging="360"/>
      </w:pPr>
    </w:lvl>
    <w:lvl w:ilvl="7" w:tplc="B91880BE">
      <w:start w:val="1"/>
      <w:numFmt w:val="lowerLetter"/>
      <w:lvlText w:val="%8."/>
      <w:lvlJc w:val="left"/>
      <w:pPr>
        <w:ind w:left="5760" w:hanging="360"/>
      </w:pPr>
    </w:lvl>
    <w:lvl w:ilvl="8" w:tplc="97ECE8D4">
      <w:start w:val="1"/>
      <w:numFmt w:val="lowerRoman"/>
      <w:lvlText w:val="%9."/>
      <w:lvlJc w:val="right"/>
      <w:pPr>
        <w:ind w:left="6480" w:hanging="180"/>
      </w:pPr>
    </w:lvl>
  </w:abstractNum>
  <w:abstractNum w:abstractNumId="36" w15:restartNumberingAfterBreak="0">
    <w:nsid w:val="5B870877"/>
    <w:multiLevelType w:val="hybridMultilevel"/>
    <w:tmpl w:val="E3E69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BA05FC5"/>
    <w:multiLevelType w:val="hybridMultilevel"/>
    <w:tmpl w:val="135C2B5E"/>
    <w:lvl w:ilvl="0" w:tplc="C44630E4">
      <w:start w:val="3"/>
      <w:numFmt w:val="bullet"/>
      <w:lvlText w:val="-"/>
      <w:lvlJc w:val="left"/>
      <w:pPr>
        <w:ind w:left="720" w:hanging="360"/>
      </w:pPr>
      <w:rPr>
        <w:rFonts w:ascii="Verdana" w:eastAsiaTheme="minorHAnsi" w:hAnsi="Verdana"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51685F"/>
    <w:multiLevelType w:val="hybridMultilevel"/>
    <w:tmpl w:val="90522A1A"/>
    <w:lvl w:ilvl="0" w:tplc="88D2855A">
      <w:start w:val="1"/>
      <w:numFmt w:val="bullet"/>
      <w:lvlText w:val=""/>
      <w:lvlJc w:val="left"/>
      <w:pPr>
        <w:ind w:left="720" w:hanging="360"/>
      </w:pPr>
      <w:rPr>
        <w:rFonts w:ascii="Symbol" w:hAnsi="Symbol" w:hint="default"/>
      </w:rPr>
    </w:lvl>
    <w:lvl w:ilvl="1" w:tplc="435EC952">
      <w:start w:val="1"/>
      <w:numFmt w:val="bullet"/>
      <w:lvlText w:val="o"/>
      <w:lvlJc w:val="left"/>
      <w:pPr>
        <w:ind w:left="1440" w:hanging="360"/>
      </w:pPr>
      <w:rPr>
        <w:rFonts w:ascii="Courier New" w:hAnsi="Courier New" w:hint="default"/>
      </w:rPr>
    </w:lvl>
    <w:lvl w:ilvl="2" w:tplc="D7EE62B6">
      <w:start w:val="1"/>
      <w:numFmt w:val="bullet"/>
      <w:lvlText w:val=""/>
      <w:lvlJc w:val="left"/>
      <w:pPr>
        <w:ind w:left="2160" w:hanging="360"/>
      </w:pPr>
      <w:rPr>
        <w:rFonts w:ascii="Wingdings" w:hAnsi="Wingdings" w:hint="default"/>
      </w:rPr>
    </w:lvl>
    <w:lvl w:ilvl="3" w:tplc="715EC27C">
      <w:start w:val="1"/>
      <w:numFmt w:val="bullet"/>
      <w:lvlText w:val=""/>
      <w:lvlJc w:val="left"/>
      <w:pPr>
        <w:ind w:left="2880" w:hanging="360"/>
      </w:pPr>
      <w:rPr>
        <w:rFonts w:ascii="Symbol" w:hAnsi="Symbol" w:hint="default"/>
      </w:rPr>
    </w:lvl>
    <w:lvl w:ilvl="4" w:tplc="96525E28">
      <w:start w:val="1"/>
      <w:numFmt w:val="bullet"/>
      <w:lvlText w:val="o"/>
      <w:lvlJc w:val="left"/>
      <w:pPr>
        <w:ind w:left="3600" w:hanging="360"/>
      </w:pPr>
      <w:rPr>
        <w:rFonts w:ascii="Courier New" w:hAnsi="Courier New" w:hint="default"/>
      </w:rPr>
    </w:lvl>
    <w:lvl w:ilvl="5" w:tplc="AF782D6A">
      <w:start w:val="1"/>
      <w:numFmt w:val="bullet"/>
      <w:lvlText w:val=""/>
      <w:lvlJc w:val="left"/>
      <w:pPr>
        <w:ind w:left="4320" w:hanging="360"/>
      </w:pPr>
      <w:rPr>
        <w:rFonts w:ascii="Wingdings" w:hAnsi="Wingdings" w:hint="default"/>
      </w:rPr>
    </w:lvl>
    <w:lvl w:ilvl="6" w:tplc="CBAADFAE">
      <w:start w:val="1"/>
      <w:numFmt w:val="bullet"/>
      <w:lvlText w:val=""/>
      <w:lvlJc w:val="left"/>
      <w:pPr>
        <w:ind w:left="5040" w:hanging="360"/>
      </w:pPr>
      <w:rPr>
        <w:rFonts w:ascii="Symbol" w:hAnsi="Symbol" w:hint="default"/>
      </w:rPr>
    </w:lvl>
    <w:lvl w:ilvl="7" w:tplc="D49E4D02">
      <w:start w:val="1"/>
      <w:numFmt w:val="bullet"/>
      <w:lvlText w:val="o"/>
      <w:lvlJc w:val="left"/>
      <w:pPr>
        <w:ind w:left="5760" w:hanging="360"/>
      </w:pPr>
      <w:rPr>
        <w:rFonts w:ascii="Courier New" w:hAnsi="Courier New" w:hint="default"/>
      </w:rPr>
    </w:lvl>
    <w:lvl w:ilvl="8" w:tplc="C00C467E">
      <w:start w:val="1"/>
      <w:numFmt w:val="bullet"/>
      <w:lvlText w:val=""/>
      <w:lvlJc w:val="left"/>
      <w:pPr>
        <w:ind w:left="6480" w:hanging="360"/>
      </w:pPr>
      <w:rPr>
        <w:rFonts w:ascii="Wingdings" w:hAnsi="Wingdings" w:hint="default"/>
      </w:rPr>
    </w:lvl>
  </w:abstractNum>
  <w:abstractNum w:abstractNumId="39" w15:restartNumberingAfterBreak="0">
    <w:nsid w:val="616D6265"/>
    <w:multiLevelType w:val="hybridMultilevel"/>
    <w:tmpl w:val="1D6E89AC"/>
    <w:lvl w:ilvl="0" w:tplc="499427F4">
      <w:start w:val="1"/>
      <w:numFmt w:val="decimal"/>
      <w:lvlText w:val="%1."/>
      <w:lvlJc w:val="left"/>
      <w:pPr>
        <w:ind w:left="720" w:hanging="360"/>
      </w:pPr>
      <w:rPr>
        <w:rFonts w:hint="default"/>
        <w:spacing w:val="2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5E7C9F"/>
    <w:multiLevelType w:val="hybridMultilevel"/>
    <w:tmpl w:val="69CA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3C1343"/>
    <w:multiLevelType w:val="multilevel"/>
    <w:tmpl w:val="545A9598"/>
    <w:lvl w:ilvl="0">
      <w:start w:val="1"/>
      <w:numFmt w:val="decimal"/>
      <w:pStyle w:val="Heading1"/>
      <w:lvlText w:val="%1."/>
      <w:lvlJc w:val="left"/>
      <w:pPr>
        <w:ind w:left="720" w:hanging="360"/>
      </w:pPr>
    </w:lvl>
    <w:lvl w:ilvl="1">
      <w:start w:val="1"/>
      <w:numFmt w:val="decimal"/>
      <w:pStyle w:val="Heading2"/>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2" w15:restartNumberingAfterBreak="0">
    <w:nsid w:val="6CE01DAD"/>
    <w:multiLevelType w:val="hybridMultilevel"/>
    <w:tmpl w:val="4014BB76"/>
    <w:lvl w:ilvl="0" w:tplc="39DC0E6E">
      <w:start w:val="1"/>
      <w:numFmt w:val="decimal"/>
      <w:lvlText w:val="%1."/>
      <w:lvlJc w:val="left"/>
      <w:pPr>
        <w:ind w:left="720" w:hanging="360"/>
      </w:pPr>
    </w:lvl>
    <w:lvl w:ilvl="1" w:tplc="D7D2298A">
      <w:start w:val="1"/>
      <w:numFmt w:val="lowerLetter"/>
      <w:lvlText w:val="%2."/>
      <w:lvlJc w:val="left"/>
      <w:pPr>
        <w:ind w:left="1440" w:hanging="360"/>
      </w:pPr>
    </w:lvl>
    <w:lvl w:ilvl="2" w:tplc="0BC6142C">
      <w:start w:val="1"/>
      <w:numFmt w:val="lowerRoman"/>
      <w:lvlText w:val="%3."/>
      <w:lvlJc w:val="right"/>
      <w:pPr>
        <w:ind w:left="2160" w:hanging="180"/>
      </w:pPr>
    </w:lvl>
    <w:lvl w:ilvl="3" w:tplc="44BC74FE">
      <w:start w:val="1"/>
      <w:numFmt w:val="decimal"/>
      <w:lvlText w:val="%4."/>
      <w:lvlJc w:val="left"/>
      <w:pPr>
        <w:ind w:left="2880" w:hanging="360"/>
      </w:pPr>
    </w:lvl>
    <w:lvl w:ilvl="4" w:tplc="BF50F432">
      <w:start w:val="1"/>
      <w:numFmt w:val="lowerLetter"/>
      <w:lvlText w:val="%5."/>
      <w:lvlJc w:val="left"/>
      <w:pPr>
        <w:ind w:left="3600" w:hanging="360"/>
      </w:pPr>
    </w:lvl>
    <w:lvl w:ilvl="5" w:tplc="C986CB52">
      <w:start w:val="1"/>
      <w:numFmt w:val="lowerRoman"/>
      <w:lvlText w:val="%6."/>
      <w:lvlJc w:val="right"/>
      <w:pPr>
        <w:ind w:left="4320" w:hanging="180"/>
      </w:pPr>
    </w:lvl>
    <w:lvl w:ilvl="6" w:tplc="7E8EA4DC">
      <w:start w:val="1"/>
      <w:numFmt w:val="decimal"/>
      <w:lvlText w:val="%7."/>
      <w:lvlJc w:val="left"/>
      <w:pPr>
        <w:ind w:left="5040" w:hanging="360"/>
      </w:pPr>
    </w:lvl>
    <w:lvl w:ilvl="7" w:tplc="1B7A80E0">
      <w:start w:val="1"/>
      <w:numFmt w:val="lowerLetter"/>
      <w:lvlText w:val="%8."/>
      <w:lvlJc w:val="left"/>
      <w:pPr>
        <w:ind w:left="5760" w:hanging="360"/>
      </w:pPr>
    </w:lvl>
    <w:lvl w:ilvl="8" w:tplc="B57AB132">
      <w:start w:val="1"/>
      <w:numFmt w:val="lowerRoman"/>
      <w:lvlText w:val="%9."/>
      <w:lvlJc w:val="right"/>
      <w:pPr>
        <w:ind w:left="6480" w:hanging="180"/>
      </w:pPr>
    </w:lvl>
  </w:abstractNum>
  <w:abstractNum w:abstractNumId="43" w15:restartNumberingAfterBreak="0">
    <w:nsid w:val="6E6B5FFE"/>
    <w:multiLevelType w:val="hybridMultilevel"/>
    <w:tmpl w:val="A1FA9548"/>
    <w:lvl w:ilvl="0" w:tplc="C20033D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17E30E6"/>
    <w:multiLevelType w:val="hybridMultilevel"/>
    <w:tmpl w:val="DC7C05B2"/>
    <w:lvl w:ilvl="0" w:tplc="FB3AA3F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3F018C9"/>
    <w:multiLevelType w:val="hybridMultilevel"/>
    <w:tmpl w:val="F5F8ABA0"/>
    <w:lvl w:ilvl="0" w:tplc="DF3A465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D418A1"/>
    <w:multiLevelType w:val="hybridMultilevel"/>
    <w:tmpl w:val="1AAA535C"/>
    <w:lvl w:ilvl="0" w:tplc="7368D43C">
      <w:start w:val="1"/>
      <w:numFmt w:val="bullet"/>
      <w:lvlText w:val="·"/>
      <w:lvlJc w:val="left"/>
      <w:pPr>
        <w:ind w:left="720" w:hanging="360"/>
      </w:pPr>
      <w:rPr>
        <w:rFonts w:ascii="Symbol" w:hAnsi="Symbol" w:hint="default"/>
      </w:rPr>
    </w:lvl>
    <w:lvl w:ilvl="1" w:tplc="B462BBC0">
      <w:start w:val="1"/>
      <w:numFmt w:val="bullet"/>
      <w:lvlText w:val="o"/>
      <w:lvlJc w:val="left"/>
      <w:pPr>
        <w:ind w:left="1440" w:hanging="360"/>
      </w:pPr>
      <w:rPr>
        <w:rFonts w:ascii="Courier New" w:hAnsi="Courier New" w:hint="default"/>
      </w:rPr>
    </w:lvl>
    <w:lvl w:ilvl="2" w:tplc="274CEEC8">
      <w:start w:val="1"/>
      <w:numFmt w:val="bullet"/>
      <w:lvlText w:val=""/>
      <w:lvlJc w:val="left"/>
      <w:pPr>
        <w:ind w:left="2160" w:hanging="360"/>
      </w:pPr>
      <w:rPr>
        <w:rFonts w:ascii="Wingdings" w:hAnsi="Wingdings" w:hint="default"/>
      </w:rPr>
    </w:lvl>
    <w:lvl w:ilvl="3" w:tplc="FC4208A2">
      <w:start w:val="1"/>
      <w:numFmt w:val="bullet"/>
      <w:lvlText w:val=""/>
      <w:lvlJc w:val="left"/>
      <w:pPr>
        <w:ind w:left="2880" w:hanging="360"/>
      </w:pPr>
      <w:rPr>
        <w:rFonts w:ascii="Symbol" w:hAnsi="Symbol" w:hint="default"/>
      </w:rPr>
    </w:lvl>
    <w:lvl w:ilvl="4" w:tplc="8B32857E">
      <w:start w:val="1"/>
      <w:numFmt w:val="bullet"/>
      <w:lvlText w:val="o"/>
      <w:lvlJc w:val="left"/>
      <w:pPr>
        <w:ind w:left="3600" w:hanging="360"/>
      </w:pPr>
      <w:rPr>
        <w:rFonts w:ascii="Courier New" w:hAnsi="Courier New" w:hint="default"/>
      </w:rPr>
    </w:lvl>
    <w:lvl w:ilvl="5" w:tplc="C9FEA79E">
      <w:start w:val="1"/>
      <w:numFmt w:val="bullet"/>
      <w:lvlText w:val=""/>
      <w:lvlJc w:val="left"/>
      <w:pPr>
        <w:ind w:left="4320" w:hanging="360"/>
      </w:pPr>
      <w:rPr>
        <w:rFonts w:ascii="Wingdings" w:hAnsi="Wingdings" w:hint="default"/>
      </w:rPr>
    </w:lvl>
    <w:lvl w:ilvl="6" w:tplc="C36EE6AE">
      <w:start w:val="1"/>
      <w:numFmt w:val="bullet"/>
      <w:lvlText w:val=""/>
      <w:lvlJc w:val="left"/>
      <w:pPr>
        <w:ind w:left="5040" w:hanging="360"/>
      </w:pPr>
      <w:rPr>
        <w:rFonts w:ascii="Symbol" w:hAnsi="Symbol" w:hint="default"/>
      </w:rPr>
    </w:lvl>
    <w:lvl w:ilvl="7" w:tplc="5504DB60">
      <w:start w:val="1"/>
      <w:numFmt w:val="bullet"/>
      <w:lvlText w:val="o"/>
      <w:lvlJc w:val="left"/>
      <w:pPr>
        <w:ind w:left="5760" w:hanging="360"/>
      </w:pPr>
      <w:rPr>
        <w:rFonts w:ascii="Courier New" w:hAnsi="Courier New" w:hint="default"/>
      </w:rPr>
    </w:lvl>
    <w:lvl w:ilvl="8" w:tplc="6BE238A0">
      <w:start w:val="1"/>
      <w:numFmt w:val="bullet"/>
      <w:lvlText w:val=""/>
      <w:lvlJc w:val="left"/>
      <w:pPr>
        <w:ind w:left="6480" w:hanging="360"/>
      </w:pPr>
      <w:rPr>
        <w:rFonts w:ascii="Wingdings" w:hAnsi="Wingdings" w:hint="default"/>
      </w:rPr>
    </w:lvl>
  </w:abstractNum>
  <w:abstractNum w:abstractNumId="47" w15:restartNumberingAfterBreak="0">
    <w:nsid w:val="761A085B"/>
    <w:multiLevelType w:val="hybridMultilevel"/>
    <w:tmpl w:val="8878F8F6"/>
    <w:lvl w:ilvl="0" w:tplc="B8EA93A4">
      <w:start w:val="1"/>
      <w:numFmt w:val="bullet"/>
      <w:lvlText w:val=""/>
      <w:lvlJc w:val="left"/>
      <w:pPr>
        <w:ind w:left="720" w:hanging="360"/>
      </w:pPr>
      <w:rPr>
        <w:rFonts w:ascii="Symbol" w:hAnsi="Symbol" w:hint="default"/>
      </w:rPr>
    </w:lvl>
    <w:lvl w:ilvl="1" w:tplc="719E26A6">
      <w:start w:val="1"/>
      <w:numFmt w:val="bullet"/>
      <w:lvlText w:val="o"/>
      <w:lvlJc w:val="left"/>
      <w:pPr>
        <w:ind w:left="1440" w:hanging="360"/>
      </w:pPr>
      <w:rPr>
        <w:rFonts w:ascii="Courier New" w:hAnsi="Courier New" w:hint="default"/>
      </w:rPr>
    </w:lvl>
    <w:lvl w:ilvl="2" w:tplc="34B22188">
      <w:start w:val="1"/>
      <w:numFmt w:val="bullet"/>
      <w:lvlText w:val=""/>
      <w:lvlJc w:val="left"/>
      <w:pPr>
        <w:ind w:left="2160" w:hanging="360"/>
      </w:pPr>
      <w:rPr>
        <w:rFonts w:ascii="Wingdings" w:hAnsi="Wingdings" w:hint="default"/>
      </w:rPr>
    </w:lvl>
    <w:lvl w:ilvl="3" w:tplc="B296C00E">
      <w:start w:val="1"/>
      <w:numFmt w:val="bullet"/>
      <w:lvlText w:val=""/>
      <w:lvlJc w:val="left"/>
      <w:pPr>
        <w:ind w:left="2880" w:hanging="360"/>
      </w:pPr>
      <w:rPr>
        <w:rFonts w:ascii="Symbol" w:hAnsi="Symbol" w:hint="default"/>
      </w:rPr>
    </w:lvl>
    <w:lvl w:ilvl="4" w:tplc="52329970">
      <w:start w:val="1"/>
      <w:numFmt w:val="bullet"/>
      <w:lvlText w:val="o"/>
      <w:lvlJc w:val="left"/>
      <w:pPr>
        <w:ind w:left="3600" w:hanging="360"/>
      </w:pPr>
      <w:rPr>
        <w:rFonts w:ascii="Courier New" w:hAnsi="Courier New" w:hint="default"/>
      </w:rPr>
    </w:lvl>
    <w:lvl w:ilvl="5" w:tplc="07FEF6BC">
      <w:start w:val="1"/>
      <w:numFmt w:val="bullet"/>
      <w:lvlText w:val=""/>
      <w:lvlJc w:val="left"/>
      <w:pPr>
        <w:ind w:left="4320" w:hanging="360"/>
      </w:pPr>
      <w:rPr>
        <w:rFonts w:ascii="Wingdings" w:hAnsi="Wingdings" w:hint="default"/>
      </w:rPr>
    </w:lvl>
    <w:lvl w:ilvl="6" w:tplc="2F1A6166">
      <w:start w:val="1"/>
      <w:numFmt w:val="bullet"/>
      <w:lvlText w:val=""/>
      <w:lvlJc w:val="left"/>
      <w:pPr>
        <w:ind w:left="5040" w:hanging="360"/>
      </w:pPr>
      <w:rPr>
        <w:rFonts w:ascii="Symbol" w:hAnsi="Symbol" w:hint="default"/>
      </w:rPr>
    </w:lvl>
    <w:lvl w:ilvl="7" w:tplc="08200870">
      <w:start w:val="1"/>
      <w:numFmt w:val="bullet"/>
      <w:lvlText w:val="o"/>
      <w:lvlJc w:val="left"/>
      <w:pPr>
        <w:ind w:left="5760" w:hanging="360"/>
      </w:pPr>
      <w:rPr>
        <w:rFonts w:ascii="Courier New" w:hAnsi="Courier New" w:hint="default"/>
      </w:rPr>
    </w:lvl>
    <w:lvl w:ilvl="8" w:tplc="31168CC2">
      <w:start w:val="1"/>
      <w:numFmt w:val="bullet"/>
      <w:lvlText w:val=""/>
      <w:lvlJc w:val="left"/>
      <w:pPr>
        <w:ind w:left="6480" w:hanging="360"/>
      </w:pPr>
      <w:rPr>
        <w:rFonts w:ascii="Wingdings" w:hAnsi="Wingdings" w:hint="default"/>
      </w:rPr>
    </w:lvl>
  </w:abstractNum>
  <w:abstractNum w:abstractNumId="48" w15:restartNumberingAfterBreak="0">
    <w:nsid w:val="77B93668"/>
    <w:multiLevelType w:val="hybridMultilevel"/>
    <w:tmpl w:val="15E42B18"/>
    <w:lvl w:ilvl="0" w:tplc="50623BDE">
      <w:start w:val="1"/>
      <w:numFmt w:val="decimal"/>
      <w:lvlText w:val="(%1)"/>
      <w:lvlJc w:val="left"/>
      <w:pPr>
        <w:ind w:left="720" w:hanging="360"/>
      </w:pPr>
      <w:rPr>
        <w:rFonts w:ascii="Verdana" w:eastAsiaTheme="minorHAnsi" w:hAnsi="Verdan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FA3569"/>
    <w:multiLevelType w:val="hybridMultilevel"/>
    <w:tmpl w:val="590CBB64"/>
    <w:lvl w:ilvl="0" w:tplc="C20033D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B1C30E7"/>
    <w:multiLevelType w:val="hybridMultilevel"/>
    <w:tmpl w:val="A0102BBA"/>
    <w:lvl w:ilvl="0" w:tplc="E61A0424">
      <w:start w:val="1"/>
      <w:numFmt w:val="bullet"/>
      <w:lvlText w:val=""/>
      <w:lvlJc w:val="left"/>
      <w:pPr>
        <w:ind w:left="360" w:hanging="360"/>
      </w:pPr>
      <w:rPr>
        <w:rFonts w:ascii="Symbol" w:hAnsi="Symbol" w:hint="default"/>
      </w:rPr>
    </w:lvl>
    <w:lvl w:ilvl="1" w:tplc="31E47FA6">
      <w:start w:val="1"/>
      <w:numFmt w:val="bullet"/>
      <w:lvlText w:val="o"/>
      <w:lvlJc w:val="left"/>
      <w:pPr>
        <w:ind w:left="1080" w:hanging="360"/>
      </w:pPr>
      <w:rPr>
        <w:rFonts w:ascii="Courier New" w:hAnsi="Courier New" w:hint="default"/>
      </w:rPr>
    </w:lvl>
    <w:lvl w:ilvl="2" w:tplc="93B89A32">
      <w:start w:val="1"/>
      <w:numFmt w:val="bullet"/>
      <w:lvlText w:val=""/>
      <w:lvlJc w:val="left"/>
      <w:pPr>
        <w:ind w:left="1800" w:hanging="360"/>
      </w:pPr>
      <w:rPr>
        <w:rFonts w:ascii="Wingdings" w:hAnsi="Wingdings" w:hint="default"/>
      </w:rPr>
    </w:lvl>
    <w:lvl w:ilvl="3" w:tplc="FA042366">
      <w:start w:val="1"/>
      <w:numFmt w:val="bullet"/>
      <w:lvlText w:val=""/>
      <w:lvlJc w:val="left"/>
      <w:pPr>
        <w:ind w:left="2520" w:hanging="360"/>
      </w:pPr>
      <w:rPr>
        <w:rFonts w:ascii="Symbol" w:hAnsi="Symbol" w:hint="default"/>
      </w:rPr>
    </w:lvl>
    <w:lvl w:ilvl="4" w:tplc="41721404">
      <w:start w:val="1"/>
      <w:numFmt w:val="bullet"/>
      <w:lvlText w:val="o"/>
      <w:lvlJc w:val="left"/>
      <w:pPr>
        <w:ind w:left="3240" w:hanging="360"/>
      </w:pPr>
      <w:rPr>
        <w:rFonts w:ascii="Courier New" w:hAnsi="Courier New" w:hint="default"/>
      </w:rPr>
    </w:lvl>
    <w:lvl w:ilvl="5" w:tplc="2C2E6A94">
      <w:start w:val="1"/>
      <w:numFmt w:val="bullet"/>
      <w:lvlText w:val=""/>
      <w:lvlJc w:val="left"/>
      <w:pPr>
        <w:ind w:left="3960" w:hanging="360"/>
      </w:pPr>
      <w:rPr>
        <w:rFonts w:ascii="Wingdings" w:hAnsi="Wingdings" w:hint="default"/>
      </w:rPr>
    </w:lvl>
    <w:lvl w:ilvl="6" w:tplc="2A3CC89A">
      <w:start w:val="1"/>
      <w:numFmt w:val="bullet"/>
      <w:lvlText w:val=""/>
      <w:lvlJc w:val="left"/>
      <w:pPr>
        <w:ind w:left="4680" w:hanging="360"/>
      </w:pPr>
      <w:rPr>
        <w:rFonts w:ascii="Symbol" w:hAnsi="Symbol" w:hint="default"/>
      </w:rPr>
    </w:lvl>
    <w:lvl w:ilvl="7" w:tplc="30C0A0D8">
      <w:start w:val="1"/>
      <w:numFmt w:val="bullet"/>
      <w:lvlText w:val="o"/>
      <w:lvlJc w:val="left"/>
      <w:pPr>
        <w:ind w:left="5400" w:hanging="360"/>
      </w:pPr>
      <w:rPr>
        <w:rFonts w:ascii="Courier New" w:hAnsi="Courier New" w:hint="default"/>
      </w:rPr>
    </w:lvl>
    <w:lvl w:ilvl="8" w:tplc="2DF472AC">
      <w:start w:val="1"/>
      <w:numFmt w:val="bullet"/>
      <w:lvlText w:val=""/>
      <w:lvlJc w:val="left"/>
      <w:pPr>
        <w:ind w:left="6120" w:hanging="360"/>
      </w:pPr>
      <w:rPr>
        <w:rFonts w:ascii="Wingdings" w:hAnsi="Wingdings" w:hint="default"/>
      </w:rPr>
    </w:lvl>
  </w:abstractNum>
  <w:abstractNum w:abstractNumId="51" w15:restartNumberingAfterBreak="0">
    <w:nsid w:val="7EC053AF"/>
    <w:multiLevelType w:val="hybridMultilevel"/>
    <w:tmpl w:val="70920FDA"/>
    <w:lvl w:ilvl="0" w:tplc="6728FD9C">
      <w:start w:val="1"/>
      <w:numFmt w:val="bullet"/>
      <w:lvlText w:val=""/>
      <w:lvlJc w:val="left"/>
      <w:pPr>
        <w:ind w:left="720" w:hanging="360"/>
      </w:pPr>
      <w:rPr>
        <w:rFonts w:ascii="Symbol" w:hAnsi="Symbol" w:hint="default"/>
      </w:rPr>
    </w:lvl>
    <w:lvl w:ilvl="1" w:tplc="15108090">
      <w:start w:val="1"/>
      <w:numFmt w:val="bullet"/>
      <w:lvlText w:val="o"/>
      <w:lvlJc w:val="left"/>
      <w:pPr>
        <w:ind w:left="1440" w:hanging="360"/>
      </w:pPr>
      <w:rPr>
        <w:rFonts w:ascii="Courier New" w:hAnsi="Courier New" w:hint="default"/>
      </w:rPr>
    </w:lvl>
    <w:lvl w:ilvl="2" w:tplc="878A4330">
      <w:start w:val="1"/>
      <w:numFmt w:val="bullet"/>
      <w:lvlText w:val=""/>
      <w:lvlJc w:val="left"/>
      <w:pPr>
        <w:ind w:left="2160" w:hanging="360"/>
      </w:pPr>
      <w:rPr>
        <w:rFonts w:ascii="Wingdings" w:hAnsi="Wingdings" w:hint="default"/>
      </w:rPr>
    </w:lvl>
    <w:lvl w:ilvl="3" w:tplc="DE225C82">
      <w:start w:val="1"/>
      <w:numFmt w:val="bullet"/>
      <w:lvlText w:val=""/>
      <w:lvlJc w:val="left"/>
      <w:pPr>
        <w:ind w:left="2880" w:hanging="360"/>
      </w:pPr>
      <w:rPr>
        <w:rFonts w:ascii="Symbol" w:hAnsi="Symbol" w:hint="default"/>
      </w:rPr>
    </w:lvl>
    <w:lvl w:ilvl="4" w:tplc="67E42478">
      <w:start w:val="1"/>
      <w:numFmt w:val="bullet"/>
      <w:lvlText w:val="o"/>
      <w:lvlJc w:val="left"/>
      <w:pPr>
        <w:ind w:left="3600" w:hanging="360"/>
      </w:pPr>
      <w:rPr>
        <w:rFonts w:ascii="Courier New" w:hAnsi="Courier New" w:hint="default"/>
      </w:rPr>
    </w:lvl>
    <w:lvl w:ilvl="5" w:tplc="903E2578">
      <w:start w:val="1"/>
      <w:numFmt w:val="bullet"/>
      <w:lvlText w:val=""/>
      <w:lvlJc w:val="left"/>
      <w:pPr>
        <w:ind w:left="4320" w:hanging="360"/>
      </w:pPr>
      <w:rPr>
        <w:rFonts w:ascii="Wingdings" w:hAnsi="Wingdings" w:hint="default"/>
      </w:rPr>
    </w:lvl>
    <w:lvl w:ilvl="6" w:tplc="B6660F1C">
      <w:start w:val="1"/>
      <w:numFmt w:val="bullet"/>
      <w:lvlText w:val=""/>
      <w:lvlJc w:val="left"/>
      <w:pPr>
        <w:ind w:left="5040" w:hanging="360"/>
      </w:pPr>
      <w:rPr>
        <w:rFonts w:ascii="Symbol" w:hAnsi="Symbol" w:hint="default"/>
      </w:rPr>
    </w:lvl>
    <w:lvl w:ilvl="7" w:tplc="1BA83F50">
      <w:start w:val="1"/>
      <w:numFmt w:val="bullet"/>
      <w:lvlText w:val="o"/>
      <w:lvlJc w:val="left"/>
      <w:pPr>
        <w:ind w:left="5760" w:hanging="360"/>
      </w:pPr>
      <w:rPr>
        <w:rFonts w:ascii="Courier New" w:hAnsi="Courier New" w:hint="default"/>
      </w:rPr>
    </w:lvl>
    <w:lvl w:ilvl="8" w:tplc="5A5CD404">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1"/>
  </w:num>
  <w:num w:numId="4">
    <w:abstractNumId w:val="32"/>
  </w:num>
  <w:num w:numId="5">
    <w:abstractNumId w:val="26"/>
  </w:num>
  <w:num w:numId="6">
    <w:abstractNumId w:val="20"/>
  </w:num>
  <w:num w:numId="7">
    <w:abstractNumId w:val="15"/>
  </w:num>
  <w:num w:numId="8">
    <w:abstractNumId w:val="38"/>
  </w:num>
  <w:num w:numId="9">
    <w:abstractNumId w:val="51"/>
  </w:num>
  <w:num w:numId="10">
    <w:abstractNumId w:val="4"/>
  </w:num>
  <w:num w:numId="11">
    <w:abstractNumId w:val="46"/>
  </w:num>
  <w:num w:numId="12">
    <w:abstractNumId w:val="25"/>
  </w:num>
  <w:num w:numId="13">
    <w:abstractNumId w:val="13"/>
  </w:num>
  <w:num w:numId="14">
    <w:abstractNumId w:val="8"/>
  </w:num>
  <w:num w:numId="15">
    <w:abstractNumId w:val="35"/>
  </w:num>
  <w:num w:numId="16">
    <w:abstractNumId w:val="11"/>
  </w:num>
  <w:num w:numId="17">
    <w:abstractNumId w:val="50"/>
  </w:num>
  <w:num w:numId="18">
    <w:abstractNumId w:val="22"/>
  </w:num>
  <w:num w:numId="19">
    <w:abstractNumId w:val="27"/>
  </w:num>
  <w:num w:numId="20">
    <w:abstractNumId w:val="7"/>
  </w:num>
  <w:num w:numId="21">
    <w:abstractNumId w:val="47"/>
  </w:num>
  <w:num w:numId="22">
    <w:abstractNumId w:val="24"/>
  </w:num>
  <w:num w:numId="23">
    <w:abstractNumId w:val="28"/>
  </w:num>
  <w:num w:numId="24">
    <w:abstractNumId w:val="30"/>
  </w:num>
  <w:num w:numId="25">
    <w:abstractNumId w:val="39"/>
  </w:num>
  <w:num w:numId="26">
    <w:abstractNumId w:val="0"/>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4"/>
  </w:num>
  <w:num w:numId="34">
    <w:abstractNumId w:val="31"/>
  </w:num>
  <w:num w:numId="35">
    <w:abstractNumId w:val="17"/>
  </w:num>
  <w:num w:numId="36">
    <w:abstractNumId w:val="5"/>
  </w:num>
  <w:num w:numId="37">
    <w:abstractNumId w:val="16"/>
  </w:num>
  <w:num w:numId="38">
    <w:abstractNumId w:val="45"/>
  </w:num>
  <w:num w:numId="39">
    <w:abstractNumId w:val="3"/>
  </w:num>
  <w:num w:numId="40">
    <w:abstractNumId w:val="34"/>
  </w:num>
  <w:num w:numId="41">
    <w:abstractNumId w:val="10"/>
  </w:num>
  <w:num w:numId="42">
    <w:abstractNumId w:val="48"/>
  </w:num>
  <w:num w:numId="43">
    <w:abstractNumId w:val="19"/>
  </w:num>
  <w:num w:numId="44">
    <w:abstractNumId w:val="14"/>
  </w:num>
  <w:num w:numId="45">
    <w:abstractNumId w:val="37"/>
  </w:num>
  <w:num w:numId="46">
    <w:abstractNumId w:val="33"/>
  </w:num>
  <w:num w:numId="47">
    <w:abstractNumId w:val="23"/>
  </w:num>
  <w:num w:numId="48">
    <w:abstractNumId w:val="49"/>
  </w:num>
  <w:num w:numId="49">
    <w:abstractNumId w:val="2"/>
  </w:num>
  <w:num w:numId="50">
    <w:abstractNumId w:val="9"/>
  </w:num>
  <w:num w:numId="51">
    <w:abstractNumId w:val="43"/>
  </w:num>
  <w:num w:numId="52">
    <w:abstractNumId w:val="36"/>
  </w:num>
  <w:num w:numId="53">
    <w:abstractNumId w:val="40"/>
  </w:num>
  <w:num w:numId="54">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15"/>
    <w:rsid w:val="000039A3"/>
    <w:rsid w:val="0001160E"/>
    <w:rsid w:val="00020FFB"/>
    <w:rsid w:val="0002757C"/>
    <w:rsid w:val="00027A88"/>
    <w:rsid w:val="0006088A"/>
    <w:rsid w:val="00067EDC"/>
    <w:rsid w:val="0007563C"/>
    <w:rsid w:val="00081567"/>
    <w:rsid w:val="000B50DA"/>
    <w:rsid w:val="000C6B7B"/>
    <w:rsid w:val="000D0FCF"/>
    <w:rsid w:val="000F0E47"/>
    <w:rsid w:val="000F350C"/>
    <w:rsid w:val="000F3825"/>
    <w:rsid w:val="000F7495"/>
    <w:rsid w:val="0013720F"/>
    <w:rsid w:val="00160C4F"/>
    <w:rsid w:val="00161F8E"/>
    <w:rsid w:val="00175E79"/>
    <w:rsid w:val="001864B4"/>
    <w:rsid w:val="0018E50E"/>
    <w:rsid w:val="00192DC1"/>
    <w:rsid w:val="001930D6"/>
    <w:rsid w:val="00194073"/>
    <w:rsid w:val="001941FF"/>
    <w:rsid w:val="0019794C"/>
    <w:rsid w:val="001A4746"/>
    <w:rsid w:val="001A7F0D"/>
    <w:rsid w:val="001C35E2"/>
    <w:rsid w:val="001C49F6"/>
    <w:rsid w:val="001D137A"/>
    <w:rsid w:val="001E0003"/>
    <w:rsid w:val="001E064B"/>
    <w:rsid w:val="001E1F7F"/>
    <w:rsid w:val="001E4874"/>
    <w:rsid w:val="00204C41"/>
    <w:rsid w:val="0021319C"/>
    <w:rsid w:val="00214B7B"/>
    <w:rsid w:val="002155F2"/>
    <w:rsid w:val="00216A89"/>
    <w:rsid w:val="00220149"/>
    <w:rsid w:val="002227D8"/>
    <w:rsid w:val="002463B9"/>
    <w:rsid w:val="00261308"/>
    <w:rsid w:val="0026289A"/>
    <w:rsid w:val="002727CB"/>
    <w:rsid w:val="00276D1C"/>
    <w:rsid w:val="002812CE"/>
    <w:rsid w:val="002A535E"/>
    <w:rsid w:val="002B237C"/>
    <w:rsid w:val="002C1DC0"/>
    <w:rsid w:val="002D4A7A"/>
    <w:rsid w:val="002D4DFE"/>
    <w:rsid w:val="002E15DC"/>
    <w:rsid w:val="002E172D"/>
    <w:rsid w:val="002E3C12"/>
    <w:rsid w:val="002F52E5"/>
    <w:rsid w:val="00304990"/>
    <w:rsid w:val="003053A7"/>
    <w:rsid w:val="0031675A"/>
    <w:rsid w:val="00342678"/>
    <w:rsid w:val="00351662"/>
    <w:rsid w:val="003520E9"/>
    <w:rsid w:val="003533D8"/>
    <w:rsid w:val="00354B84"/>
    <w:rsid w:val="00373348"/>
    <w:rsid w:val="00374E9D"/>
    <w:rsid w:val="00375865"/>
    <w:rsid w:val="003767B4"/>
    <w:rsid w:val="003779BE"/>
    <w:rsid w:val="00394B9E"/>
    <w:rsid w:val="00395AE4"/>
    <w:rsid w:val="003A57DB"/>
    <w:rsid w:val="003C5828"/>
    <w:rsid w:val="003C73EF"/>
    <w:rsid w:val="003E1288"/>
    <w:rsid w:val="003E4933"/>
    <w:rsid w:val="003E7441"/>
    <w:rsid w:val="003F7423"/>
    <w:rsid w:val="004173A5"/>
    <w:rsid w:val="00427FC9"/>
    <w:rsid w:val="00431B6A"/>
    <w:rsid w:val="00442D27"/>
    <w:rsid w:val="00443218"/>
    <w:rsid w:val="00447A6B"/>
    <w:rsid w:val="00460D6C"/>
    <w:rsid w:val="004653F9"/>
    <w:rsid w:val="004660C8"/>
    <w:rsid w:val="00472F0D"/>
    <w:rsid w:val="00473298"/>
    <w:rsid w:val="0048601C"/>
    <w:rsid w:val="004A04DA"/>
    <w:rsid w:val="004A5D38"/>
    <w:rsid w:val="004A7490"/>
    <w:rsid w:val="004B00D2"/>
    <w:rsid w:val="004B3D7B"/>
    <w:rsid w:val="004B3E0A"/>
    <w:rsid w:val="004B5F8F"/>
    <w:rsid w:val="004C3709"/>
    <w:rsid w:val="004C47B2"/>
    <w:rsid w:val="004F766F"/>
    <w:rsid w:val="00504429"/>
    <w:rsid w:val="00504DD5"/>
    <w:rsid w:val="00506278"/>
    <w:rsid w:val="00515F9E"/>
    <w:rsid w:val="00520BA8"/>
    <w:rsid w:val="00524C81"/>
    <w:rsid w:val="005376EB"/>
    <w:rsid w:val="00550B04"/>
    <w:rsid w:val="00555B63"/>
    <w:rsid w:val="0055A6D2"/>
    <w:rsid w:val="00561516"/>
    <w:rsid w:val="00577A12"/>
    <w:rsid w:val="0058438A"/>
    <w:rsid w:val="005855C0"/>
    <w:rsid w:val="005A32D8"/>
    <w:rsid w:val="005A6230"/>
    <w:rsid w:val="005B6388"/>
    <w:rsid w:val="005D2961"/>
    <w:rsid w:val="005D62C3"/>
    <w:rsid w:val="005E55E3"/>
    <w:rsid w:val="00600920"/>
    <w:rsid w:val="0060127B"/>
    <w:rsid w:val="006016B1"/>
    <w:rsid w:val="006104B1"/>
    <w:rsid w:val="00617135"/>
    <w:rsid w:val="00636028"/>
    <w:rsid w:val="00641EF8"/>
    <w:rsid w:val="006447EE"/>
    <w:rsid w:val="006554F1"/>
    <w:rsid w:val="006564A2"/>
    <w:rsid w:val="00666340"/>
    <w:rsid w:val="00675C6B"/>
    <w:rsid w:val="0068094C"/>
    <w:rsid w:val="006B1312"/>
    <w:rsid w:val="006B7CBB"/>
    <w:rsid w:val="006C57E5"/>
    <w:rsid w:val="006D2048"/>
    <w:rsid w:val="006D6330"/>
    <w:rsid w:val="006F7B02"/>
    <w:rsid w:val="007110E6"/>
    <w:rsid w:val="007302C3"/>
    <w:rsid w:val="0073744E"/>
    <w:rsid w:val="007376C2"/>
    <w:rsid w:val="0074049C"/>
    <w:rsid w:val="00753DA9"/>
    <w:rsid w:val="00754ACE"/>
    <w:rsid w:val="007764CC"/>
    <w:rsid w:val="00777ED0"/>
    <w:rsid w:val="00783038"/>
    <w:rsid w:val="007851C3"/>
    <w:rsid w:val="00795663"/>
    <w:rsid w:val="00795DE5"/>
    <w:rsid w:val="007C02B3"/>
    <w:rsid w:val="007C4DAC"/>
    <w:rsid w:val="007C661D"/>
    <w:rsid w:val="007D471E"/>
    <w:rsid w:val="007DCC27"/>
    <w:rsid w:val="007E01E8"/>
    <w:rsid w:val="007E2711"/>
    <w:rsid w:val="00802708"/>
    <w:rsid w:val="00802DA1"/>
    <w:rsid w:val="008101F0"/>
    <w:rsid w:val="00824E95"/>
    <w:rsid w:val="008250CF"/>
    <w:rsid w:val="008333B4"/>
    <w:rsid w:val="00843680"/>
    <w:rsid w:val="00846818"/>
    <w:rsid w:val="008507A3"/>
    <w:rsid w:val="008522B4"/>
    <w:rsid w:val="00867EAE"/>
    <w:rsid w:val="008745B7"/>
    <w:rsid w:val="00877C5B"/>
    <w:rsid w:val="00887ADF"/>
    <w:rsid w:val="008940EC"/>
    <w:rsid w:val="00897803"/>
    <w:rsid w:val="008A3147"/>
    <w:rsid w:val="008B0F36"/>
    <w:rsid w:val="008C07D0"/>
    <w:rsid w:val="008C156F"/>
    <w:rsid w:val="008C2861"/>
    <w:rsid w:val="008D2FC5"/>
    <w:rsid w:val="008D6043"/>
    <w:rsid w:val="008E15E4"/>
    <w:rsid w:val="008E2946"/>
    <w:rsid w:val="008F4662"/>
    <w:rsid w:val="008F6F9F"/>
    <w:rsid w:val="009011CC"/>
    <w:rsid w:val="00903AD8"/>
    <w:rsid w:val="00907B76"/>
    <w:rsid w:val="0091BAF0"/>
    <w:rsid w:val="00924A6A"/>
    <w:rsid w:val="00945D9C"/>
    <w:rsid w:val="00960ED0"/>
    <w:rsid w:val="009652DA"/>
    <w:rsid w:val="009674A8"/>
    <w:rsid w:val="00977074"/>
    <w:rsid w:val="00985429"/>
    <w:rsid w:val="00985B9B"/>
    <w:rsid w:val="009B7D05"/>
    <w:rsid w:val="009E2A48"/>
    <w:rsid w:val="00A02EC9"/>
    <w:rsid w:val="00A152D2"/>
    <w:rsid w:val="00A223A0"/>
    <w:rsid w:val="00A23256"/>
    <w:rsid w:val="00A618BF"/>
    <w:rsid w:val="00A677FD"/>
    <w:rsid w:val="00A74420"/>
    <w:rsid w:val="00A80C9F"/>
    <w:rsid w:val="00A96D1F"/>
    <w:rsid w:val="00AB0E92"/>
    <w:rsid w:val="00AB2C07"/>
    <w:rsid w:val="00AC1715"/>
    <w:rsid w:val="00AE0B2F"/>
    <w:rsid w:val="00AF2299"/>
    <w:rsid w:val="00AF7D7D"/>
    <w:rsid w:val="00AF9EEF"/>
    <w:rsid w:val="00B03823"/>
    <w:rsid w:val="00B138EC"/>
    <w:rsid w:val="00B1504F"/>
    <w:rsid w:val="00B159AB"/>
    <w:rsid w:val="00B257AE"/>
    <w:rsid w:val="00B40076"/>
    <w:rsid w:val="00B65ED6"/>
    <w:rsid w:val="00B753B1"/>
    <w:rsid w:val="00B8D459"/>
    <w:rsid w:val="00B97371"/>
    <w:rsid w:val="00BA217B"/>
    <w:rsid w:val="00BA6113"/>
    <w:rsid w:val="00BB22C6"/>
    <w:rsid w:val="00BB3E17"/>
    <w:rsid w:val="00BB3ED9"/>
    <w:rsid w:val="00BE354F"/>
    <w:rsid w:val="00BE6CB1"/>
    <w:rsid w:val="00BE6E2D"/>
    <w:rsid w:val="00C0119E"/>
    <w:rsid w:val="00C07A55"/>
    <w:rsid w:val="00C0F5CD"/>
    <w:rsid w:val="00C1BBF2"/>
    <w:rsid w:val="00C30823"/>
    <w:rsid w:val="00C32DB1"/>
    <w:rsid w:val="00C82165"/>
    <w:rsid w:val="00C844B2"/>
    <w:rsid w:val="00C9109D"/>
    <w:rsid w:val="00C91272"/>
    <w:rsid w:val="00CA34C1"/>
    <w:rsid w:val="00CB477F"/>
    <w:rsid w:val="00CC952D"/>
    <w:rsid w:val="00CCDFE0"/>
    <w:rsid w:val="00CDAA02"/>
    <w:rsid w:val="00CF3076"/>
    <w:rsid w:val="00CFB0FA"/>
    <w:rsid w:val="00D167CF"/>
    <w:rsid w:val="00D42039"/>
    <w:rsid w:val="00D4CAE1"/>
    <w:rsid w:val="00D56259"/>
    <w:rsid w:val="00D562C8"/>
    <w:rsid w:val="00D60DF4"/>
    <w:rsid w:val="00D61126"/>
    <w:rsid w:val="00D66F6C"/>
    <w:rsid w:val="00D67482"/>
    <w:rsid w:val="00D72F33"/>
    <w:rsid w:val="00D7FF05"/>
    <w:rsid w:val="00DB6188"/>
    <w:rsid w:val="00DC3B8C"/>
    <w:rsid w:val="00DD2325"/>
    <w:rsid w:val="00DD5280"/>
    <w:rsid w:val="00DD5D29"/>
    <w:rsid w:val="00DE1184"/>
    <w:rsid w:val="00DE2C8E"/>
    <w:rsid w:val="00DE6F2A"/>
    <w:rsid w:val="00E04A5F"/>
    <w:rsid w:val="00E104F0"/>
    <w:rsid w:val="00E13A04"/>
    <w:rsid w:val="00E1739F"/>
    <w:rsid w:val="00E23A40"/>
    <w:rsid w:val="00E31AC5"/>
    <w:rsid w:val="00E40F99"/>
    <w:rsid w:val="00E40FC5"/>
    <w:rsid w:val="00E41130"/>
    <w:rsid w:val="00E5230A"/>
    <w:rsid w:val="00E65904"/>
    <w:rsid w:val="00E668D2"/>
    <w:rsid w:val="00E93EFB"/>
    <w:rsid w:val="00EB5F09"/>
    <w:rsid w:val="00EB7BB0"/>
    <w:rsid w:val="00EC1DF7"/>
    <w:rsid w:val="00EC50AE"/>
    <w:rsid w:val="00ED6E2C"/>
    <w:rsid w:val="00EF376A"/>
    <w:rsid w:val="00EF656B"/>
    <w:rsid w:val="00F03627"/>
    <w:rsid w:val="00F12762"/>
    <w:rsid w:val="00F13F51"/>
    <w:rsid w:val="00F3461C"/>
    <w:rsid w:val="00F468D6"/>
    <w:rsid w:val="00F51AB4"/>
    <w:rsid w:val="00F53755"/>
    <w:rsid w:val="00F55E3B"/>
    <w:rsid w:val="00F560E7"/>
    <w:rsid w:val="00F6263E"/>
    <w:rsid w:val="00F637AE"/>
    <w:rsid w:val="00F64995"/>
    <w:rsid w:val="00F7134F"/>
    <w:rsid w:val="00F83A1C"/>
    <w:rsid w:val="00F86A6B"/>
    <w:rsid w:val="00F904D6"/>
    <w:rsid w:val="00F91660"/>
    <w:rsid w:val="00FA797F"/>
    <w:rsid w:val="00FD1810"/>
    <w:rsid w:val="00FD1D12"/>
    <w:rsid w:val="00FE2905"/>
    <w:rsid w:val="00FF007A"/>
    <w:rsid w:val="00FF6FCE"/>
    <w:rsid w:val="0107B7E2"/>
    <w:rsid w:val="010A9612"/>
    <w:rsid w:val="01124915"/>
    <w:rsid w:val="0113763F"/>
    <w:rsid w:val="011477E6"/>
    <w:rsid w:val="011FAC35"/>
    <w:rsid w:val="0123AEC5"/>
    <w:rsid w:val="01281571"/>
    <w:rsid w:val="012A2E63"/>
    <w:rsid w:val="012A7E68"/>
    <w:rsid w:val="012F6381"/>
    <w:rsid w:val="013460E9"/>
    <w:rsid w:val="013C5708"/>
    <w:rsid w:val="013E3DAD"/>
    <w:rsid w:val="014167F8"/>
    <w:rsid w:val="014AC3E9"/>
    <w:rsid w:val="014C9391"/>
    <w:rsid w:val="014DE92E"/>
    <w:rsid w:val="01513CFB"/>
    <w:rsid w:val="0151762B"/>
    <w:rsid w:val="0156568B"/>
    <w:rsid w:val="0157B7E2"/>
    <w:rsid w:val="016658E6"/>
    <w:rsid w:val="01682A99"/>
    <w:rsid w:val="016ECC2B"/>
    <w:rsid w:val="017662D4"/>
    <w:rsid w:val="01790C2D"/>
    <w:rsid w:val="017CA955"/>
    <w:rsid w:val="0180E2DE"/>
    <w:rsid w:val="018178CC"/>
    <w:rsid w:val="0193C755"/>
    <w:rsid w:val="019405C4"/>
    <w:rsid w:val="0195AA18"/>
    <w:rsid w:val="01975722"/>
    <w:rsid w:val="019ABA50"/>
    <w:rsid w:val="019B9C0F"/>
    <w:rsid w:val="019F7429"/>
    <w:rsid w:val="01A40812"/>
    <w:rsid w:val="01AE856E"/>
    <w:rsid w:val="01BBBACC"/>
    <w:rsid w:val="01C03ED5"/>
    <w:rsid w:val="01C237AB"/>
    <w:rsid w:val="01C850D8"/>
    <w:rsid w:val="01CEE69B"/>
    <w:rsid w:val="01D4C4A6"/>
    <w:rsid w:val="01D651B9"/>
    <w:rsid w:val="01DF8F9D"/>
    <w:rsid w:val="01E53ECA"/>
    <w:rsid w:val="01E6C0D4"/>
    <w:rsid w:val="01E96603"/>
    <w:rsid w:val="01E984DD"/>
    <w:rsid w:val="01F2FE4D"/>
    <w:rsid w:val="01F4A32E"/>
    <w:rsid w:val="01F5AFDF"/>
    <w:rsid w:val="020320C0"/>
    <w:rsid w:val="0212C8B8"/>
    <w:rsid w:val="0214065D"/>
    <w:rsid w:val="02151A17"/>
    <w:rsid w:val="02153504"/>
    <w:rsid w:val="022837EF"/>
    <w:rsid w:val="022BB37D"/>
    <w:rsid w:val="022DDF7F"/>
    <w:rsid w:val="0233402D"/>
    <w:rsid w:val="023637DD"/>
    <w:rsid w:val="0239C333"/>
    <w:rsid w:val="023BA80F"/>
    <w:rsid w:val="0244345D"/>
    <w:rsid w:val="024466B7"/>
    <w:rsid w:val="02473EDF"/>
    <w:rsid w:val="024C83B5"/>
    <w:rsid w:val="024D8165"/>
    <w:rsid w:val="024DB52D"/>
    <w:rsid w:val="024F7E8D"/>
    <w:rsid w:val="025573CB"/>
    <w:rsid w:val="0264A335"/>
    <w:rsid w:val="026B198D"/>
    <w:rsid w:val="026B815B"/>
    <w:rsid w:val="026BE68D"/>
    <w:rsid w:val="026BFFEE"/>
    <w:rsid w:val="02703D82"/>
    <w:rsid w:val="027341F6"/>
    <w:rsid w:val="0273CF66"/>
    <w:rsid w:val="027A7254"/>
    <w:rsid w:val="02817A64"/>
    <w:rsid w:val="028602DC"/>
    <w:rsid w:val="0293FA99"/>
    <w:rsid w:val="02A28439"/>
    <w:rsid w:val="02AE8258"/>
    <w:rsid w:val="02AEDFDE"/>
    <w:rsid w:val="02BF30ED"/>
    <w:rsid w:val="02C42443"/>
    <w:rsid w:val="02CB8E71"/>
    <w:rsid w:val="02DA3209"/>
    <w:rsid w:val="02E2DF97"/>
    <w:rsid w:val="02E404A1"/>
    <w:rsid w:val="02E443E0"/>
    <w:rsid w:val="02E9C14E"/>
    <w:rsid w:val="02EF3200"/>
    <w:rsid w:val="02F280A0"/>
    <w:rsid w:val="02FB9936"/>
    <w:rsid w:val="02FE68B3"/>
    <w:rsid w:val="03002DC9"/>
    <w:rsid w:val="030C36FC"/>
    <w:rsid w:val="030D6B3C"/>
    <w:rsid w:val="03123AF9"/>
    <w:rsid w:val="0314E0DA"/>
    <w:rsid w:val="03172416"/>
    <w:rsid w:val="03216D60"/>
    <w:rsid w:val="0321A272"/>
    <w:rsid w:val="03303C24"/>
    <w:rsid w:val="03386FBD"/>
    <w:rsid w:val="033A54D8"/>
    <w:rsid w:val="03414026"/>
    <w:rsid w:val="0342C1F2"/>
    <w:rsid w:val="034675EB"/>
    <w:rsid w:val="03488DF2"/>
    <w:rsid w:val="035B79D2"/>
    <w:rsid w:val="036354DD"/>
    <w:rsid w:val="0371B3FC"/>
    <w:rsid w:val="037649BD"/>
    <w:rsid w:val="039BCE76"/>
    <w:rsid w:val="039C835B"/>
    <w:rsid w:val="03BE3FFD"/>
    <w:rsid w:val="03CBD5C6"/>
    <w:rsid w:val="03DA87DE"/>
    <w:rsid w:val="03DAF55C"/>
    <w:rsid w:val="03DBB9BC"/>
    <w:rsid w:val="03E75867"/>
    <w:rsid w:val="03EC8428"/>
    <w:rsid w:val="03EEADF7"/>
    <w:rsid w:val="03F0F88D"/>
    <w:rsid w:val="03F445E5"/>
    <w:rsid w:val="03F6B046"/>
    <w:rsid w:val="03F94430"/>
    <w:rsid w:val="03F9E23A"/>
    <w:rsid w:val="0405EAC7"/>
    <w:rsid w:val="04087BD4"/>
    <w:rsid w:val="040E0598"/>
    <w:rsid w:val="04195D67"/>
    <w:rsid w:val="041D4AC5"/>
    <w:rsid w:val="041FFE55"/>
    <w:rsid w:val="0423651B"/>
    <w:rsid w:val="04257B5F"/>
    <w:rsid w:val="0447FDEE"/>
    <w:rsid w:val="044E30A9"/>
    <w:rsid w:val="045080E6"/>
    <w:rsid w:val="04587E02"/>
    <w:rsid w:val="0459DBD0"/>
    <w:rsid w:val="045E0B4A"/>
    <w:rsid w:val="046286CF"/>
    <w:rsid w:val="046FF123"/>
    <w:rsid w:val="0470EE5E"/>
    <w:rsid w:val="04766CCB"/>
    <w:rsid w:val="047EAFF8"/>
    <w:rsid w:val="04849237"/>
    <w:rsid w:val="0484B01B"/>
    <w:rsid w:val="04850A76"/>
    <w:rsid w:val="04881245"/>
    <w:rsid w:val="048AC353"/>
    <w:rsid w:val="0491541A"/>
    <w:rsid w:val="049157C5"/>
    <w:rsid w:val="049678F2"/>
    <w:rsid w:val="049878D0"/>
    <w:rsid w:val="049D769E"/>
    <w:rsid w:val="049EF1F2"/>
    <w:rsid w:val="04A0583B"/>
    <w:rsid w:val="04A1DD47"/>
    <w:rsid w:val="04A3EEEB"/>
    <w:rsid w:val="04A85267"/>
    <w:rsid w:val="04AA2782"/>
    <w:rsid w:val="04AF2BEA"/>
    <w:rsid w:val="04B0229C"/>
    <w:rsid w:val="04B45A5D"/>
    <w:rsid w:val="04BC6A06"/>
    <w:rsid w:val="04C2C7DE"/>
    <w:rsid w:val="04C43543"/>
    <w:rsid w:val="04D33CD1"/>
    <w:rsid w:val="04D3F16A"/>
    <w:rsid w:val="04D43CA0"/>
    <w:rsid w:val="04DD1087"/>
    <w:rsid w:val="04DDB1FB"/>
    <w:rsid w:val="0513952C"/>
    <w:rsid w:val="051919F7"/>
    <w:rsid w:val="0521259F"/>
    <w:rsid w:val="052DCCD6"/>
    <w:rsid w:val="0534FCDE"/>
    <w:rsid w:val="0541AB9E"/>
    <w:rsid w:val="0543C6A3"/>
    <w:rsid w:val="05538F55"/>
    <w:rsid w:val="0554B0F7"/>
    <w:rsid w:val="0568D666"/>
    <w:rsid w:val="056A88BD"/>
    <w:rsid w:val="057499DD"/>
    <w:rsid w:val="0575B8D4"/>
    <w:rsid w:val="0579177C"/>
    <w:rsid w:val="057B56A5"/>
    <w:rsid w:val="057D50F9"/>
    <w:rsid w:val="0580ABF8"/>
    <w:rsid w:val="058328C8"/>
    <w:rsid w:val="058A3BE5"/>
    <w:rsid w:val="058D4250"/>
    <w:rsid w:val="059F1588"/>
    <w:rsid w:val="05A047AC"/>
    <w:rsid w:val="05C471DD"/>
    <w:rsid w:val="05E2A4F1"/>
    <w:rsid w:val="05E5A9FD"/>
    <w:rsid w:val="05F5A907"/>
    <w:rsid w:val="05F99443"/>
    <w:rsid w:val="05FBA8FE"/>
    <w:rsid w:val="0600B82D"/>
    <w:rsid w:val="0607E4BC"/>
    <w:rsid w:val="06094E5B"/>
    <w:rsid w:val="0613217B"/>
    <w:rsid w:val="06137347"/>
    <w:rsid w:val="06157B35"/>
    <w:rsid w:val="062741CE"/>
    <w:rsid w:val="0629C00A"/>
    <w:rsid w:val="062A60E5"/>
    <w:rsid w:val="062B8D77"/>
    <w:rsid w:val="062D8B38"/>
    <w:rsid w:val="0644535C"/>
    <w:rsid w:val="064B71B0"/>
    <w:rsid w:val="064F78DB"/>
    <w:rsid w:val="0664487B"/>
    <w:rsid w:val="066D5BF6"/>
    <w:rsid w:val="0674D61E"/>
    <w:rsid w:val="0679FFB5"/>
    <w:rsid w:val="067F4D23"/>
    <w:rsid w:val="0685CE96"/>
    <w:rsid w:val="069AF59F"/>
    <w:rsid w:val="06ADEA7F"/>
    <w:rsid w:val="06B834A7"/>
    <w:rsid w:val="06B906E7"/>
    <w:rsid w:val="06C0AC64"/>
    <w:rsid w:val="06C587DB"/>
    <w:rsid w:val="06CBDF96"/>
    <w:rsid w:val="06DB4D34"/>
    <w:rsid w:val="06DFD527"/>
    <w:rsid w:val="06E297DB"/>
    <w:rsid w:val="06E616BA"/>
    <w:rsid w:val="07056622"/>
    <w:rsid w:val="071FCE0A"/>
    <w:rsid w:val="07280C24"/>
    <w:rsid w:val="07297CB3"/>
    <w:rsid w:val="072B9EB3"/>
    <w:rsid w:val="07338308"/>
    <w:rsid w:val="074734FD"/>
    <w:rsid w:val="076A2538"/>
    <w:rsid w:val="076EA985"/>
    <w:rsid w:val="077112D9"/>
    <w:rsid w:val="07796E36"/>
    <w:rsid w:val="078095A6"/>
    <w:rsid w:val="0783E0DA"/>
    <w:rsid w:val="07857CA8"/>
    <w:rsid w:val="078A6497"/>
    <w:rsid w:val="079834EB"/>
    <w:rsid w:val="07A15954"/>
    <w:rsid w:val="07A1CF01"/>
    <w:rsid w:val="07A5F39D"/>
    <w:rsid w:val="07A79B71"/>
    <w:rsid w:val="07AA5191"/>
    <w:rsid w:val="07B0152C"/>
    <w:rsid w:val="07B3C546"/>
    <w:rsid w:val="07B728E8"/>
    <w:rsid w:val="07BD3271"/>
    <w:rsid w:val="07C7ABBA"/>
    <w:rsid w:val="07C7FE4D"/>
    <w:rsid w:val="07CB671F"/>
    <w:rsid w:val="07CE6D48"/>
    <w:rsid w:val="07D2C7E5"/>
    <w:rsid w:val="07D49FCA"/>
    <w:rsid w:val="07D6073A"/>
    <w:rsid w:val="07DC9B7C"/>
    <w:rsid w:val="07E77942"/>
    <w:rsid w:val="07EEDE05"/>
    <w:rsid w:val="07F2F74E"/>
    <w:rsid w:val="07F9A2BC"/>
    <w:rsid w:val="07FC4F5B"/>
    <w:rsid w:val="080C2ACF"/>
    <w:rsid w:val="080E1B85"/>
    <w:rsid w:val="080ED0FB"/>
    <w:rsid w:val="08152567"/>
    <w:rsid w:val="08206F0E"/>
    <w:rsid w:val="082D09EE"/>
    <w:rsid w:val="082EAF03"/>
    <w:rsid w:val="0831A9E5"/>
    <w:rsid w:val="083CE81D"/>
    <w:rsid w:val="0847D70A"/>
    <w:rsid w:val="08482FDF"/>
    <w:rsid w:val="0852F342"/>
    <w:rsid w:val="08579665"/>
    <w:rsid w:val="0872CCD2"/>
    <w:rsid w:val="08795831"/>
    <w:rsid w:val="088A2C9A"/>
    <w:rsid w:val="088B3C52"/>
    <w:rsid w:val="088D1F47"/>
    <w:rsid w:val="089B45A2"/>
    <w:rsid w:val="089F87BC"/>
    <w:rsid w:val="08AD1E14"/>
    <w:rsid w:val="08B29F96"/>
    <w:rsid w:val="08B4C8E9"/>
    <w:rsid w:val="08BA1183"/>
    <w:rsid w:val="08BBF347"/>
    <w:rsid w:val="08BD599C"/>
    <w:rsid w:val="08D35289"/>
    <w:rsid w:val="08D36B52"/>
    <w:rsid w:val="08D37D12"/>
    <w:rsid w:val="08D9CF6A"/>
    <w:rsid w:val="08DFC0DF"/>
    <w:rsid w:val="08E11648"/>
    <w:rsid w:val="08E4C9A5"/>
    <w:rsid w:val="08E66CD7"/>
    <w:rsid w:val="08EDE0DB"/>
    <w:rsid w:val="08F03D4D"/>
    <w:rsid w:val="08F3609F"/>
    <w:rsid w:val="08F6CBCC"/>
    <w:rsid w:val="08FF5DEA"/>
    <w:rsid w:val="0905531B"/>
    <w:rsid w:val="09066B53"/>
    <w:rsid w:val="09126C82"/>
    <w:rsid w:val="09139E3A"/>
    <w:rsid w:val="0914E4D5"/>
    <w:rsid w:val="091E714E"/>
    <w:rsid w:val="09214F31"/>
    <w:rsid w:val="092569F4"/>
    <w:rsid w:val="092769BC"/>
    <w:rsid w:val="0930724D"/>
    <w:rsid w:val="093A8E72"/>
    <w:rsid w:val="093B8595"/>
    <w:rsid w:val="093C0EDA"/>
    <w:rsid w:val="09423E74"/>
    <w:rsid w:val="0951E6A6"/>
    <w:rsid w:val="0954D1F1"/>
    <w:rsid w:val="095893A7"/>
    <w:rsid w:val="095B6043"/>
    <w:rsid w:val="095BE104"/>
    <w:rsid w:val="09600D86"/>
    <w:rsid w:val="0961FF23"/>
    <w:rsid w:val="096770E0"/>
    <w:rsid w:val="096C26E4"/>
    <w:rsid w:val="096CF080"/>
    <w:rsid w:val="096E8619"/>
    <w:rsid w:val="0973D9C7"/>
    <w:rsid w:val="097DC8AF"/>
    <w:rsid w:val="098EE941"/>
    <w:rsid w:val="098F64DF"/>
    <w:rsid w:val="09A31B5F"/>
    <w:rsid w:val="09BBED14"/>
    <w:rsid w:val="09BD6A80"/>
    <w:rsid w:val="09CC60FB"/>
    <w:rsid w:val="09E0A5B8"/>
    <w:rsid w:val="09E195E9"/>
    <w:rsid w:val="09E1E6A0"/>
    <w:rsid w:val="09E467C4"/>
    <w:rsid w:val="09E64756"/>
    <w:rsid w:val="09E6830D"/>
    <w:rsid w:val="09E96CFB"/>
    <w:rsid w:val="09ED6EB0"/>
    <w:rsid w:val="09F82DCF"/>
    <w:rsid w:val="09FBE79F"/>
    <w:rsid w:val="09FF45BB"/>
    <w:rsid w:val="0A026BF6"/>
    <w:rsid w:val="0A0335E3"/>
    <w:rsid w:val="0A05C95D"/>
    <w:rsid w:val="0A05D703"/>
    <w:rsid w:val="0A0D2276"/>
    <w:rsid w:val="0A11FDFD"/>
    <w:rsid w:val="0A1E810D"/>
    <w:rsid w:val="0A28BD3C"/>
    <w:rsid w:val="0A2A4593"/>
    <w:rsid w:val="0A2BBDFD"/>
    <w:rsid w:val="0A2EE635"/>
    <w:rsid w:val="0A2FD163"/>
    <w:rsid w:val="0A348FFE"/>
    <w:rsid w:val="0A38F164"/>
    <w:rsid w:val="0A4306D2"/>
    <w:rsid w:val="0A47FB7A"/>
    <w:rsid w:val="0A480BEC"/>
    <w:rsid w:val="0A4B0029"/>
    <w:rsid w:val="0A4BD7AD"/>
    <w:rsid w:val="0A4C569A"/>
    <w:rsid w:val="0A554BB7"/>
    <w:rsid w:val="0A5594AF"/>
    <w:rsid w:val="0A5956D0"/>
    <w:rsid w:val="0A63B493"/>
    <w:rsid w:val="0A6D12C2"/>
    <w:rsid w:val="0A844B5E"/>
    <w:rsid w:val="0A89F374"/>
    <w:rsid w:val="0A8A5F45"/>
    <w:rsid w:val="0A918FA3"/>
    <w:rsid w:val="0A9D1054"/>
    <w:rsid w:val="0AA30B0E"/>
    <w:rsid w:val="0AABE293"/>
    <w:rsid w:val="0AAFF4F7"/>
    <w:rsid w:val="0ABF5829"/>
    <w:rsid w:val="0AD33FB2"/>
    <w:rsid w:val="0AD76290"/>
    <w:rsid w:val="0AD85592"/>
    <w:rsid w:val="0AD91F3D"/>
    <w:rsid w:val="0ADD5508"/>
    <w:rsid w:val="0ADE6308"/>
    <w:rsid w:val="0AE04E0D"/>
    <w:rsid w:val="0AE0DDF9"/>
    <w:rsid w:val="0AE41FDF"/>
    <w:rsid w:val="0AEF2784"/>
    <w:rsid w:val="0AF500EC"/>
    <w:rsid w:val="0AFD1A16"/>
    <w:rsid w:val="0AFDB9C2"/>
    <w:rsid w:val="0B020ACB"/>
    <w:rsid w:val="0B0A8B66"/>
    <w:rsid w:val="0B0C6D79"/>
    <w:rsid w:val="0B225C01"/>
    <w:rsid w:val="0B2C6CD6"/>
    <w:rsid w:val="0B3B4E09"/>
    <w:rsid w:val="0B442CB1"/>
    <w:rsid w:val="0B51F148"/>
    <w:rsid w:val="0B5381FA"/>
    <w:rsid w:val="0B553ACA"/>
    <w:rsid w:val="0B595893"/>
    <w:rsid w:val="0B5F2000"/>
    <w:rsid w:val="0B64CE71"/>
    <w:rsid w:val="0B7803D3"/>
    <w:rsid w:val="0B88016C"/>
    <w:rsid w:val="0B8B932B"/>
    <w:rsid w:val="0BA62E25"/>
    <w:rsid w:val="0BADB4B6"/>
    <w:rsid w:val="0BB39295"/>
    <w:rsid w:val="0BB608FE"/>
    <w:rsid w:val="0BB75D0C"/>
    <w:rsid w:val="0BBE6289"/>
    <w:rsid w:val="0BC0288F"/>
    <w:rsid w:val="0BC523A1"/>
    <w:rsid w:val="0BD9F3FA"/>
    <w:rsid w:val="0BDA4A78"/>
    <w:rsid w:val="0BDAAA99"/>
    <w:rsid w:val="0BDCAF4B"/>
    <w:rsid w:val="0BDCFF29"/>
    <w:rsid w:val="0BE3E7EC"/>
    <w:rsid w:val="0BEA1DBD"/>
    <w:rsid w:val="0BF3C685"/>
    <w:rsid w:val="0C05ABEC"/>
    <w:rsid w:val="0C08A2D6"/>
    <w:rsid w:val="0C0AFCC6"/>
    <w:rsid w:val="0C1353EA"/>
    <w:rsid w:val="0C229F32"/>
    <w:rsid w:val="0C26BFA2"/>
    <w:rsid w:val="0C2B5B9F"/>
    <w:rsid w:val="0C35E739"/>
    <w:rsid w:val="0C3DA487"/>
    <w:rsid w:val="0C447709"/>
    <w:rsid w:val="0C4FCE30"/>
    <w:rsid w:val="0C572A8D"/>
    <w:rsid w:val="0C5F7CF7"/>
    <w:rsid w:val="0C611891"/>
    <w:rsid w:val="0C62988E"/>
    <w:rsid w:val="0C6B4EB9"/>
    <w:rsid w:val="0C754024"/>
    <w:rsid w:val="0C78FDDF"/>
    <w:rsid w:val="0C7A86E3"/>
    <w:rsid w:val="0C7BA9ED"/>
    <w:rsid w:val="0C90A394"/>
    <w:rsid w:val="0C948F1B"/>
    <w:rsid w:val="0C97F328"/>
    <w:rsid w:val="0C9BCAD7"/>
    <w:rsid w:val="0CA49142"/>
    <w:rsid w:val="0CA813A4"/>
    <w:rsid w:val="0CAE81B7"/>
    <w:rsid w:val="0CBF4DFB"/>
    <w:rsid w:val="0CC32810"/>
    <w:rsid w:val="0CC4450B"/>
    <w:rsid w:val="0CC4DAEE"/>
    <w:rsid w:val="0CC705A1"/>
    <w:rsid w:val="0CCAACA0"/>
    <w:rsid w:val="0CCB13BE"/>
    <w:rsid w:val="0CD6E795"/>
    <w:rsid w:val="0CE4F4AE"/>
    <w:rsid w:val="0CE752B4"/>
    <w:rsid w:val="0CE913AB"/>
    <w:rsid w:val="0CE91AC5"/>
    <w:rsid w:val="0CEB3E89"/>
    <w:rsid w:val="0CF21D70"/>
    <w:rsid w:val="0CFA16AF"/>
    <w:rsid w:val="0CFF2D63"/>
    <w:rsid w:val="0D03B514"/>
    <w:rsid w:val="0D0C3EB9"/>
    <w:rsid w:val="0D134775"/>
    <w:rsid w:val="0D1D2C03"/>
    <w:rsid w:val="0D213567"/>
    <w:rsid w:val="0D27565D"/>
    <w:rsid w:val="0D2A10D4"/>
    <w:rsid w:val="0D2A6DD2"/>
    <w:rsid w:val="0D2C5193"/>
    <w:rsid w:val="0D2DB504"/>
    <w:rsid w:val="0D3205A8"/>
    <w:rsid w:val="0D3AD6A5"/>
    <w:rsid w:val="0D3BD8B6"/>
    <w:rsid w:val="0D3DDE5F"/>
    <w:rsid w:val="0D42408D"/>
    <w:rsid w:val="0D498517"/>
    <w:rsid w:val="0D49A1BD"/>
    <w:rsid w:val="0D49FC4A"/>
    <w:rsid w:val="0D4F38AA"/>
    <w:rsid w:val="0D570B03"/>
    <w:rsid w:val="0D5C2857"/>
    <w:rsid w:val="0D60EB85"/>
    <w:rsid w:val="0D654A20"/>
    <w:rsid w:val="0D74D5E2"/>
    <w:rsid w:val="0D791541"/>
    <w:rsid w:val="0D7B3C35"/>
    <w:rsid w:val="0D7CC2A0"/>
    <w:rsid w:val="0D7D4EDF"/>
    <w:rsid w:val="0D838122"/>
    <w:rsid w:val="0D8E3AAD"/>
    <w:rsid w:val="0D923134"/>
    <w:rsid w:val="0D92A597"/>
    <w:rsid w:val="0D95E7CE"/>
    <w:rsid w:val="0D9F7584"/>
    <w:rsid w:val="0DA86BD9"/>
    <w:rsid w:val="0DAC848E"/>
    <w:rsid w:val="0DB3BDDD"/>
    <w:rsid w:val="0DB52E13"/>
    <w:rsid w:val="0DB53435"/>
    <w:rsid w:val="0DB854B8"/>
    <w:rsid w:val="0DBDBE48"/>
    <w:rsid w:val="0DBDE9B4"/>
    <w:rsid w:val="0DBEB647"/>
    <w:rsid w:val="0DC52ED9"/>
    <w:rsid w:val="0DCAFC71"/>
    <w:rsid w:val="0DD426D0"/>
    <w:rsid w:val="0DDDF151"/>
    <w:rsid w:val="0DDFDB04"/>
    <w:rsid w:val="0DE76727"/>
    <w:rsid w:val="0DEAA95D"/>
    <w:rsid w:val="0DF1353D"/>
    <w:rsid w:val="0DF719AE"/>
    <w:rsid w:val="0E055C35"/>
    <w:rsid w:val="0E1298E9"/>
    <w:rsid w:val="0E3903FA"/>
    <w:rsid w:val="0E39965A"/>
    <w:rsid w:val="0E425D3D"/>
    <w:rsid w:val="0E497CE4"/>
    <w:rsid w:val="0E49BA0F"/>
    <w:rsid w:val="0E4A82E2"/>
    <w:rsid w:val="0E4FC14A"/>
    <w:rsid w:val="0E51E9A5"/>
    <w:rsid w:val="0E540645"/>
    <w:rsid w:val="0E70565B"/>
    <w:rsid w:val="0E832EA8"/>
    <w:rsid w:val="0E963081"/>
    <w:rsid w:val="0E99C10B"/>
    <w:rsid w:val="0E9FECC4"/>
    <w:rsid w:val="0EA1B877"/>
    <w:rsid w:val="0EA42A25"/>
    <w:rsid w:val="0EA5B367"/>
    <w:rsid w:val="0EC7C1E7"/>
    <w:rsid w:val="0ECC2431"/>
    <w:rsid w:val="0ED34479"/>
    <w:rsid w:val="0EE4B084"/>
    <w:rsid w:val="0EE846A4"/>
    <w:rsid w:val="0EEC4DB6"/>
    <w:rsid w:val="0EED049A"/>
    <w:rsid w:val="0EED1773"/>
    <w:rsid w:val="0EFC4094"/>
    <w:rsid w:val="0EFCB263"/>
    <w:rsid w:val="0F0253C6"/>
    <w:rsid w:val="0F126ECD"/>
    <w:rsid w:val="0F17F5CE"/>
    <w:rsid w:val="0F1D7B06"/>
    <w:rsid w:val="0F1E6DBA"/>
    <w:rsid w:val="0F27BCB1"/>
    <w:rsid w:val="0F2A0B0E"/>
    <w:rsid w:val="0F2ADFEF"/>
    <w:rsid w:val="0F2F3130"/>
    <w:rsid w:val="0F412404"/>
    <w:rsid w:val="0F495693"/>
    <w:rsid w:val="0F4E0123"/>
    <w:rsid w:val="0F4EE28C"/>
    <w:rsid w:val="0F5E8D63"/>
    <w:rsid w:val="0F5FBDCF"/>
    <w:rsid w:val="0F6118C5"/>
    <w:rsid w:val="0F7FD66F"/>
    <w:rsid w:val="0F81623E"/>
    <w:rsid w:val="0F9A19F3"/>
    <w:rsid w:val="0F9FCAAB"/>
    <w:rsid w:val="0FA84408"/>
    <w:rsid w:val="0FACBF57"/>
    <w:rsid w:val="0FAE277A"/>
    <w:rsid w:val="0FBFF00E"/>
    <w:rsid w:val="0FC4B21A"/>
    <w:rsid w:val="0FCBBCA7"/>
    <w:rsid w:val="0FCBF203"/>
    <w:rsid w:val="0FD0A364"/>
    <w:rsid w:val="0FD2187C"/>
    <w:rsid w:val="0FD2CE66"/>
    <w:rsid w:val="0FDB2B82"/>
    <w:rsid w:val="0FE86CA7"/>
    <w:rsid w:val="0FEA2FF7"/>
    <w:rsid w:val="0FEA6B88"/>
    <w:rsid w:val="0FEB40D9"/>
    <w:rsid w:val="0FEB8C44"/>
    <w:rsid w:val="0FEE2933"/>
    <w:rsid w:val="0FF1128B"/>
    <w:rsid w:val="0FF129F7"/>
    <w:rsid w:val="0FF8699D"/>
    <w:rsid w:val="0FFFED84"/>
    <w:rsid w:val="10006AC9"/>
    <w:rsid w:val="10060AA4"/>
    <w:rsid w:val="100754E1"/>
    <w:rsid w:val="100C3A0E"/>
    <w:rsid w:val="1013A647"/>
    <w:rsid w:val="1013F706"/>
    <w:rsid w:val="1015496A"/>
    <w:rsid w:val="1025626B"/>
    <w:rsid w:val="10271FC1"/>
    <w:rsid w:val="1028AF88"/>
    <w:rsid w:val="10295EA6"/>
    <w:rsid w:val="102A6991"/>
    <w:rsid w:val="1031E3E5"/>
    <w:rsid w:val="10386D5E"/>
    <w:rsid w:val="103A319A"/>
    <w:rsid w:val="103A8F4E"/>
    <w:rsid w:val="1041F73C"/>
    <w:rsid w:val="10508B19"/>
    <w:rsid w:val="1054470B"/>
    <w:rsid w:val="105922E3"/>
    <w:rsid w:val="105B1F51"/>
    <w:rsid w:val="105BD5A1"/>
    <w:rsid w:val="106262FB"/>
    <w:rsid w:val="1068CF8B"/>
    <w:rsid w:val="106EB62E"/>
    <w:rsid w:val="107121A6"/>
    <w:rsid w:val="107674C5"/>
    <w:rsid w:val="108308A4"/>
    <w:rsid w:val="1083C285"/>
    <w:rsid w:val="108EF39C"/>
    <w:rsid w:val="108FB5D9"/>
    <w:rsid w:val="1090C281"/>
    <w:rsid w:val="1095F799"/>
    <w:rsid w:val="1097AB78"/>
    <w:rsid w:val="10A9ADAE"/>
    <w:rsid w:val="10B5C27E"/>
    <w:rsid w:val="10BC3502"/>
    <w:rsid w:val="10C3F827"/>
    <w:rsid w:val="10C4EF86"/>
    <w:rsid w:val="10CD8716"/>
    <w:rsid w:val="10D19D6A"/>
    <w:rsid w:val="10D8792D"/>
    <w:rsid w:val="10DD6651"/>
    <w:rsid w:val="10E5150D"/>
    <w:rsid w:val="10F03EA3"/>
    <w:rsid w:val="10FE2E03"/>
    <w:rsid w:val="11018A35"/>
    <w:rsid w:val="1107B023"/>
    <w:rsid w:val="110BDA21"/>
    <w:rsid w:val="111337C4"/>
    <w:rsid w:val="111C0132"/>
    <w:rsid w:val="111DE1E2"/>
    <w:rsid w:val="1127282A"/>
    <w:rsid w:val="112D4AE9"/>
    <w:rsid w:val="112EB286"/>
    <w:rsid w:val="11322835"/>
    <w:rsid w:val="11446788"/>
    <w:rsid w:val="11510F5B"/>
    <w:rsid w:val="11532D2C"/>
    <w:rsid w:val="115DD68F"/>
    <w:rsid w:val="116080C8"/>
    <w:rsid w:val="1163C123"/>
    <w:rsid w:val="11689213"/>
    <w:rsid w:val="117527CB"/>
    <w:rsid w:val="11754F8E"/>
    <w:rsid w:val="11804F7A"/>
    <w:rsid w:val="118223A4"/>
    <w:rsid w:val="11863BE9"/>
    <w:rsid w:val="11875CA5"/>
    <w:rsid w:val="1188695D"/>
    <w:rsid w:val="11910881"/>
    <w:rsid w:val="1192D61B"/>
    <w:rsid w:val="11984C11"/>
    <w:rsid w:val="11A429EE"/>
    <w:rsid w:val="11A6FB22"/>
    <w:rsid w:val="11A9B3B1"/>
    <w:rsid w:val="11AFE85E"/>
    <w:rsid w:val="11B4AF12"/>
    <w:rsid w:val="11BA9A11"/>
    <w:rsid w:val="11C87C65"/>
    <w:rsid w:val="11CC1952"/>
    <w:rsid w:val="11DD828C"/>
    <w:rsid w:val="11E1FE39"/>
    <w:rsid w:val="11E44A57"/>
    <w:rsid w:val="11F03753"/>
    <w:rsid w:val="11F97FC9"/>
    <w:rsid w:val="1201F386"/>
    <w:rsid w:val="1202B075"/>
    <w:rsid w:val="120F4B9D"/>
    <w:rsid w:val="12143494"/>
    <w:rsid w:val="121A5059"/>
    <w:rsid w:val="121F92E6"/>
    <w:rsid w:val="12249271"/>
    <w:rsid w:val="12289A81"/>
    <w:rsid w:val="12333ABA"/>
    <w:rsid w:val="1236734B"/>
    <w:rsid w:val="123AC7AA"/>
    <w:rsid w:val="123CDDE0"/>
    <w:rsid w:val="12416224"/>
    <w:rsid w:val="124A71B8"/>
    <w:rsid w:val="12551BC8"/>
    <w:rsid w:val="125570F1"/>
    <w:rsid w:val="12560D25"/>
    <w:rsid w:val="1256CE44"/>
    <w:rsid w:val="12578416"/>
    <w:rsid w:val="125B1167"/>
    <w:rsid w:val="1269403A"/>
    <w:rsid w:val="1274126D"/>
    <w:rsid w:val="12750956"/>
    <w:rsid w:val="127F7C69"/>
    <w:rsid w:val="128227A0"/>
    <w:rsid w:val="12838B9B"/>
    <w:rsid w:val="128D4F1D"/>
    <w:rsid w:val="12941796"/>
    <w:rsid w:val="12989FFC"/>
    <w:rsid w:val="1298BCCD"/>
    <w:rsid w:val="129CF379"/>
    <w:rsid w:val="12A3B739"/>
    <w:rsid w:val="12B3AA17"/>
    <w:rsid w:val="12B62321"/>
    <w:rsid w:val="12D67295"/>
    <w:rsid w:val="12D76B6D"/>
    <w:rsid w:val="12D8CD58"/>
    <w:rsid w:val="12E14AAE"/>
    <w:rsid w:val="12E17611"/>
    <w:rsid w:val="12F820A8"/>
    <w:rsid w:val="12F95348"/>
    <w:rsid w:val="13018347"/>
    <w:rsid w:val="1308CBA7"/>
    <w:rsid w:val="130A7CA8"/>
    <w:rsid w:val="13189691"/>
    <w:rsid w:val="131B9A48"/>
    <w:rsid w:val="1321F404"/>
    <w:rsid w:val="132265DB"/>
    <w:rsid w:val="13262FDA"/>
    <w:rsid w:val="132A363E"/>
    <w:rsid w:val="132A73E2"/>
    <w:rsid w:val="132F4002"/>
    <w:rsid w:val="133121FC"/>
    <w:rsid w:val="133567AC"/>
    <w:rsid w:val="133A5543"/>
    <w:rsid w:val="133A99A6"/>
    <w:rsid w:val="133E738D"/>
    <w:rsid w:val="134117F5"/>
    <w:rsid w:val="13422418"/>
    <w:rsid w:val="13469D70"/>
    <w:rsid w:val="134CBF55"/>
    <w:rsid w:val="134DE115"/>
    <w:rsid w:val="135079F9"/>
    <w:rsid w:val="135159FE"/>
    <w:rsid w:val="1356810D"/>
    <w:rsid w:val="136BE79A"/>
    <w:rsid w:val="136E6EE7"/>
    <w:rsid w:val="137142CE"/>
    <w:rsid w:val="13764BD5"/>
    <w:rsid w:val="13765861"/>
    <w:rsid w:val="138D9D00"/>
    <w:rsid w:val="1395B3F5"/>
    <w:rsid w:val="1396B7AF"/>
    <w:rsid w:val="13998D74"/>
    <w:rsid w:val="139B361A"/>
    <w:rsid w:val="13A1F143"/>
    <w:rsid w:val="13AEF3D9"/>
    <w:rsid w:val="13B3643C"/>
    <w:rsid w:val="13B8DEE1"/>
    <w:rsid w:val="13B93877"/>
    <w:rsid w:val="13BE269A"/>
    <w:rsid w:val="13C86288"/>
    <w:rsid w:val="13C88CD6"/>
    <w:rsid w:val="13C96D61"/>
    <w:rsid w:val="13CAEF09"/>
    <w:rsid w:val="13D98B2F"/>
    <w:rsid w:val="13DA6CF3"/>
    <w:rsid w:val="13DB93FD"/>
    <w:rsid w:val="13DC3DEA"/>
    <w:rsid w:val="13E2AA6E"/>
    <w:rsid w:val="13E2BFE8"/>
    <w:rsid w:val="13FE5112"/>
    <w:rsid w:val="14000A86"/>
    <w:rsid w:val="140764B6"/>
    <w:rsid w:val="140B2C3F"/>
    <w:rsid w:val="14112A5D"/>
    <w:rsid w:val="1419E35D"/>
    <w:rsid w:val="1424C17F"/>
    <w:rsid w:val="14291F7E"/>
    <w:rsid w:val="142D867C"/>
    <w:rsid w:val="142E9FB9"/>
    <w:rsid w:val="1433DEC8"/>
    <w:rsid w:val="14430E45"/>
    <w:rsid w:val="144CA8AF"/>
    <w:rsid w:val="1453A5B2"/>
    <w:rsid w:val="1453DEF7"/>
    <w:rsid w:val="145E1678"/>
    <w:rsid w:val="14609C46"/>
    <w:rsid w:val="1466171F"/>
    <w:rsid w:val="1467FA70"/>
    <w:rsid w:val="146B1204"/>
    <w:rsid w:val="146B9327"/>
    <w:rsid w:val="146D50CA"/>
    <w:rsid w:val="146F4541"/>
    <w:rsid w:val="14785C2C"/>
    <w:rsid w:val="147B3568"/>
    <w:rsid w:val="147F5BD1"/>
    <w:rsid w:val="1480EC8F"/>
    <w:rsid w:val="1484B86E"/>
    <w:rsid w:val="1485A337"/>
    <w:rsid w:val="1493C7F3"/>
    <w:rsid w:val="1493F029"/>
    <w:rsid w:val="14B73037"/>
    <w:rsid w:val="14BACF88"/>
    <w:rsid w:val="14CCE1DB"/>
    <w:rsid w:val="14D788F1"/>
    <w:rsid w:val="14DBC113"/>
    <w:rsid w:val="14DFAB31"/>
    <w:rsid w:val="14E0D92E"/>
    <w:rsid w:val="14E30881"/>
    <w:rsid w:val="14E37B46"/>
    <w:rsid w:val="14E566F7"/>
    <w:rsid w:val="14E685DB"/>
    <w:rsid w:val="14EA4D4D"/>
    <w:rsid w:val="14EA91B7"/>
    <w:rsid w:val="14FB58AC"/>
    <w:rsid w:val="14FBD744"/>
    <w:rsid w:val="14FD0D62"/>
    <w:rsid w:val="15057D98"/>
    <w:rsid w:val="1508F87F"/>
    <w:rsid w:val="151135BF"/>
    <w:rsid w:val="1512D381"/>
    <w:rsid w:val="151CF1CA"/>
    <w:rsid w:val="15295CA9"/>
    <w:rsid w:val="152AA6CF"/>
    <w:rsid w:val="1532AA7F"/>
    <w:rsid w:val="154687CC"/>
    <w:rsid w:val="154D2392"/>
    <w:rsid w:val="1550E211"/>
    <w:rsid w:val="15541D01"/>
    <w:rsid w:val="155496FC"/>
    <w:rsid w:val="155C461E"/>
    <w:rsid w:val="157C77F9"/>
    <w:rsid w:val="157DEA01"/>
    <w:rsid w:val="157F384C"/>
    <w:rsid w:val="158B09C5"/>
    <w:rsid w:val="158C0865"/>
    <w:rsid w:val="158DD727"/>
    <w:rsid w:val="159033B1"/>
    <w:rsid w:val="159797DC"/>
    <w:rsid w:val="159A05D9"/>
    <w:rsid w:val="15A05FAF"/>
    <w:rsid w:val="15A45543"/>
    <w:rsid w:val="15A8E2E5"/>
    <w:rsid w:val="15AF9566"/>
    <w:rsid w:val="15B2544D"/>
    <w:rsid w:val="15B4142A"/>
    <w:rsid w:val="15B4E58E"/>
    <w:rsid w:val="15B79673"/>
    <w:rsid w:val="15BBC240"/>
    <w:rsid w:val="15BC6B73"/>
    <w:rsid w:val="15C2E3CA"/>
    <w:rsid w:val="15C9BBE1"/>
    <w:rsid w:val="15CB2642"/>
    <w:rsid w:val="15CE05BC"/>
    <w:rsid w:val="15D195AB"/>
    <w:rsid w:val="15D19F26"/>
    <w:rsid w:val="15D73E39"/>
    <w:rsid w:val="15D93A51"/>
    <w:rsid w:val="15DCD559"/>
    <w:rsid w:val="15DE1040"/>
    <w:rsid w:val="15EDCFC8"/>
    <w:rsid w:val="15EE00E3"/>
    <w:rsid w:val="15F2D75C"/>
    <w:rsid w:val="15F745BD"/>
    <w:rsid w:val="15FBCA26"/>
    <w:rsid w:val="15FEB2D3"/>
    <w:rsid w:val="1601DF9F"/>
    <w:rsid w:val="16112079"/>
    <w:rsid w:val="1613D614"/>
    <w:rsid w:val="16154EB9"/>
    <w:rsid w:val="1616ABEF"/>
    <w:rsid w:val="16185C3A"/>
    <w:rsid w:val="1627DBA1"/>
    <w:rsid w:val="162F889F"/>
    <w:rsid w:val="162F9854"/>
    <w:rsid w:val="16355874"/>
    <w:rsid w:val="163CAE28"/>
    <w:rsid w:val="16445A8F"/>
    <w:rsid w:val="1645D2CF"/>
    <w:rsid w:val="16466540"/>
    <w:rsid w:val="164ECEE1"/>
    <w:rsid w:val="16541383"/>
    <w:rsid w:val="165A9EA7"/>
    <w:rsid w:val="165DD09C"/>
    <w:rsid w:val="165F7B2C"/>
    <w:rsid w:val="166BD6A0"/>
    <w:rsid w:val="16751830"/>
    <w:rsid w:val="16760CAC"/>
    <w:rsid w:val="1688EC4E"/>
    <w:rsid w:val="168A04C9"/>
    <w:rsid w:val="168DE5B7"/>
    <w:rsid w:val="169980DB"/>
    <w:rsid w:val="169F8A75"/>
    <w:rsid w:val="16A14266"/>
    <w:rsid w:val="16A14DF9"/>
    <w:rsid w:val="16A24C3C"/>
    <w:rsid w:val="16A8C0C1"/>
    <w:rsid w:val="16AB7E69"/>
    <w:rsid w:val="16BA067A"/>
    <w:rsid w:val="16BCB6AD"/>
    <w:rsid w:val="16CC1F8D"/>
    <w:rsid w:val="16D8D1BA"/>
    <w:rsid w:val="16DA5BBB"/>
    <w:rsid w:val="16DC7CF0"/>
    <w:rsid w:val="16E44BAF"/>
    <w:rsid w:val="16E73D8D"/>
    <w:rsid w:val="16E85B29"/>
    <w:rsid w:val="16EB7E9C"/>
    <w:rsid w:val="16EDCBDB"/>
    <w:rsid w:val="16F9AA62"/>
    <w:rsid w:val="16FE32C2"/>
    <w:rsid w:val="1702DB36"/>
    <w:rsid w:val="1704EFCB"/>
    <w:rsid w:val="170B3EB9"/>
    <w:rsid w:val="170F79E3"/>
    <w:rsid w:val="17124E29"/>
    <w:rsid w:val="171C8FD6"/>
    <w:rsid w:val="1727D8A3"/>
    <w:rsid w:val="172DDF46"/>
    <w:rsid w:val="17375190"/>
    <w:rsid w:val="1738A6BC"/>
    <w:rsid w:val="174657CA"/>
    <w:rsid w:val="17578C0D"/>
    <w:rsid w:val="175904B1"/>
    <w:rsid w:val="1760B844"/>
    <w:rsid w:val="1763D2EB"/>
    <w:rsid w:val="176B16D2"/>
    <w:rsid w:val="1771DEB7"/>
    <w:rsid w:val="177DDC84"/>
    <w:rsid w:val="17831778"/>
    <w:rsid w:val="17853E58"/>
    <w:rsid w:val="179265D1"/>
    <w:rsid w:val="179E153D"/>
    <w:rsid w:val="17A5D0FA"/>
    <w:rsid w:val="17B0FB28"/>
    <w:rsid w:val="17B6E98A"/>
    <w:rsid w:val="17C139D0"/>
    <w:rsid w:val="17C77659"/>
    <w:rsid w:val="17D1A016"/>
    <w:rsid w:val="17DE7D7E"/>
    <w:rsid w:val="17E078A0"/>
    <w:rsid w:val="17E464D5"/>
    <w:rsid w:val="17E47F04"/>
    <w:rsid w:val="17ECA685"/>
    <w:rsid w:val="17ECAC51"/>
    <w:rsid w:val="17EFCB9A"/>
    <w:rsid w:val="17F4E427"/>
    <w:rsid w:val="17F8D94B"/>
    <w:rsid w:val="17F92C4A"/>
    <w:rsid w:val="1803205F"/>
    <w:rsid w:val="1809A50D"/>
    <w:rsid w:val="18157DAD"/>
    <w:rsid w:val="1824AA70"/>
    <w:rsid w:val="182B0D0D"/>
    <w:rsid w:val="18363F03"/>
    <w:rsid w:val="18368FF4"/>
    <w:rsid w:val="1836DE2D"/>
    <w:rsid w:val="183B238C"/>
    <w:rsid w:val="184D3723"/>
    <w:rsid w:val="184FBD01"/>
    <w:rsid w:val="18595084"/>
    <w:rsid w:val="186B5ACF"/>
    <w:rsid w:val="186CFCF6"/>
    <w:rsid w:val="186D74E0"/>
    <w:rsid w:val="186F5A76"/>
    <w:rsid w:val="18728040"/>
    <w:rsid w:val="1874A21B"/>
    <w:rsid w:val="187896CD"/>
    <w:rsid w:val="187EAF24"/>
    <w:rsid w:val="18809A4F"/>
    <w:rsid w:val="188881C7"/>
    <w:rsid w:val="188C37BE"/>
    <w:rsid w:val="188C7241"/>
    <w:rsid w:val="188FE8E8"/>
    <w:rsid w:val="18915FD9"/>
    <w:rsid w:val="1893D3F5"/>
    <w:rsid w:val="18953B07"/>
    <w:rsid w:val="1895E6C1"/>
    <w:rsid w:val="189F811A"/>
    <w:rsid w:val="18A36E29"/>
    <w:rsid w:val="18AFDA5A"/>
    <w:rsid w:val="18B04D82"/>
    <w:rsid w:val="18B178A2"/>
    <w:rsid w:val="18B418BB"/>
    <w:rsid w:val="18BF5A29"/>
    <w:rsid w:val="18C0875E"/>
    <w:rsid w:val="18C68AA6"/>
    <w:rsid w:val="18CA3C69"/>
    <w:rsid w:val="18CD789D"/>
    <w:rsid w:val="18DEAA94"/>
    <w:rsid w:val="18E54234"/>
    <w:rsid w:val="18EB1E80"/>
    <w:rsid w:val="18F41148"/>
    <w:rsid w:val="190703E1"/>
    <w:rsid w:val="1912646D"/>
    <w:rsid w:val="192939CF"/>
    <w:rsid w:val="1938A24D"/>
    <w:rsid w:val="19391B30"/>
    <w:rsid w:val="1944BB97"/>
    <w:rsid w:val="194E57A7"/>
    <w:rsid w:val="194EC013"/>
    <w:rsid w:val="195282E2"/>
    <w:rsid w:val="195F6BEE"/>
    <w:rsid w:val="19618719"/>
    <w:rsid w:val="19661685"/>
    <w:rsid w:val="1966D254"/>
    <w:rsid w:val="1971F4FD"/>
    <w:rsid w:val="197D7391"/>
    <w:rsid w:val="197F3392"/>
    <w:rsid w:val="19800DDF"/>
    <w:rsid w:val="1985AE44"/>
    <w:rsid w:val="1987A9D3"/>
    <w:rsid w:val="199654C3"/>
    <w:rsid w:val="199825B1"/>
    <w:rsid w:val="19A10122"/>
    <w:rsid w:val="19A16030"/>
    <w:rsid w:val="19A65643"/>
    <w:rsid w:val="19CABB94"/>
    <w:rsid w:val="19D1A560"/>
    <w:rsid w:val="19D40219"/>
    <w:rsid w:val="19DC00CB"/>
    <w:rsid w:val="19DDBB03"/>
    <w:rsid w:val="19E5F761"/>
    <w:rsid w:val="19EA7434"/>
    <w:rsid w:val="19ED872D"/>
    <w:rsid w:val="19EFF5C1"/>
    <w:rsid w:val="19F44E0B"/>
    <w:rsid w:val="1A0B2AD7"/>
    <w:rsid w:val="1A0D5813"/>
    <w:rsid w:val="1A26DE04"/>
    <w:rsid w:val="1A27C976"/>
    <w:rsid w:val="1A2F3CC0"/>
    <w:rsid w:val="1A33634D"/>
    <w:rsid w:val="1A48DF9E"/>
    <w:rsid w:val="1A49E360"/>
    <w:rsid w:val="1A4A0448"/>
    <w:rsid w:val="1A4A0944"/>
    <w:rsid w:val="1A4BAABB"/>
    <w:rsid w:val="1A4C7409"/>
    <w:rsid w:val="1A4EA724"/>
    <w:rsid w:val="1A4FA7F5"/>
    <w:rsid w:val="1A52A96F"/>
    <w:rsid w:val="1A550CC4"/>
    <w:rsid w:val="1A5A6054"/>
    <w:rsid w:val="1A687F0F"/>
    <w:rsid w:val="1A736C55"/>
    <w:rsid w:val="1A758762"/>
    <w:rsid w:val="1A7A3FF1"/>
    <w:rsid w:val="1A7B6CC6"/>
    <w:rsid w:val="1A7B7C33"/>
    <w:rsid w:val="1A7F2452"/>
    <w:rsid w:val="1A88CE6C"/>
    <w:rsid w:val="1A8A45DC"/>
    <w:rsid w:val="1A8C3C12"/>
    <w:rsid w:val="1A8D359D"/>
    <w:rsid w:val="1AA91DE3"/>
    <w:rsid w:val="1AAB82BE"/>
    <w:rsid w:val="1AAB8C77"/>
    <w:rsid w:val="1ABC7459"/>
    <w:rsid w:val="1AC51528"/>
    <w:rsid w:val="1ACC6089"/>
    <w:rsid w:val="1ACE5C97"/>
    <w:rsid w:val="1AD59CB6"/>
    <w:rsid w:val="1AD67290"/>
    <w:rsid w:val="1AEC5692"/>
    <w:rsid w:val="1AEDE6FD"/>
    <w:rsid w:val="1AF14341"/>
    <w:rsid w:val="1AF41998"/>
    <w:rsid w:val="1AF8DB3F"/>
    <w:rsid w:val="1AFEB1B3"/>
    <w:rsid w:val="1B02351A"/>
    <w:rsid w:val="1B05CE5C"/>
    <w:rsid w:val="1B1028A1"/>
    <w:rsid w:val="1B2671BB"/>
    <w:rsid w:val="1B34B50B"/>
    <w:rsid w:val="1B38C960"/>
    <w:rsid w:val="1B3993BD"/>
    <w:rsid w:val="1B41DD17"/>
    <w:rsid w:val="1B43CEEE"/>
    <w:rsid w:val="1B486A95"/>
    <w:rsid w:val="1B550B3D"/>
    <w:rsid w:val="1B594018"/>
    <w:rsid w:val="1B5AAA50"/>
    <w:rsid w:val="1B5CEB58"/>
    <w:rsid w:val="1B6A9A30"/>
    <w:rsid w:val="1B76E5DF"/>
    <w:rsid w:val="1B788611"/>
    <w:rsid w:val="1B7980CC"/>
    <w:rsid w:val="1B7A9236"/>
    <w:rsid w:val="1B81C7C2"/>
    <w:rsid w:val="1B8B948A"/>
    <w:rsid w:val="1BA189CD"/>
    <w:rsid w:val="1BA3EA1F"/>
    <w:rsid w:val="1BA66698"/>
    <w:rsid w:val="1BAA46E5"/>
    <w:rsid w:val="1BAF291F"/>
    <w:rsid w:val="1BB91FF6"/>
    <w:rsid w:val="1BBD87EE"/>
    <w:rsid w:val="1BD3A36A"/>
    <w:rsid w:val="1BD96515"/>
    <w:rsid w:val="1BDA11EE"/>
    <w:rsid w:val="1BDCBB1F"/>
    <w:rsid w:val="1BDD59AE"/>
    <w:rsid w:val="1BDE8555"/>
    <w:rsid w:val="1BE0842B"/>
    <w:rsid w:val="1BE77B1C"/>
    <w:rsid w:val="1BED9D3B"/>
    <w:rsid w:val="1BEE2902"/>
    <w:rsid w:val="1BEEF758"/>
    <w:rsid w:val="1BEFD8A7"/>
    <w:rsid w:val="1BF0C1F2"/>
    <w:rsid w:val="1BF7533F"/>
    <w:rsid w:val="1C11CED9"/>
    <w:rsid w:val="1C1CD6E4"/>
    <w:rsid w:val="1C25AFBE"/>
    <w:rsid w:val="1C342967"/>
    <w:rsid w:val="1C3B1007"/>
    <w:rsid w:val="1C3BD129"/>
    <w:rsid w:val="1C3DEC72"/>
    <w:rsid w:val="1C4170D0"/>
    <w:rsid w:val="1C50EFEA"/>
    <w:rsid w:val="1C54A2BA"/>
    <w:rsid w:val="1C578A0F"/>
    <w:rsid w:val="1C5870EE"/>
    <w:rsid w:val="1C6557AD"/>
    <w:rsid w:val="1C68128F"/>
    <w:rsid w:val="1C6A47BF"/>
    <w:rsid w:val="1C6F2FFA"/>
    <w:rsid w:val="1C7390C7"/>
    <w:rsid w:val="1C8142E8"/>
    <w:rsid w:val="1C835376"/>
    <w:rsid w:val="1C96A66E"/>
    <w:rsid w:val="1C9764FA"/>
    <w:rsid w:val="1C9C729E"/>
    <w:rsid w:val="1CA6B850"/>
    <w:rsid w:val="1CAB22A8"/>
    <w:rsid w:val="1CB35E73"/>
    <w:rsid w:val="1CBD8757"/>
    <w:rsid w:val="1CD045E2"/>
    <w:rsid w:val="1CD5530B"/>
    <w:rsid w:val="1CD900F2"/>
    <w:rsid w:val="1CE30FF6"/>
    <w:rsid w:val="1CF3AB77"/>
    <w:rsid w:val="1CFD7CCF"/>
    <w:rsid w:val="1CFFF2AD"/>
    <w:rsid w:val="1D06DE73"/>
    <w:rsid w:val="1D0ECBF9"/>
    <w:rsid w:val="1D12C9E0"/>
    <w:rsid w:val="1D148A2A"/>
    <w:rsid w:val="1D18FED1"/>
    <w:rsid w:val="1D1DE566"/>
    <w:rsid w:val="1D23446F"/>
    <w:rsid w:val="1D261EDD"/>
    <w:rsid w:val="1D2802F5"/>
    <w:rsid w:val="1D37886E"/>
    <w:rsid w:val="1D4ECF5B"/>
    <w:rsid w:val="1D55FA9A"/>
    <w:rsid w:val="1D58BDF5"/>
    <w:rsid w:val="1D5BE717"/>
    <w:rsid w:val="1D5E2096"/>
    <w:rsid w:val="1D5FA8E1"/>
    <w:rsid w:val="1D65E452"/>
    <w:rsid w:val="1D687344"/>
    <w:rsid w:val="1D6B37D5"/>
    <w:rsid w:val="1D6C7BD5"/>
    <w:rsid w:val="1D6E6181"/>
    <w:rsid w:val="1D6F4589"/>
    <w:rsid w:val="1D6F73CB"/>
    <w:rsid w:val="1D73732B"/>
    <w:rsid w:val="1D78D13E"/>
    <w:rsid w:val="1D7D40A5"/>
    <w:rsid w:val="1D7DEF8C"/>
    <w:rsid w:val="1D841D4F"/>
    <w:rsid w:val="1D860BBA"/>
    <w:rsid w:val="1D8784F5"/>
    <w:rsid w:val="1D93A18F"/>
    <w:rsid w:val="1D966E56"/>
    <w:rsid w:val="1D97CE6F"/>
    <w:rsid w:val="1D99E073"/>
    <w:rsid w:val="1DA021AC"/>
    <w:rsid w:val="1DA9BC8D"/>
    <w:rsid w:val="1DB3680F"/>
    <w:rsid w:val="1DB8993E"/>
    <w:rsid w:val="1DBA121D"/>
    <w:rsid w:val="1DC1A982"/>
    <w:rsid w:val="1DC226CC"/>
    <w:rsid w:val="1DC3693C"/>
    <w:rsid w:val="1DC9EE60"/>
    <w:rsid w:val="1DCD94B2"/>
    <w:rsid w:val="1DD0EC5E"/>
    <w:rsid w:val="1DE576F0"/>
    <w:rsid w:val="1DE7CD06"/>
    <w:rsid w:val="1DEE86C6"/>
    <w:rsid w:val="1DF23F1C"/>
    <w:rsid w:val="1DFEF1FF"/>
    <w:rsid w:val="1E028EEC"/>
    <w:rsid w:val="1E0E0659"/>
    <w:rsid w:val="1E0EC905"/>
    <w:rsid w:val="1E135F32"/>
    <w:rsid w:val="1E14902D"/>
    <w:rsid w:val="1E153CFF"/>
    <w:rsid w:val="1E15A8F2"/>
    <w:rsid w:val="1E1FEF40"/>
    <w:rsid w:val="1E2000B7"/>
    <w:rsid w:val="1E2587BF"/>
    <w:rsid w:val="1E28EF9C"/>
    <w:rsid w:val="1E2D1162"/>
    <w:rsid w:val="1E3BD96B"/>
    <w:rsid w:val="1E5646CF"/>
    <w:rsid w:val="1E57B32F"/>
    <w:rsid w:val="1E61061F"/>
    <w:rsid w:val="1E665495"/>
    <w:rsid w:val="1E6C55CD"/>
    <w:rsid w:val="1E953163"/>
    <w:rsid w:val="1E9700F5"/>
    <w:rsid w:val="1EA2AED4"/>
    <w:rsid w:val="1EABBD72"/>
    <w:rsid w:val="1EAF0481"/>
    <w:rsid w:val="1EAFA78C"/>
    <w:rsid w:val="1EB518F6"/>
    <w:rsid w:val="1EBA73C5"/>
    <w:rsid w:val="1EBB02D9"/>
    <w:rsid w:val="1EC5FC49"/>
    <w:rsid w:val="1ECB3C0C"/>
    <w:rsid w:val="1ECBCC31"/>
    <w:rsid w:val="1ED0638C"/>
    <w:rsid w:val="1EDC7865"/>
    <w:rsid w:val="1EE126CA"/>
    <w:rsid w:val="1EE4F0A7"/>
    <w:rsid w:val="1EE57C8C"/>
    <w:rsid w:val="1EF5A5D1"/>
    <w:rsid w:val="1EF77967"/>
    <w:rsid w:val="1F022F16"/>
    <w:rsid w:val="1F0D7230"/>
    <w:rsid w:val="1F0DC2E6"/>
    <w:rsid w:val="1F1B67D0"/>
    <w:rsid w:val="1F1D99A5"/>
    <w:rsid w:val="1F21D4D4"/>
    <w:rsid w:val="1F25AEF2"/>
    <w:rsid w:val="1F27FEE8"/>
    <w:rsid w:val="1F2A4AEE"/>
    <w:rsid w:val="1F2FC8E2"/>
    <w:rsid w:val="1F3C102E"/>
    <w:rsid w:val="1F43C92A"/>
    <w:rsid w:val="1F4C7976"/>
    <w:rsid w:val="1F505B46"/>
    <w:rsid w:val="1F50A7BF"/>
    <w:rsid w:val="1F52B545"/>
    <w:rsid w:val="1F56654C"/>
    <w:rsid w:val="1F5C3F8F"/>
    <w:rsid w:val="1F5D79E3"/>
    <w:rsid w:val="1F5F28E7"/>
    <w:rsid w:val="1F60EB9F"/>
    <w:rsid w:val="1F6281EB"/>
    <w:rsid w:val="1F64CA26"/>
    <w:rsid w:val="1F66F7ED"/>
    <w:rsid w:val="1F682F4E"/>
    <w:rsid w:val="1F6BCA29"/>
    <w:rsid w:val="1F6DE04B"/>
    <w:rsid w:val="1F723FBB"/>
    <w:rsid w:val="1F738861"/>
    <w:rsid w:val="1F7827D2"/>
    <w:rsid w:val="1F806EF2"/>
    <w:rsid w:val="1F811381"/>
    <w:rsid w:val="1F8E1B00"/>
    <w:rsid w:val="1FA00D64"/>
    <w:rsid w:val="1FA067A9"/>
    <w:rsid w:val="1FB41652"/>
    <w:rsid w:val="1FB4D437"/>
    <w:rsid w:val="1FC4CE67"/>
    <w:rsid w:val="1FCD0017"/>
    <w:rsid w:val="1FCF2669"/>
    <w:rsid w:val="1FD4B23F"/>
    <w:rsid w:val="1FDFA15B"/>
    <w:rsid w:val="1FEE7516"/>
    <w:rsid w:val="1FEF4F63"/>
    <w:rsid w:val="1FF1EDC2"/>
    <w:rsid w:val="1FF276F2"/>
    <w:rsid w:val="1FFBD8ED"/>
    <w:rsid w:val="200672A0"/>
    <w:rsid w:val="2015C78F"/>
    <w:rsid w:val="201AAEEB"/>
    <w:rsid w:val="201FA37C"/>
    <w:rsid w:val="2024D7A8"/>
    <w:rsid w:val="20253D28"/>
    <w:rsid w:val="2026CED5"/>
    <w:rsid w:val="2027E746"/>
    <w:rsid w:val="20294945"/>
    <w:rsid w:val="202C45E4"/>
    <w:rsid w:val="2036F5A4"/>
    <w:rsid w:val="203E0C8E"/>
    <w:rsid w:val="203FC85E"/>
    <w:rsid w:val="2043BAD2"/>
    <w:rsid w:val="204516AB"/>
    <w:rsid w:val="20459B37"/>
    <w:rsid w:val="20509F93"/>
    <w:rsid w:val="2050CEE9"/>
    <w:rsid w:val="2056B3C7"/>
    <w:rsid w:val="2060C287"/>
    <w:rsid w:val="20645791"/>
    <w:rsid w:val="206A99C0"/>
    <w:rsid w:val="206F5FE8"/>
    <w:rsid w:val="20709B56"/>
    <w:rsid w:val="207305B3"/>
    <w:rsid w:val="20772C80"/>
    <w:rsid w:val="207E398C"/>
    <w:rsid w:val="208061FA"/>
    <w:rsid w:val="2083FEB4"/>
    <w:rsid w:val="2085876D"/>
    <w:rsid w:val="20878341"/>
    <w:rsid w:val="20883BB0"/>
    <w:rsid w:val="209541B8"/>
    <w:rsid w:val="209B8579"/>
    <w:rsid w:val="209BBA3E"/>
    <w:rsid w:val="20A39D9D"/>
    <w:rsid w:val="20A96F4A"/>
    <w:rsid w:val="20B4133C"/>
    <w:rsid w:val="20B8C2EF"/>
    <w:rsid w:val="20C2241A"/>
    <w:rsid w:val="20C58FAB"/>
    <w:rsid w:val="20C87AD5"/>
    <w:rsid w:val="20CDC729"/>
    <w:rsid w:val="20D27BC3"/>
    <w:rsid w:val="20D5072A"/>
    <w:rsid w:val="20D711A3"/>
    <w:rsid w:val="20D75CB7"/>
    <w:rsid w:val="20D86F83"/>
    <w:rsid w:val="20D94FB3"/>
    <w:rsid w:val="20FBF342"/>
    <w:rsid w:val="210E735C"/>
    <w:rsid w:val="210E7BE0"/>
    <w:rsid w:val="2110B863"/>
    <w:rsid w:val="211837F4"/>
    <w:rsid w:val="211AB58F"/>
    <w:rsid w:val="21209F61"/>
    <w:rsid w:val="2120C208"/>
    <w:rsid w:val="2122501B"/>
    <w:rsid w:val="2124D2C3"/>
    <w:rsid w:val="21293AA0"/>
    <w:rsid w:val="212B598E"/>
    <w:rsid w:val="21324228"/>
    <w:rsid w:val="2133A363"/>
    <w:rsid w:val="21350544"/>
    <w:rsid w:val="2136EE74"/>
    <w:rsid w:val="21465B28"/>
    <w:rsid w:val="214826F7"/>
    <w:rsid w:val="2149E143"/>
    <w:rsid w:val="214FD54D"/>
    <w:rsid w:val="2154CADA"/>
    <w:rsid w:val="2156D1B6"/>
    <w:rsid w:val="216309A0"/>
    <w:rsid w:val="21692B63"/>
    <w:rsid w:val="21795492"/>
    <w:rsid w:val="218EDCAC"/>
    <w:rsid w:val="219AE441"/>
    <w:rsid w:val="219D5EB3"/>
    <w:rsid w:val="21A747E0"/>
    <w:rsid w:val="21AC567E"/>
    <w:rsid w:val="21ADE71D"/>
    <w:rsid w:val="21AE4AA8"/>
    <w:rsid w:val="21B7F608"/>
    <w:rsid w:val="21CBE7EC"/>
    <w:rsid w:val="21D117BB"/>
    <w:rsid w:val="21D290E0"/>
    <w:rsid w:val="21D86C8A"/>
    <w:rsid w:val="21DAE0CF"/>
    <w:rsid w:val="21DF1C75"/>
    <w:rsid w:val="21E06720"/>
    <w:rsid w:val="21E205D2"/>
    <w:rsid w:val="21F1D63E"/>
    <w:rsid w:val="21F7969A"/>
    <w:rsid w:val="2210C5F9"/>
    <w:rsid w:val="2218C78C"/>
    <w:rsid w:val="2219EE98"/>
    <w:rsid w:val="2222E5E4"/>
    <w:rsid w:val="22239FBF"/>
    <w:rsid w:val="222569ED"/>
    <w:rsid w:val="223F328B"/>
    <w:rsid w:val="2246E44E"/>
    <w:rsid w:val="224FE8D0"/>
    <w:rsid w:val="225DBB54"/>
    <w:rsid w:val="2261B62A"/>
    <w:rsid w:val="2264EB5D"/>
    <w:rsid w:val="2268D2D3"/>
    <w:rsid w:val="22778619"/>
    <w:rsid w:val="22809106"/>
    <w:rsid w:val="2287B046"/>
    <w:rsid w:val="2296C549"/>
    <w:rsid w:val="2296C9A9"/>
    <w:rsid w:val="2296D091"/>
    <w:rsid w:val="22A232CE"/>
    <w:rsid w:val="22A4694D"/>
    <w:rsid w:val="22A8AC8F"/>
    <w:rsid w:val="22A970D9"/>
    <w:rsid w:val="22AB2923"/>
    <w:rsid w:val="22AE5349"/>
    <w:rsid w:val="22AF65F2"/>
    <w:rsid w:val="22B940D3"/>
    <w:rsid w:val="22B95EB3"/>
    <w:rsid w:val="22C2EF3C"/>
    <w:rsid w:val="22C73A4A"/>
    <w:rsid w:val="22D4E91C"/>
    <w:rsid w:val="22EB50B7"/>
    <w:rsid w:val="22F20B01"/>
    <w:rsid w:val="22F6DF42"/>
    <w:rsid w:val="230160FB"/>
    <w:rsid w:val="23080CBB"/>
    <w:rsid w:val="23085F68"/>
    <w:rsid w:val="230DE9D5"/>
    <w:rsid w:val="232AB2E8"/>
    <w:rsid w:val="2341605E"/>
    <w:rsid w:val="2343719F"/>
    <w:rsid w:val="2343D55A"/>
    <w:rsid w:val="23444A84"/>
    <w:rsid w:val="23484276"/>
    <w:rsid w:val="23493DCD"/>
    <w:rsid w:val="234A403C"/>
    <w:rsid w:val="23501E04"/>
    <w:rsid w:val="23526A30"/>
    <w:rsid w:val="23597D4D"/>
    <w:rsid w:val="23598FCE"/>
    <w:rsid w:val="23614F3C"/>
    <w:rsid w:val="23659857"/>
    <w:rsid w:val="2367FD3D"/>
    <w:rsid w:val="236A2690"/>
    <w:rsid w:val="236C676E"/>
    <w:rsid w:val="236F11E1"/>
    <w:rsid w:val="237914C9"/>
    <w:rsid w:val="237CE9AE"/>
    <w:rsid w:val="238C20CF"/>
    <w:rsid w:val="238F5FF7"/>
    <w:rsid w:val="23924D99"/>
    <w:rsid w:val="23A213D4"/>
    <w:rsid w:val="23A74ED7"/>
    <w:rsid w:val="23A9566C"/>
    <w:rsid w:val="23AA1283"/>
    <w:rsid w:val="23ACA66D"/>
    <w:rsid w:val="23BA401C"/>
    <w:rsid w:val="23C2E9A8"/>
    <w:rsid w:val="23C70DC7"/>
    <w:rsid w:val="23D65E20"/>
    <w:rsid w:val="23DC1B55"/>
    <w:rsid w:val="23E03182"/>
    <w:rsid w:val="23E459C7"/>
    <w:rsid w:val="23FA1D70"/>
    <w:rsid w:val="24033A05"/>
    <w:rsid w:val="240CEF10"/>
    <w:rsid w:val="2411EB45"/>
    <w:rsid w:val="2412CAAA"/>
    <w:rsid w:val="241B6F17"/>
    <w:rsid w:val="242E776D"/>
    <w:rsid w:val="243E6EF0"/>
    <w:rsid w:val="2451B8CF"/>
    <w:rsid w:val="2453E015"/>
    <w:rsid w:val="2453E976"/>
    <w:rsid w:val="245F2D47"/>
    <w:rsid w:val="24610611"/>
    <w:rsid w:val="2463569F"/>
    <w:rsid w:val="2479C1DA"/>
    <w:rsid w:val="247BD611"/>
    <w:rsid w:val="24804DC2"/>
    <w:rsid w:val="24984A24"/>
    <w:rsid w:val="24A5CD17"/>
    <w:rsid w:val="24ACD582"/>
    <w:rsid w:val="24ACDA62"/>
    <w:rsid w:val="24B41A4E"/>
    <w:rsid w:val="24C1E639"/>
    <w:rsid w:val="24C20F10"/>
    <w:rsid w:val="24C341D3"/>
    <w:rsid w:val="24E3217C"/>
    <w:rsid w:val="24E3F740"/>
    <w:rsid w:val="24E43D8C"/>
    <w:rsid w:val="24EF346C"/>
    <w:rsid w:val="24F7F8C8"/>
    <w:rsid w:val="24F8553E"/>
    <w:rsid w:val="24FAA920"/>
    <w:rsid w:val="24FE897F"/>
    <w:rsid w:val="2500B581"/>
    <w:rsid w:val="25049B2F"/>
    <w:rsid w:val="25085E9D"/>
    <w:rsid w:val="252366FD"/>
    <w:rsid w:val="25273E67"/>
    <w:rsid w:val="253492A2"/>
    <w:rsid w:val="253E2C43"/>
    <w:rsid w:val="253EFF7B"/>
    <w:rsid w:val="253FB582"/>
    <w:rsid w:val="25401A73"/>
    <w:rsid w:val="2545FF43"/>
    <w:rsid w:val="25530806"/>
    <w:rsid w:val="255CAB96"/>
    <w:rsid w:val="2563AE95"/>
    <w:rsid w:val="256A2EE1"/>
    <w:rsid w:val="256F6CE4"/>
    <w:rsid w:val="2571E12D"/>
    <w:rsid w:val="25724C25"/>
    <w:rsid w:val="2574F8C1"/>
    <w:rsid w:val="2582B6CC"/>
    <w:rsid w:val="2585E209"/>
    <w:rsid w:val="259071A7"/>
    <w:rsid w:val="2594E235"/>
    <w:rsid w:val="25964333"/>
    <w:rsid w:val="25A8BF71"/>
    <w:rsid w:val="25AA7BDB"/>
    <w:rsid w:val="25AE82C5"/>
    <w:rsid w:val="25CE6A6B"/>
    <w:rsid w:val="25D40086"/>
    <w:rsid w:val="25D87887"/>
    <w:rsid w:val="25D8A401"/>
    <w:rsid w:val="25DAD38D"/>
    <w:rsid w:val="25DB0BAD"/>
    <w:rsid w:val="25DBFE43"/>
    <w:rsid w:val="25EFDFBE"/>
    <w:rsid w:val="25F2A278"/>
    <w:rsid w:val="25F42C7C"/>
    <w:rsid w:val="260117C1"/>
    <w:rsid w:val="260FC56B"/>
    <w:rsid w:val="26210B5D"/>
    <w:rsid w:val="26220250"/>
    <w:rsid w:val="262C4AC8"/>
    <w:rsid w:val="26372EE3"/>
    <w:rsid w:val="2638EB7B"/>
    <w:rsid w:val="26398925"/>
    <w:rsid w:val="263C9C86"/>
    <w:rsid w:val="2645EBD2"/>
    <w:rsid w:val="264642F3"/>
    <w:rsid w:val="264D5610"/>
    <w:rsid w:val="265452C1"/>
    <w:rsid w:val="265B754C"/>
    <w:rsid w:val="265DB69A"/>
    <w:rsid w:val="266E80AA"/>
    <w:rsid w:val="267F4022"/>
    <w:rsid w:val="268ADFD3"/>
    <w:rsid w:val="2695EEFF"/>
    <w:rsid w:val="26990B95"/>
    <w:rsid w:val="269C718F"/>
    <w:rsid w:val="269D29AB"/>
    <w:rsid w:val="269EDD14"/>
    <w:rsid w:val="26A2DA33"/>
    <w:rsid w:val="26AD4CD7"/>
    <w:rsid w:val="26B9AC26"/>
    <w:rsid w:val="26BD3152"/>
    <w:rsid w:val="26C17789"/>
    <w:rsid w:val="26C17D30"/>
    <w:rsid w:val="26C34F63"/>
    <w:rsid w:val="26C740AF"/>
    <w:rsid w:val="26D37F7C"/>
    <w:rsid w:val="26D5675B"/>
    <w:rsid w:val="26DA6406"/>
    <w:rsid w:val="26E1A86A"/>
    <w:rsid w:val="26E3210E"/>
    <w:rsid w:val="26EFB5CF"/>
    <w:rsid w:val="26F94E6D"/>
    <w:rsid w:val="26FB2E2F"/>
    <w:rsid w:val="26FD5104"/>
    <w:rsid w:val="2702E7D9"/>
    <w:rsid w:val="270F0AD7"/>
    <w:rsid w:val="2713455B"/>
    <w:rsid w:val="2719B6A6"/>
    <w:rsid w:val="271FB384"/>
    <w:rsid w:val="272044F1"/>
    <w:rsid w:val="2722C6CC"/>
    <w:rsid w:val="27245C97"/>
    <w:rsid w:val="27292277"/>
    <w:rsid w:val="272DA627"/>
    <w:rsid w:val="27305F79"/>
    <w:rsid w:val="27337DCE"/>
    <w:rsid w:val="27397F11"/>
    <w:rsid w:val="2739B78C"/>
    <w:rsid w:val="273B2B5B"/>
    <w:rsid w:val="27430C4C"/>
    <w:rsid w:val="2745E9F3"/>
    <w:rsid w:val="27464C3C"/>
    <w:rsid w:val="274B5762"/>
    <w:rsid w:val="27540229"/>
    <w:rsid w:val="2754BB91"/>
    <w:rsid w:val="275A734A"/>
    <w:rsid w:val="276216D9"/>
    <w:rsid w:val="27648564"/>
    <w:rsid w:val="2766182F"/>
    <w:rsid w:val="27692691"/>
    <w:rsid w:val="2769D9D7"/>
    <w:rsid w:val="276E39CB"/>
    <w:rsid w:val="276F3EFA"/>
    <w:rsid w:val="2776DC0E"/>
    <w:rsid w:val="2778E0E1"/>
    <w:rsid w:val="277CE1FC"/>
    <w:rsid w:val="278181B0"/>
    <w:rsid w:val="27914210"/>
    <w:rsid w:val="2796CE09"/>
    <w:rsid w:val="279F132D"/>
    <w:rsid w:val="27A7D7FD"/>
    <w:rsid w:val="27B036EF"/>
    <w:rsid w:val="27B8D60D"/>
    <w:rsid w:val="27BA200C"/>
    <w:rsid w:val="27BB7273"/>
    <w:rsid w:val="27D99467"/>
    <w:rsid w:val="27DA5FB9"/>
    <w:rsid w:val="27DAE65F"/>
    <w:rsid w:val="27DB8B3C"/>
    <w:rsid w:val="27DE0A99"/>
    <w:rsid w:val="27E1281B"/>
    <w:rsid w:val="27E14C7F"/>
    <w:rsid w:val="27EDD54F"/>
    <w:rsid w:val="27FBF2C2"/>
    <w:rsid w:val="2800B8D9"/>
    <w:rsid w:val="28115325"/>
    <w:rsid w:val="28190780"/>
    <w:rsid w:val="282147A3"/>
    <w:rsid w:val="28348A64"/>
    <w:rsid w:val="283F89A9"/>
    <w:rsid w:val="283FD7A1"/>
    <w:rsid w:val="28415456"/>
    <w:rsid w:val="284288C4"/>
    <w:rsid w:val="28564119"/>
    <w:rsid w:val="2861A84F"/>
    <w:rsid w:val="2862690A"/>
    <w:rsid w:val="2867691E"/>
    <w:rsid w:val="28737561"/>
    <w:rsid w:val="2878AB9B"/>
    <w:rsid w:val="28928C84"/>
    <w:rsid w:val="289604CF"/>
    <w:rsid w:val="289A2A36"/>
    <w:rsid w:val="289B1800"/>
    <w:rsid w:val="289F0D1C"/>
    <w:rsid w:val="28A56EA2"/>
    <w:rsid w:val="28AD5133"/>
    <w:rsid w:val="28BD2415"/>
    <w:rsid w:val="28CBB7B2"/>
    <w:rsid w:val="28D9CCCE"/>
    <w:rsid w:val="28DC97D2"/>
    <w:rsid w:val="28DEE942"/>
    <w:rsid w:val="28E08494"/>
    <w:rsid w:val="28E584CF"/>
    <w:rsid w:val="28F84BF5"/>
    <w:rsid w:val="28FFE05F"/>
    <w:rsid w:val="2905854E"/>
    <w:rsid w:val="291E93B1"/>
    <w:rsid w:val="2927A5DD"/>
    <w:rsid w:val="293A87E4"/>
    <w:rsid w:val="2944A041"/>
    <w:rsid w:val="2947EADB"/>
    <w:rsid w:val="295965D0"/>
    <w:rsid w:val="295F975F"/>
    <w:rsid w:val="29717555"/>
    <w:rsid w:val="29788DFA"/>
    <w:rsid w:val="29794133"/>
    <w:rsid w:val="2979C50B"/>
    <w:rsid w:val="297CF87C"/>
    <w:rsid w:val="298C2DDC"/>
    <w:rsid w:val="298F3990"/>
    <w:rsid w:val="29938574"/>
    <w:rsid w:val="299700DB"/>
    <w:rsid w:val="299EA07C"/>
    <w:rsid w:val="29A34469"/>
    <w:rsid w:val="29A74602"/>
    <w:rsid w:val="29A7D8A0"/>
    <w:rsid w:val="29A80FC8"/>
    <w:rsid w:val="29ABF0B3"/>
    <w:rsid w:val="29AE461D"/>
    <w:rsid w:val="29AE7FB9"/>
    <w:rsid w:val="29B46764"/>
    <w:rsid w:val="29B8AFC2"/>
    <w:rsid w:val="29BA8A65"/>
    <w:rsid w:val="29C46793"/>
    <w:rsid w:val="29D86040"/>
    <w:rsid w:val="29FD03B6"/>
    <w:rsid w:val="2A03AB35"/>
    <w:rsid w:val="2A073DC8"/>
    <w:rsid w:val="2A075D9C"/>
    <w:rsid w:val="2A082418"/>
    <w:rsid w:val="2A0DB733"/>
    <w:rsid w:val="2A147ABC"/>
    <w:rsid w:val="2A16A14A"/>
    <w:rsid w:val="2A1B142B"/>
    <w:rsid w:val="2A1D0093"/>
    <w:rsid w:val="2A218914"/>
    <w:rsid w:val="2A323779"/>
    <w:rsid w:val="2A39EC75"/>
    <w:rsid w:val="2A43738E"/>
    <w:rsid w:val="2A52A346"/>
    <w:rsid w:val="2A56285D"/>
    <w:rsid w:val="2A575446"/>
    <w:rsid w:val="2A5B1B80"/>
    <w:rsid w:val="2A68003B"/>
    <w:rsid w:val="2A727B89"/>
    <w:rsid w:val="2A7B972A"/>
    <w:rsid w:val="2A7E8EC3"/>
    <w:rsid w:val="2A817B97"/>
    <w:rsid w:val="2A82057B"/>
    <w:rsid w:val="2A83D911"/>
    <w:rsid w:val="2A8AE6FF"/>
    <w:rsid w:val="2A8D1468"/>
    <w:rsid w:val="2A989525"/>
    <w:rsid w:val="2A989A0E"/>
    <w:rsid w:val="2A9D6F93"/>
    <w:rsid w:val="2AA0C753"/>
    <w:rsid w:val="2AA20C6E"/>
    <w:rsid w:val="2AA2C5DC"/>
    <w:rsid w:val="2AA33DD0"/>
    <w:rsid w:val="2AA77CCD"/>
    <w:rsid w:val="2AAA052F"/>
    <w:rsid w:val="2AAD7FBD"/>
    <w:rsid w:val="2AAE4D58"/>
    <w:rsid w:val="2AB03D00"/>
    <w:rsid w:val="2AB9C34D"/>
    <w:rsid w:val="2ACBE77E"/>
    <w:rsid w:val="2AD65845"/>
    <w:rsid w:val="2AD70304"/>
    <w:rsid w:val="2AE99053"/>
    <w:rsid w:val="2AF1A591"/>
    <w:rsid w:val="2AF27878"/>
    <w:rsid w:val="2B06F2C9"/>
    <w:rsid w:val="2B0C8856"/>
    <w:rsid w:val="2B0FA029"/>
    <w:rsid w:val="2B1B0733"/>
    <w:rsid w:val="2B2859DD"/>
    <w:rsid w:val="2B2DD3F9"/>
    <w:rsid w:val="2B31B14D"/>
    <w:rsid w:val="2B360C16"/>
    <w:rsid w:val="2B393B62"/>
    <w:rsid w:val="2B3ADC09"/>
    <w:rsid w:val="2B3B51D2"/>
    <w:rsid w:val="2B3B9DDF"/>
    <w:rsid w:val="2B47C114"/>
    <w:rsid w:val="2B61BFAE"/>
    <w:rsid w:val="2B6215EA"/>
    <w:rsid w:val="2B65C915"/>
    <w:rsid w:val="2B6C7CB8"/>
    <w:rsid w:val="2B75792F"/>
    <w:rsid w:val="2B7BC5F6"/>
    <w:rsid w:val="2B880C11"/>
    <w:rsid w:val="2B8CED46"/>
    <w:rsid w:val="2B90D59E"/>
    <w:rsid w:val="2B91121F"/>
    <w:rsid w:val="2B974F16"/>
    <w:rsid w:val="2B9DBF23"/>
    <w:rsid w:val="2B9F05ED"/>
    <w:rsid w:val="2B9F7B96"/>
    <w:rsid w:val="2BA0BE7D"/>
    <w:rsid w:val="2BA42283"/>
    <w:rsid w:val="2BAC29A4"/>
    <w:rsid w:val="2BAE0B65"/>
    <w:rsid w:val="2BB01233"/>
    <w:rsid w:val="2BB6E48C"/>
    <w:rsid w:val="2BB7ED5E"/>
    <w:rsid w:val="2BB8A98D"/>
    <w:rsid w:val="2BC0089D"/>
    <w:rsid w:val="2BD58AD2"/>
    <w:rsid w:val="2BD6DEBC"/>
    <w:rsid w:val="2BE09221"/>
    <w:rsid w:val="2BEB20F1"/>
    <w:rsid w:val="2BED2D5D"/>
    <w:rsid w:val="2BF08312"/>
    <w:rsid w:val="2BF65997"/>
    <w:rsid w:val="2BF68CBC"/>
    <w:rsid w:val="2BF8558B"/>
    <w:rsid w:val="2BFE6834"/>
    <w:rsid w:val="2BFEBC2C"/>
    <w:rsid w:val="2C00C3DE"/>
    <w:rsid w:val="2C07A9FD"/>
    <w:rsid w:val="2C0CE126"/>
    <w:rsid w:val="2C0D7709"/>
    <w:rsid w:val="2C151716"/>
    <w:rsid w:val="2C159AC1"/>
    <w:rsid w:val="2C168A04"/>
    <w:rsid w:val="2C16E745"/>
    <w:rsid w:val="2C170608"/>
    <w:rsid w:val="2C179091"/>
    <w:rsid w:val="2C1BAB2C"/>
    <w:rsid w:val="2C1EB1E0"/>
    <w:rsid w:val="2C3A3D2D"/>
    <w:rsid w:val="2C3D8D9B"/>
    <w:rsid w:val="2C3F1E71"/>
    <w:rsid w:val="2C3F219B"/>
    <w:rsid w:val="2C4C0D61"/>
    <w:rsid w:val="2C56DDDF"/>
    <w:rsid w:val="2C66D215"/>
    <w:rsid w:val="2C7547DD"/>
    <w:rsid w:val="2C81662C"/>
    <w:rsid w:val="2C8DD3D5"/>
    <w:rsid w:val="2C928553"/>
    <w:rsid w:val="2C9B267A"/>
    <w:rsid w:val="2C9D013D"/>
    <w:rsid w:val="2CA256D8"/>
    <w:rsid w:val="2CA358B8"/>
    <w:rsid w:val="2CA87B32"/>
    <w:rsid w:val="2CAEC225"/>
    <w:rsid w:val="2CB679AB"/>
    <w:rsid w:val="2CC24210"/>
    <w:rsid w:val="2CCF27A6"/>
    <w:rsid w:val="2CD05BE9"/>
    <w:rsid w:val="2CD09324"/>
    <w:rsid w:val="2CD34836"/>
    <w:rsid w:val="2CDBAD29"/>
    <w:rsid w:val="2CDBB2AF"/>
    <w:rsid w:val="2CE09F35"/>
    <w:rsid w:val="2CE77BBC"/>
    <w:rsid w:val="2CE7C29D"/>
    <w:rsid w:val="2CED1197"/>
    <w:rsid w:val="2D0A3EDC"/>
    <w:rsid w:val="2D29B23C"/>
    <w:rsid w:val="2D461BB3"/>
    <w:rsid w:val="2D472F22"/>
    <w:rsid w:val="2D4C570E"/>
    <w:rsid w:val="2D4D2FFF"/>
    <w:rsid w:val="2D55C1BB"/>
    <w:rsid w:val="2D5B9D54"/>
    <w:rsid w:val="2D6627DE"/>
    <w:rsid w:val="2D69D83B"/>
    <w:rsid w:val="2D7890A0"/>
    <w:rsid w:val="2D87F519"/>
    <w:rsid w:val="2D88D6AA"/>
    <w:rsid w:val="2D938C69"/>
    <w:rsid w:val="2D9B27BE"/>
    <w:rsid w:val="2D9F1FB0"/>
    <w:rsid w:val="2D9F2001"/>
    <w:rsid w:val="2D9FAAD7"/>
    <w:rsid w:val="2DA792B4"/>
    <w:rsid w:val="2DA81F94"/>
    <w:rsid w:val="2DBDD080"/>
    <w:rsid w:val="2DC1DA55"/>
    <w:rsid w:val="2DC99E38"/>
    <w:rsid w:val="2DCB52EE"/>
    <w:rsid w:val="2DCC9EA9"/>
    <w:rsid w:val="2DCFF9A1"/>
    <w:rsid w:val="2DE2E7AF"/>
    <w:rsid w:val="2DE435FA"/>
    <w:rsid w:val="2DE8FAA4"/>
    <w:rsid w:val="2DED2250"/>
    <w:rsid w:val="2DEECD09"/>
    <w:rsid w:val="2DF15792"/>
    <w:rsid w:val="2DF4EEE1"/>
    <w:rsid w:val="2E038840"/>
    <w:rsid w:val="2E0810D7"/>
    <w:rsid w:val="2E09ECF1"/>
    <w:rsid w:val="2E0A7286"/>
    <w:rsid w:val="2E0AA160"/>
    <w:rsid w:val="2E25CDDC"/>
    <w:rsid w:val="2E272164"/>
    <w:rsid w:val="2E27E6CE"/>
    <w:rsid w:val="2E3103C8"/>
    <w:rsid w:val="2E363821"/>
    <w:rsid w:val="2E3768F9"/>
    <w:rsid w:val="2E3D40DD"/>
    <w:rsid w:val="2E469F1E"/>
    <w:rsid w:val="2E4AA3ED"/>
    <w:rsid w:val="2E51CFAA"/>
    <w:rsid w:val="2E6003E9"/>
    <w:rsid w:val="2E630D33"/>
    <w:rsid w:val="2E656A07"/>
    <w:rsid w:val="2E65DDEE"/>
    <w:rsid w:val="2E68C87F"/>
    <w:rsid w:val="2E6FDAB8"/>
    <w:rsid w:val="2E71B48A"/>
    <w:rsid w:val="2E71D1D8"/>
    <w:rsid w:val="2E820629"/>
    <w:rsid w:val="2E83F806"/>
    <w:rsid w:val="2E84B6E1"/>
    <w:rsid w:val="2E88E1F8"/>
    <w:rsid w:val="2E8AEA6F"/>
    <w:rsid w:val="2E8B766A"/>
    <w:rsid w:val="2E9C4924"/>
    <w:rsid w:val="2E9DDD98"/>
    <w:rsid w:val="2E9E2FD2"/>
    <w:rsid w:val="2EA2B22C"/>
    <w:rsid w:val="2EAB098C"/>
    <w:rsid w:val="2EAE4534"/>
    <w:rsid w:val="2EB1AD7C"/>
    <w:rsid w:val="2EB3F6D4"/>
    <w:rsid w:val="2EB6F97B"/>
    <w:rsid w:val="2EC63F94"/>
    <w:rsid w:val="2ED33283"/>
    <w:rsid w:val="2EE0F84F"/>
    <w:rsid w:val="2EF0CED3"/>
    <w:rsid w:val="2EF5053D"/>
    <w:rsid w:val="2EFBA4CA"/>
    <w:rsid w:val="2EFD3122"/>
    <w:rsid w:val="2F0D3B1E"/>
    <w:rsid w:val="2F119A8D"/>
    <w:rsid w:val="2F140B24"/>
    <w:rsid w:val="2F16E001"/>
    <w:rsid w:val="2F1B093C"/>
    <w:rsid w:val="2F1FB48F"/>
    <w:rsid w:val="2F256756"/>
    <w:rsid w:val="2F25B413"/>
    <w:rsid w:val="2F2F5CCA"/>
    <w:rsid w:val="2F34B1D5"/>
    <w:rsid w:val="2F37472E"/>
    <w:rsid w:val="2F3835C4"/>
    <w:rsid w:val="2F4490F6"/>
    <w:rsid w:val="2F4C0767"/>
    <w:rsid w:val="2F66CEAE"/>
    <w:rsid w:val="2F6DD097"/>
    <w:rsid w:val="2F782ABF"/>
    <w:rsid w:val="2F786ABE"/>
    <w:rsid w:val="2F7E36C3"/>
    <w:rsid w:val="2F87F3E1"/>
    <w:rsid w:val="2F8A0B90"/>
    <w:rsid w:val="2F90DAA2"/>
    <w:rsid w:val="2F954481"/>
    <w:rsid w:val="2F9F58A1"/>
    <w:rsid w:val="2FA0E3D9"/>
    <w:rsid w:val="2FA310F6"/>
    <w:rsid w:val="2FA50A65"/>
    <w:rsid w:val="2FA5CC89"/>
    <w:rsid w:val="2FA94171"/>
    <w:rsid w:val="2FAA7427"/>
    <w:rsid w:val="2FAAFB69"/>
    <w:rsid w:val="2FAEA3B7"/>
    <w:rsid w:val="2FB2F9D5"/>
    <w:rsid w:val="2FB3562D"/>
    <w:rsid w:val="2FB39424"/>
    <w:rsid w:val="2FB5B086"/>
    <w:rsid w:val="2FBF5CC8"/>
    <w:rsid w:val="2FC0328C"/>
    <w:rsid w:val="2FC9DA3A"/>
    <w:rsid w:val="2FCA694F"/>
    <w:rsid w:val="2FCC504B"/>
    <w:rsid w:val="2FCDE1F8"/>
    <w:rsid w:val="2FD76A38"/>
    <w:rsid w:val="2FE05026"/>
    <w:rsid w:val="2FEC9E64"/>
    <w:rsid w:val="2FEDA112"/>
    <w:rsid w:val="2FF3D3D9"/>
    <w:rsid w:val="2FF48BEA"/>
    <w:rsid w:val="2FF54D48"/>
    <w:rsid w:val="2FFD024B"/>
    <w:rsid w:val="300D5CD5"/>
    <w:rsid w:val="300D60B3"/>
    <w:rsid w:val="300DA239"/>
    <w:rsid w:val="30124A45"/>
    <w:rsid w:val="3018837C"/>
    <w:rsid w:val="301988C1"/>
    <w:rsid w:val="301DF070"/>
    <w:rsid w:val="301E9895"/>
    <w:rsid w:val="301FF24B"/>
    <w:rsid w:val="3024B259"/>
    <w:rsid w:val="302AE8E4"/>
    <w:rsid w:val="302C9FDF"/>
    <w:rsid w:val="302DB0F7"/>
    <w:rsid w:val="3033A917"/>
    <w:rsid w:val="30380055"/>
    <w:rsid w:val="303D0E60"/>
    <w:rsid w:val="30443F3D"/>
    <w:rsid w:val="30501827"/>
    <w:rsid w:val="30617505"/>
    <w:rsid w:val="30635A3C"/>
    <w:rsid w:val="306F7A78"/>
    <w:rsid w:val="30735E03"/>
    <w:rsid w:val="3074596D"/>
    <w:rsid w:val="30792FD6"/>
    <w:rsid w:val="3079DB8F"/>
    <w:rsid w:val="308A55AF"/>
    <w:rsid w:val="308E7C84"/>
    <w:rsid w:val="308EBFF0"/>
    <w:rsid w:val="3099CC39"/>
    <w:rsid w:val="309BA89D"/>
    <w:rsid w:val="30A80EC0"/>
    <w:rsid w:val="30B0B779"/>
    <w:rsid w:val="30B1BE2D"/>
    <w:rsid w:val="30C0904B"/>
    <w:rsid w:val="30D337DA"/>
    <w:rsid w:val="30D41D61"/>
    <w:rsid w:val="30D4BEA3"/>
    <w:rsid w:val="30D91D88"/>
    <w:rsid w:val="30DC3B8D"/>
    <w:rsid w:val="30E00DC3"/>
    <w:rsid w:val="30E06157"/>
    <w:rsid w:val="30E84EDD"/>
    <w:rsid w:val="30EC9D80"/>
    <w:rsid w:val="30FAD69A"/>
    <w:rsid w:val="30FCB67B"/>
    <w:rsid w:val="3103554B"/>
    <w:rsid w:val="3103ADB0"/>
    <w:rsid w:val="310405F7"/>
    <w:rsid w:val="311FD192"/>
    <w:rsid w:val="3137AFF1"/>
    <w:rsid w:val="314CE515"/>
    <w:rsid w:val="315A23EE"/>
    <w:rsid w:val="3164AC87"/>
    <w:rsid w:val="316DB58B"/>
    <w:rsid w:val="3179F80D"/>
    <w:rsid w:val="3187876D"/>
    <w:rsid w:val="31886EC5"/>
    <w:rsid w:val="318E72C2"/>
    <w:rsid w:val="318FF589"/>
    <w:rsid w:val="3193E42D"/>
    <w:rsid w:val="319AAB43"/>
    <w:rsid w:val="319C54C1"/>
    <w:rsid w:val="319DE1F4"/>
    <w:rsid w:val="31A56C36"/>
    <w:rsid w:val="31ACBE54"/>
    <w:rsid w:val="31B1AB86"/>
    <w:rsid w:val="31B90AC5"/>
    <w:rsid w:val="31C72E1A"/>
    <w:rsid w:val="31CC08D8"/>
    <w:rsid w:val="31D9E0B6"/>
    <w:rsid w:val="31DF558A"/>
    <w:rsid w:val="31E00F9E"/>
    <w:rsid w:val="31E6A3D4"/>
    <w:rsid w:val="31EAA401"/>
    <w:rsid w:val="31ECA781"/>
    <w:rsid w:val="31F720CD"/>
    <w:rsid w:val="32061C67"/>
    <w:rsid w:val="32130A89"/>
    <w:rsid w:val="3227B5B7"/>
    <w:rsid w:val="32280BBA"/>
    <w:rsid w:val="323CE54C"/>
    <w:rsid w:val="323F7FA0"/>
    <w:rsid w:val="324244F9"/>
    <w:rsid w:val="3247B5AC"/>
    <w:rsid w:val="3258AB22"/>
    <w:rsid w:val="3258DDF2"/>
    <w:rsid w:val="3263CA6E"/>
    <w:rsid w:val="326861BF"/>
    <w:rsid w:val="3273DF1E"/>
    <w:rsid w:val="3280068B"/>
    <w:rsid w:val="328B340B"/>
    <w:rsid w:val="32938A24"/>
    <w:rsid w:val="3296F239"/>
    <w:rsid w:val="32A32008"/>
    <w:rsid w:val="32A853DE"/>
    <w:rsid w:val="32B95F3D"/>
    <w:rsid w:val="32BA09E4"/>
    <w:rsid w:val="32C0106A"/>
    <w:rsid w:val="32D5BB90"/>
    <w:rsid w:val="32D83E25"/>
    <w:rsid w:val="32E4B978"/>
    <w:rsid w:val="32EC23D9"/>
    <w:rsid w:val="32FCA0D7"/>
    <w:rsid w:val="32FD4250"/>
    <w:rsid w:val="3300A99F"/>
    <w:rsid w:val="33153752"/>
    <w:rsid w:val="332AFECB"/>
    <w:rsid w:val="332BC5EA"/>
    <w:rsid w:val="33367BA4"/>
    <w:rsid w:val="333A0B0B"/>
    <w:rsid w:val="333C39A2"/>
    <w:rsid w:val="33430B86"/>
    <w:rsid w:val="33472459"/>
    <w:rsid w:val="334DD372"/>
    <w:rsid w:val="3359AF3B"/>
    <w:rsid w:val="335B2798"/>
    <w:rsid w:val="335C826E"/>
    <w:rsid w:val="3371A746"/>
    <w:rsid w:val="3372A8A7"/>
    <w:rsid w:val="33743CD8"/>
    <w:rsid w:val="33809173"/>
    <w:rsid w:val="33890B6A"/>
    <w:rsid w:val="33891B16"/>
    <w:rsid w:val="338972E7"/>
    <w:rsid w:val="3394472F"/>
    <w:rsid w:val="33AA7E0E"/>
    <w:rsid w:val="33BF2506"/>
    <w:rsid w:val="33C1D9C4"/>
    <w:rsid w:val="33C8241A"/>
    <w:rsid w:val="33C85634"/>
    <w:rsid w:val="33CE2627"/>
    <w:rsid w:val="33D84B5E"/>
    <w:rsid w:val="33E108F1"/>
    <w:rsid w:val="33E5ACCE"/>
    <w:rsid w:val="33EAB8C3"/>
    <w:rsid w:val="33F6C0CE"/>
    <w:rsid w:val="33F78B35"/>
    <w:rsid w:val="33F91DC8"/>
    <w:rsid w:val="33FA3C98"/>
    <w:rsid w:val="34097A19"/>
    <w:rsid w:val="341F4A79"/>
    <w:rsid w:val="342A627A"/>
    <w:rsid w:val="342B70F1"/>
    <w:rsid w:val="3436D2CF"/>
    <w:rsid w:val="34396CA2"/>
    <w:rsid w:val="343AA346"/>
    <w:rsid w:val="343DBD0A"/>
    <w:rsid w:val="34474208"/>
    <w:rsid w:val="344A3BAD"/>
    <w:rsid w:val="3476CED9"/>
    <w:rsid w:val="34787154"/>
    <w:rsid w:val="3479814A"/>
    <w:rsid w:val="347FA0B8"/>
    <w:rsid w:val="34885744"/>
    <w:rsid w:val="348A5F6D"/>
    <w:rsid w:val="34927689"/>
    <w:rsid w:val="349382DE"/>
    <w:rsid w:val="34A08E1B"/>
    <w:rsid w:val="34AC7D76"/>
    <w:rsid w:val="34C2D46C"/>
    <w:rsid w:val="34CB401D"/>
    <w:rsid w:val="34CC02B7"/>
    <w:rsid w:val="34CFC835"/>
    <w:rsid w:val="34D8D122"/>
    <w:rsid w:val="34D9EAD1"/>
    <w:rsid w:val="34DA0A24"/>
    <w:rsid w:val="34E531AA"/>
    <w:rsid w:val="34E86DCA"/>
    <w:rsid w:val="34F6E286"/>
    <w:rsid w:val="34FD45DC"/>
    <w:rsid w:val="3511564E"/>
    <w:rsid w:val="35119FF0"/>
    <w:rsid w:val="3516D408"/>
    <w:rsid w:val="3522767E"/>
    <w:rsid w:val="3523586A"/>
    <w:rsid w:val="3523A9FD"/>
    <w:rsid w:val="35285C98"/>
    <w:rsid w:val="3529B2B4"/>
    <w:rsid w:val="352F5D4B"/>
    <w:rsid w:val="3536CB0E"/>
    <w:rsid w:val="3537B7E4"/>
    <w:rsid w:val="35381300"/>
    <w:rsid w:val="35422115"/>
    <w:rsid w:val="35440A7F"/>
    <w:rsid w:val="354776A1"/>
    <w:rsid w:val="3548A048"/>
    <w:rsid w:val="354A5574"/>
    <w:rsid w:val="354D6AC4"/>
    <w:rsid w:val="3552B43E"/>
    <w:rsid w:val="355DC6D2"/>
    <w:rsid w:val="355F7863"/>
    <w:rsid w:val="356197BD"/>
    <w:rsid w:val="356561FD"/>
    <w:rsid w:val="356CE6E8"/>
    <w:rsid w:val="356E6489"/>
    <w:rsid w:val="356F19C0"/>
    <w:rsid w:val="3573EFA4"/>
    <w:rsid w:val="3574EA20"/>
    <w:rsid w:val="35781A40"/>
    <w:rsid w:val="357CB592"/>
    <w:rsid w:val="357D717C"/>
    <w:rsid w:val="358EF613"/>
    <w:rsid w:val="3594A8DA"/>
    <w:rsid w:val="35950E6D"/>
    <w:rsid w:val="359E9E4E"/>
    <w:rsid w:val="35A5BADE"/>
    <w:rsid w:val="35AA8288"/>
    <w:rsid w:val="35B4377F"/>
    <w:rsid w:val="35DEF6D5"/>
    <w:rsid w:val="35E0E736"/>
    <w:rsid w:val="35E4AD65"/>
    <w:rsid w:val="35F05EBE"/>
    <w:rsid w:val="35FB2B2A"/>
    <w:rsid w:val="36105A68"/>
    <w:rsid w:val="361B4BAA"/>
    <w:rsid w:val="3627CC17"/>
    <w:rsid w:val="362E46EA"/>
    <w:rsid w:val="364FA99E"/>
    <w:rsid w:val="3651A89A"/>
    <w:rsid w:val="36563497"/>
    <w:rsid w:val="365FB4FC"/>
    <w:rsid w:val="36673C9D"/>
    <w:rsid w:val="366BA3CE"/>
    <w:rsid w:val="366D2CCD"/>
    <w:rsid w:val="366D6A0E"/>
    <w:rsid w:val="3677A23E"/>
    <w:rsid w:val="3681AF95"/>
    <w:rsid w:val="36937114"/>
    <w:rsid w:val="36990D6D"/>
    <w:rsid w:val="36ACC863"/>
    <w:rsid w:val="36AF2F5F"/>
    <w:rsid w:val="36B06689"/>
    <w:rsid w:val="36D3BF73"/>
    <w:rsid w:val="36D7B29C"/>
    <w:rsid w:val="36E0DE53"/>
    <w:rsid w:val="36EDE399"/>
    <w:rsid w:val="36F271CE"/>
    <w:rsid w:val="36FAC852"/>
    <w:rsid w:val="370E1E85"/>
    <w:rsid w:val="370E9FC1"/>
    <w:rsid w:val="371FA782"/>
    <w:rsid w:val="37372A75"/>
    <w:rsid w:val="3737D634"/>
    <w:rsid w:val="3742C34E"/>
    <w:rsid w:val="37432CFB"/>
    <w:rsid w:val="374601F6"/>
    <w:rsid w:val="374A5358"/>
    <w:rsid w:val="37517F3F"/>
    <w:rsid w:val="375E7B51"/>
    <w:rsid w:val="3761AFF2"/>
    <w:rsid w:val="37661D11"/>
    <w:rsid w:val="37679D57"/>
    <w:rsid w:val="37686476"/>
    <w:rsid w:val="376A4414"/>
    <w:rsid w:val="376B0A2D"/>
    <w:rsid w:val="376B83A8"/>
    <w:rsid w:val="3770A6B0"/>
    <w:rsid w:val="37791FEC"/>
    <w:rsid w:val="3788948A"/>
    <w:rsid w:val="3789AE5E"/>
    <w:rsid w:val="378F04B8"/>
    <w:rsid w:val="378FD305"/>
    <w:rsid w:val="379285B2"/>
    <w:rsid w:val="3793F1AF"/>
    <w:rsid w:val="3794ED5E"/>
    <w:rsid w:val="3795BBC4"/>
    <w:rsid w:val="37A0429D"/>
    <w:rsid w:val="37A1A4A1"/>
    <w:rsid w:val="37AF79E0"/>
    <w:rsid w:val="37B6B823"/>
    <w:rsid w:val="37B82A9B"/>
    <w:rsid w:val="37B980E2"/>
    <w:rsid w:val="37BB595D"/>
    <w:rsid w:val="37C5D7E5"/>
    <w:rsid w:val="37C6A134"/>
    <w:rsid w:val="37E3A853"/>
    <w:rsid w:val="37EA349E"/>
    <w:rsid w:val="37EE7DE9"/>
    <w:rsid w:val="37F7870F"/>
    <w:rsid w:val="37F8371E"/>
    <w:rsid w:val="37FF61BA"/>
    <w:rsid w:val="3802BB78"/>
    <w:rsid w:val="3803DC07"/>
    <w:rsid w:val="380F128D"/>
    <w:rsid w:val="381BEC27"/>
    <w:rsid w:val="3835DACE"/>
    <w:rsid w:val="3842832F"/>
    <w:rsid w:val="3847E32A"/>
    <w:rsid w:val="384E4384"/>
    <w:rsid w:val="38508833"/>
    <w:rsid w:val="38857BAC"/>
    <w:rsid w:val="3891B7FF"/>
    <w:rsid w:val="38A50973"/>
    <w:rsid w:val="38AB8051"/>
    <w:rsid w:val="38B1E92B"/>
    <w:rsid w:val="38B7786F"/>
    <w:rsid w:val="38B7C1F8"/>
    <w:rsid w:val="38BBD71C"/>
    <w:rsid w:val="38BE270F"/>
    <w:rsid w:val="38C63D65"/>
    <w:rsid w:val="38CB7990"/>
    <w:rsid w:val="38D53D39"/>
    <w:rsid w:val="38DB7A35"/>
    <w:rsid w:val="38DBD997"/>
    <w:rsid w:val="38E47A5D"/>
    <w:rsid w:val="38F092A9"/>
    <w:rsid w:val="38F30D2E"/>
    <w:rsid w:val="38F39215"/>
    <w:rsid w:val="39089B9C"/>
    <w:rsid w:val="390F3ACF"/>
    <w:rsid w:val="390FD92A"/>
    <w:rsid w:val="39116D23"/>
    <w:rsid w:val="39140B67"/>
    <w:rsid w:val="39161D57"/>
    <w:rsid w:val="3928AE76"/>
    <w:rsid w:val="392AC67D"/>
    <w:rsid w:val="392E5613"/>
    <w:rsid w:val="393080A3"/>
    <w:rsid w:val="3931A421"/>
    <w:rsid w:val="3931C059"/>
    <w:rsid w:val="393D7502"/>
    <w:rsid w:val="393E9D70"/>
    <w:rsid w:val="393EA443"/>
    <w:rsid w:val="3946A02A"/>
    <w:rsid w:val="394AB2A0"/>
    <w:rsid w:val="394AC227"/>
    <w:rsid w:val="394BA234"/>
    <w:rsid w:val="394DA8E6"/>
    <w:rsid w:val="3954A276"/>
    <w:rsid w:val="3958E836"/>
    <w:rsid w:val="395B70B0"/>
    <w:rsid w:val="395EDEE1"/>
    <w:rsid w:val="396B50BD"/>
    <w:rsid w:val="396BDE80"/>
    <w:rsid w:val="396D6CFA"/>
    <w:rsid w:val="3977670A"/>
    <w:rsid w:val="397A4C52"/>
    <w:rsid w:val="397F57F1"/>
    <w:rsid w:val="39813A1D"/>
    <w:rsid w:val="39843CE1"/>
    <w:rsid w:val="398525C2"/>
    <w:rsid w:val="398674A0"/>
    <w:rsid w:val="3989EF46"/>
    <w:rsid w:val="398D9FE7"/>
    <w:rsid w:val="399C5A58"/>
    <w:rsid w:val="399E73A0"/>
    <w:rsid w:val="399F2A78"/>
    <w:rsid w:val="399F326F"/>
    <w:rsid w:val="39A09E1C"/>
    <w:rsid w:val="39A6548F"/>
    <w:rsid w:val="39B4847F"/>
    <w:rsid w:val="39B49D4B"/>
    <w:rsid w:val="39B6FE4D"/>
    <w:rsid w:val="39BC9A8A"/>
    <w:rsid w:val="39CA8B2E"/>
    <w:rsid w:val="39D3937B"/>
    <w:rsid w:val="39E1EA2B"/>
    <w:rsid w:val="39E35EA8"/>
    <w:rsid w:val="39E3B38B"/>
    <w:rsid w:val="39E4CB7D"/>
    <w:rsid w:val="39E62FB4"/>
    <w:rsid w:val="39F6C98D"/>
    <w:rsid w:val="3A063C1C"/>
    <w:rsid w:val="3A0B8863"/>
    <w:rsid w:val="3A0D3A86"/>
    <w:rsid w:val="3A19186A"/>
    <w:rsid w:val="3A1C52AE"/>
    <w:rsid w:val="3A25A59E"/>
    <w:rsid w:val="3A3429F7"/>
    <w:rsid w:val="3A3AB554"/>
    <w:rsid w:val="3A46CEAD"/>
    <w:rsid w:val="3A5048C9"/>
    <w:rsid w:val="3A69B116"/>
    <w:rsid w:val="3A69FF93"/>
    <w:rsid w:val="3A6D7A3F"/>
    <w:rsid w:val="3A76367F"/>
    <w:rsid w:val="3A768F9B"/>
    <w:rsid w:val="3A77C0A3"/>
    <w:rsid w:val="3A811987"/>
    <w:rsid w:val="3A850391"/>
    <w:rsid w:val="3A8E6CB2"/>
    <w:rsid w:val="3A9D4E4C"/>
    <w:rsid w:val="3AA5195C"/>
    <w:rsid w:val="3AA60A55"/>
    <w:rsid w:val="3AADAA6C"/>
    <w:rsid w:val="3AAE8C4F"/>
    <w:rsid w:val="3AB4973B"/>
    <w:rsid w:val="3AB4B328"/>
    <w:rsid w:val="3ABF91CE"/>
    <w:rsid w:val="3AC2B902"/>
    <w:rsid w:val="3AC36C3E"/>
    <w:rsid w:val="3AC773C7"/>
    <w:rsid w:val="3ACBD377"/>
    <w:rsid w:val="3AD94563"/>
    <w:rsid w:val="3AE13ECF"/>
    <w:rsid w:val="3AEC8AB3"/>
    <w:rsid w:val="3AF54214"/>
    <w:rsid w:val="3AF834D3"/>
    <w:rsid w:val="3AF9384A"/>
    <w:rsid w:val="3B0FB3E0"/>
    <w:rsid w:val="3B14C8E3"/>
    <w:rsid w:val="3B259CF8"/>
    <w:rsid w:val="3B27D317"/>
    <w:rsid w:val="3B2EEA49"/>
    <w:rsid w:val="3B353FEC"/>
    <w:rsid w:val="3B368680"/>
    <w:rsid w:val="3B396488"/>
    <w:rsid w:val="3B3D9E00"/>
    <w:rsid w:val="3B50643E"/>
    <w:rsid w:val="3B52B59F"/>
    <w:rsid w:val="3B5D8444"/>
    <w:rsid w:val="3B604A3C"/>
    <w:rsid w:val="3B62B314"/>
    <w:rsid w:val="3B6AD788"/>
    <w:rsid w:val="3B7309FC"/>
    <w:rsid w:val="3B7F8E84"/>
    <w:rsid w:val="3B7FB6AF"/>
    <w:rsid w:val="3B872962"/>
    <w:rsid w:val="3B8FB096"/>
    <w:rsid w:val="3B9174E3"/>
    <w:rsid w:val="3B942469"/>
    <w:rsid w:val="3B9C85A7"/>
    <w:rsid w:val="3BA02DC6"/>
    <w:rsid w:val="3BA3ADF4"/>
    <w:rsid w:val="3BDCC03F"/>
    <w:rsid w:val="3BE3E940"/>
    <w:rsid w:val="3BF84A08"/>
    <w:rsid w:val="3C06FDBF"/>
    <w:rsid w:val="3C080F3B"/>
    <w:rsid w:val="3C11CA19"/>
    <w:rsid w:val="3C1844E0"/>
    <w:rsid w:val="3C2678F4"/>
    <w:rsid w:val="3C2729C1"/>
    <w:rsid w:val="3C3E2728"/>
    <w:rsid w:val="3C40460C"/>
    <w:rsid w:val="3C429BCA"/>
    <w:rsid w:val="3C4C9936"/>
    <w:rsid w:val="3C585522"/>
    <w:rsid w:val="3C5FFD6A"/>
    <w:rsid w:val="3C61A5C4"/>
    <w:rsid w:val="3C630A46"/>
    <w:rsid w:val="3C638892"/>
    <w:rsid w:val="3C66CCEF"/>
    <w:rsid w:val="3C6F1EB5"/>
    <w:rsid w:val="3C749FE3"/>
    <w:rsid w:val="3C75FB17"/>
    <w:rsid w:val="3C861996"/>
    <w:rsid w:val="3C8668B2"/>
    <w:rsid w:val="3C91AF2A"/>
    <w:rsid w:val="3C9DF3D3"/>
    <w:rsid w:val="3CAD5782"/>
    <w:rsid w:val="3CC2E104"/>
    <w:rsid w:val="3CC540A9"/>
    <w:rsid w:val="3CCF51C7"/>
    <w:rsid w:val="3CCFFDC0"/>
    <w:rsid w:val="3CD20681"/>
    <w:rsid w:val="3CD256E1"/>
    <w:rsid w:val="3CEDCF73"/>
    <w:rsid w:val="3CEF6416"/>
    <w:rsid w:val="3CEF6CD5"/>
    <w:rsid w:val="3CF0051A"/>
    <w:rsid w:val="3CFF612F"/>
    <w:rsid w:val="3D0209DE"/>
    <w:rsid w:val="3D0A1976"/>
    <w:rsid w:val="3D0F7040"/>
    <w:rsid w:val="3D157C5F"/>
    <w:rsid w:val="3D16835D"/>
    <w:rsid w:val="3D1B298C"/>
    <w:rsid w:val="3D28989D"/>
    <w:rsid w:val="3D301C12"/>
    <w:rsid w:val="3D336E7D"/>
    <w:rsid w:val="3D3A1EDF"/>
    <w:rsid w:val="3D420C65"/>
    <w:rsid w:val="3D4423EA"/>
    <w:rsid w:val="3D4F0845"/>
    <w:rsid w:val="3D56A5FE"/>
    <w:rsid w:val="3D67800D"/>
    <w:rsid w:val="3D682012"/>
    <w:rsid w:val="3D766133"/>
    <w:rsid w:val="3D88393F"/>
    <w:rsid w:val="3D8CBD0F"/>
    <w:rsid w:val="3D8ED6FF"/>
    <w:rsid w:val="3D96F143"/>
    <w:rsid w:val="3D99F47D"/>
    <w:rsid w:val="3DABF6B9"/>
    <w:rsid w:val="3DB7386E"/>
    <w:rsid w:val="3DB9A1D2"/>
    <w:rsid w:val="3DBA9B57"/>
    <w:rsid w:val="3DC124F6"/>
    <w:rsid w:val="3DCDC539"/>
    <w:rsid w:val="3DD40929"/>
    <w:rsid w:val="3DE89ED9"/>
    <w:rsid w:val="3DE91EED"/>
    <w:rsid w:val="3DF08DF1"/>
    <w:rsid w:val="3DF5F11A"/>
    <w:rsid w:val="3E00BB45"/>
    <w:rsid w:val="3E0580C7"/>
    <w:rsid w:val="3E0F21D8"/>
    <w:rsid w:val="3E21FBD8"/>
    <w:rsid w:val="3E26A500"/>
    <w:rsid w:val="3E2D552B"/>
    <w:rsid w:val="3E335324"/>
    <w:rsid w:val="3E3455F0"/>
    <w:rsid w:val="3E379D1B"/>
    <w:rsid w:val="3E4897FD"/>
    <w:rsid w:val="3E4AA409"/>
    <w:rsid w:val="3E4DAF13"/>
    <w:rsid w:val="3E5347D9"/>
    <w:rsid w:val="3E60452B"/>
    <w:rsid w:val="3E627C3D"/>
    <w:rsid w:val="3E62D620"/>
    <w:rsid w:val="3E67432E"/>
    <w:rsid w:val="3E6EDF53"/>
    <w:rsid w:val="3E78F2D0"/>
    <w:rsid w:val="3E7A9378"/>
    <w:rsid w:val="3E7A9B4C"/>
    <w:rsid w:val="3E8248AE"/>
    <w:rsid w:val="3E86F2CC"/>
    <w:rsid w:val="3E8C2746"/>
    <w:rsid w:val="3E8CC17A"/>
    <w:rsid w:val="3E91B7AE"/>
    <w:rsid w:val="3E990B60"/>
    <w:rsid w:val="3E9919E1"/>
    <w:rsid w:val="3E9DFC51"/>
    <w:rsid w:val="3EA5BC58"/>
    <w:rsid w:val="3EA6F348"/>
    <w:rsid w:val="3EB2D50B"/>
    <w:rsid w:val="3EBCE739"/>
    <w:rsid w:val="3ECE5274"/>
    <w:rsid w:val="3EDE9A2A"/>
    <w:rsid w:val="3EDEE013"/>
    <w:rsid w:val="3EEC22CB"/>
    <w:rsid w:val="3EF360D6"/>
    <w:rsid w:val="3EF54238"/>
    <w:rsid w:val="3EFD03E7"/>
    <w:rsid w:val="3F16B08E"/>
    <w:rsid w:val="3F1FE8F5"/>
    <w:rsid w:val="3F2AF923"/>
    <w:rsid w:val="3F30E75E"/>
    <w:rsid w:val="3F438833"/>
    <w:rsid w:val="3F4537E4"/>
    <w:rsid w:val="3F491327"/>
    <w:rsid w:val="3F4978B7"/>
    <w:rsid w:val="3F4979E9"/>
    <w:rsid w:val="3F509132"/>
    <w:rsid w:val="3F50C249"/>
    <w:rsid w:val="3F569C4E"/>
    <w:rsid w:val="3F80FC9E"/>
    <w:rsid w:val="3F8402F1"/>
    <w:rsid w:val="3F9AE4EA"/>
    <w:rsid w:val="3F9F0394"/>
    <w:rsid w:val="3FA6C8E1"/>
    <w:rsid w:val="3FA819DB"/>
    <w:rsid w:val="3FB32D99"/>
    <w:rsid w:val="3FCBC409"/>
    <w:rsid w:val="3FD33C59"/>
    <w:rsid w:val="3FD38B33"/>
    <w:rsid w:val="3FD576FC"/>
    <w:rsid w:val="3FDE8885"/>
    <w:rsid w:val="3FE8A1C0"/>
    <w:rsid w:val="3FEB73C3"/>
    <w:rsid w:val="3FF12095"/>
    <w:rsid w:val="4002E1F9"/>
    <w:rsid w:val="400A9DA6"/>
    <w:rsid w:val="400C9967"/>
    <w:rsid w:val="401173F7"/>
    <w:rsid w:val="40176BF3"/>
    <w:rsid w:val="401DDED6"/>
    <w:rsid w:val="401F9B98"/>
    <w:rsid w:val="40208A47"/>
    <w:rsid w:val="4030A01D"/>
    <w:rsid w:val="4038F156"/>
    <w:rsid w:val="403CC2C7"/>
    <w:rsid w:val="40404DF8"/>
    <w:rsid w:val="40406017"/>
    <w:rsid w:val="4043891D"/>
    <w:rsid w:val="40442B2D"/>
    <w:rsid w:val="404A0A07"/>
    <w:rsid w:val="404D4CD3"/>
    <w:rsid w:val="405345B6"/>
    <w:rsid w:val="4054D722"/>
    <w:rsid w:val="40617978"/>
    <w:rsid w:val="406E93A2"/>
    <w:rsid w:val="4071DFF7"/>
    <w:rsid w:val="40729EAC"/>
    <w:rsid w:val="407D1EAE"/>
    <w:rsid w:val="408196DF"/>
    <w:rsid w:val="4085789E"/>
    <w:rsid w:val="40944A33"/>
    <w:rsid w:val="409DA6FF"/>
    <w:rsid w:val="409EB52C"/>
    <w:rsid w:val="40AA01EE"/>
    <w:rsid w:val="40B1CC67"/>
    <w:rsid w:val="40D18DDF"/>
    <w:rsid w:val="40D244EE"/>
    <w:rsid w:val="40DA0A2E"/>
    <w:rsid w:val="40E1151B"/>
    <w:rsid w:val="40E24D6C"/>
    <w:rsid w:val="40E32E16"/>
    <w:rsid w:val="40F55740"/>
    <w:rsid w:val="40FB72D6"/>
    <w:rsid w:val="40FEA060"/>
    <w:rsid w:val="410150D0"/>
    <w:rsid w:val="41035B4F"/>
    <w:rsid w:val="41098866"/>
    <w:rsid w:val="410AA34A"/>
    <w:rsid w:val="410C864A"/>
    <w:rsid w:val="410D68CC"/>
    <w:rsid w:val="410DF255"/>
    <w:rsid w:val="4112B307"/>
    <w:rsid w:val="411783DE"/>
    <w:rsid w:val="411FF339"/>
    <w:rsid w:val="4120A5B7"/>
    <w:rsid w:val="412E164D"/>
    <w:rsid w:val="4132141E"/>
    <w:rsid w:val="4136B54B"/>
    <w:rsid w:val="413AD3F5"/>
    <w:rsid w:val="41404570"/>
    <w:rsid w:val="414FCC53"/>
    <w:rsid w:val="415649B9"/>
    <w:rsid w:val="41572453"/>
    <w:rsid w:val="41589FC4"/>
    <w:rsid w:val="415BF1F5"/>
    <w:rsid w:val="41635501"/>
    <w:rsid w:val="41666439"/>
    <w:rsid w:val="4170C685"/>
    <w:rsid w:val="417485A7"/>
    <w:rsid w:val="417C1DE8"/>
    <w:rsid w:val="41806609"/>
    <w:rsid w:val="41829920"/>
    <w:rsid w:val="41868A2A"/>
    <w:rsid w:val="4190FD5A"/>
    <w:rsid w:val="419273AD"/>
    <w:rsid w:val="4192EC6F"/>
    <w:rsid w:val="4198E73E"/>
    <w:rsid w:val="41A2355B"/>
    <w:rsid w:val="41A4EB16"/>
    <w:rsid w:val="41A61953"/>
    <w:rsid w:val="41A9EBAE"/>
    <w:rsid w:val="41B63881"/>
    <w:rsid w:val="41BC0947"/>
    <w:rsid w:val="41C6E0A0"/>
    <w:rsid w:val="41CDA60C"/>
    <w:rsid w:val="41D0DFAB"/>
    <w:rsid w:val="41E6236A"/>
    <w:rsid w:val="41EA873F"/>
    <w:rsid w:val="41F7340C"/>
    <w:rsid w:val="41F8A598"/>
    <w:rsid w:val="41FBF48A"/>
    <w:rsid w:val="420798EA"/>
    <w:rsid w:val="4209D4C9"/>
    <w:rsid w:val="420BB887"/>
    <w:rsid w:val="4226B483"/>
    <w:rsid w:val="42397760"/>
    <w:rsid w:val="423DEFF1"/>
    <w:rsid w:val="4241C9FB"/>
    <w:rsid w:val="424E1059"/>
    <w:rsid w:val="424EDCA3"/>
    <w:rsid w:val="42506775"/>
    <w:rsid w:val="42546788"/>
    <w:rsid w:val="425FC04C"/>
    <w:rsid w:val="42640AAB"/>
    <w:rsid w:val="426D3502"/>
    <w:rsid w:val="4270A548"/>
    <w:rsid w:val="428575F5"/>
    <w:rsid w:val="4285D312"/>
    <w:rsid w:val="4289992E"/>
    <w:rsid w:val="428C216E"/>
    <w:rsid w:val="428C2B6C"/>
    <w:rsid w:val="42945FCE"/>
    <w:rsid w:val="42984DBF"/>
    <w:rsid w:val="42AE364F"/>
    <w:rsid w:val="42B3543F"/>
    <w:rsid w:val="42BA4356"/>
    <w:rsid w:val="42BAE7CE"/>
    <w:rsid w:val="42BE08CA"/>
    <w:rsid w:val="42C0E955"/>
    <w:rsid w:val="42C48F16"/>
    <w:rsid w:val="42CB05AB"/>
    <w:rsid w:val="42CBCB2A"/>
    <w:rsid w:val="42D1CCA6"/>
    <w:rsid w:val="42E08776"/>
    <w:rsid w:val="42E0C88F"/>
    <w:rsid w:val="42E47AF2"/>
    <w:rsid w:val="42E91F46"/>
    <w:rsid w:val="430A28D9"/>
    <w:rsid w:val="43113195"/>
    <w:rsid w:val="4318973B"/>
    <w:rsid w:val="4319DF32"/>
    <w:rsid w:val="43265AFA"/>
    <w:rsid w:val="4327FA38"/>
    <w:rsid w:val="43298403"/>
    <w:rsid w:val="432CE745"/>
    <w:rsid w:val="432FD2B1"/>
    <w:rsid w:val="433327B7"/>
    <w:rsid w:val="433DE1CF"/>
    <w:rsid w:val="43473D11"/>
    <w:rsid w:val="4352351F"/>
    <w:rsid w:val="4358CBBF"/>
    <w:rsid w:val="435A29EB"/>
    <w:rsid w:val="435B66C5"/>
    <w:rsid w:val="435CC110"/>
    <w:rsid w:val="435E59A2"/>
    <w:rsid w:val="436D267F"/>
    <w:rsid w:val="4375F1ED"/>
    <w:rsid w:val="43779075"/>
    <w:rsid w:val="43786B9F"/>
    <w:rsid w:val="43787F9E"/>
    <w:rsid w:val="4378F4BD"/>
    <w:rsid w:val="438987A4"/>
    <w:rsid w:val="438DE0BC"/>
    <w:rsid w:val="438EE0DB"/>
    <w:rsid w:val="43970DA9"/>
    <w:rsid w:val="43990125"/>
    <w:rsid w:val="43A32F26"/>
    <w:rsid w:val="43A94D53"/>
    <w:rsid w:val="43A9831C"/>
    <w:rsid w:val="43B0A909"/>
    <w:rsid w:val="43B2181C"/>
    <w:rsid w:val="43B6107B"/>
    <w:rsid w:val="43B70510"/>
    <w:rsid w:val="43BD2EDE"/>
    <w:rsid w:val="43C535A2"/>
    <w:rsid w:val="43C9B437"/>
    <w:rsid w:val="43DFB566"/>
    <w:rsid w:val="43E28DC1"/>
    <w:rsid w:val="43EB5F8B"/>
    <w:rsid w:val="43ED22C9"/>
    <w:rsid w:val="43EEC0A6"/>
    <w:rsid w:val="43EECFA3"/>
    <w:rsid w:val="43F04CC5"/>
    <w:rsid w:val="43F32261"/>
    <w:rsid w:val="43F73805"/>
    <w:rsid w:val="43F8AAD9"/>
    <w:rsid w:val="43FC761F"/>
    <w:rsid w:val="4401D9DD"/>
    <w:rsid w:val="440915FB"/>
    <w:rsid w:val="4416297E"/>
    <w:rsid w:val="441BC87B"/>
    <w:rsid w:val="441E6E04"/>
    <w:rsid w:val="441E886D"/>
    <w:rsid w:val="4428E2F7"/>
    <w:rsid w:val="4430BA7E"/>
    <w:rsid w:val="44330237"/>
    <w:rsid w:val="4442CEC9"/>
    <w:rsid w:val="44485A14"/>
    <w:rsid w:val="4448E664"/>
    <w:rsid w:val="444DCA59"/>
    <w:rsid w:val="444EABC6"/>
    <w:rsid w:val="44579FEA"/>
    <w:rsid w:val="445A4809"/>
    <w:rsid w:val="445AEF00"/>
    <w:rsid w:val="446365E2"/>
    <w:rsid w:val="44650FDA"/>
    <w:rsid w:val="4469281A"/>
    <w:rsid w:val="4469838D"/>
    <w:rsid w:val="446FC531"/>
    <w:rsid w:val="446FD0C6"/>
    <w:rsid w:val="4476CCED"/>
    <w:rsid w:val="44799F85"/>
    <w:rsid w:val="447A97C0"/>
    <w:rsid w:val="4481DCAA"/>
    <w:rsid w:val="4484850C"/>
    <w:rsid w:val="449627E7"/>
    <w:rsid w:val="449B0A98"/>
    <w:rsid w:val="44B27179"/>
    <w:rsid w:val="44B75FA3"/>
    <w:rsid w:val="44B8EB00"/>
    <w:rsid w:val="44BB1466"/>
    <w:rsid w:val="44C410C7"/>
    <w:rsid w:val="44C8287D"/>
    <w:rsid w:val="44C8CD8E"/>
    <w:rsid w:val="44CF1197"/>
    <w:rsid w:val="44D1FC7B"/>
    <w:rsid w:val="44D9BA16"/>
    <w:rsid w:val="44D9FEAC"/>
    <w:rsid w:val="44F67060"/>
    <w:rsid w:val="45008777"/>
    <w:rsid w:val="45011D5A"/>
    <w:rsid w:val="45097B6E"/>
    <w:rsid w:val="451A7BED"/>
    <w:rsid w:val="45255805"/>
    <w:rsid w:val="452D3AC4"/>
    <w:rsid w:val="4537EEE3"/>
    <w:rsid w:val="453AE21C"/>
    <w:rsid w:val="454830B4"/>
    <w:rsid w:val="454A143A"/>
    <w:rsid w:val="45526E6D"/>
    <w:rsid w:val="45535307"/>
    <w:rsid w:val="4558C6A0"/>
    <w:rsid w:val="45610603"/>
    <w:rsid w:val="4562D2B8"/>
    <w:rsid w:val="45674079"/>
    <w:rsid w:val="45681751"/>
    <w:rsid w:val="457095AB"/>
    <w:rsid w:val="4572D33A"/>
    <w:rsid w:val="45747835"/>
    <w:rsid w:val="4574DAE5"/>
    <w:rsid w:val="457EBD9B"/>
    <w:rsid w:val="45825811"/>
    <w:rsid w:val="4589B5FD"/>
    <w:rsid w:val="459A1AA4"/>
    <w:rsid w:val="459AE71C"/>
    <w:rsid w:val="45A3CAF5"/>
    <w:rsid w:val="45AEF35E"/>
    <w:rsid w:val="45AFFDCF"/>
    <w:rsid w:val="45C5DA97"/>
    <w:rsid w:val="45CED298"/>
    <w:rsid w:val="45D13EA4"/>
    <w:rsid w:val="45D8A449"/>
    <w:rsid w:val="45DB4329"/>
    <w:rsid w:val="45E2B7DF"/>
    <w:rsid w:val="45E7C824"/>
    <w:rsid w:val="45EA6701"/>
    <w:rsid w:val="45EAD96A"/>
    <w:rsid w:val="45F222F6"/>
    <w:rsid w:val="45F3543D"/>
    <w:rsid w:val="45FD0A41"/>
    <w:rsid w:val="45FD5BCB"/>
    <w:rsid w:val="45FE3AFF"/>
    <w:rsid w:val="46086EC0"/>
    <w:rsid w:val="460D592F"/>
    <w:rsid w:val="46164BBE"/>
    <w:rsid w:val="4619E7C9"/>
    <w:rsid w:val="461CF429"/>
    <w:rsid w:val="4625E925"/>
    <w:rsid w:val="46289D78"/>
    <w:rsid w:val="4632CA01"/>
    <w:rsid w:val="4633E08C"/>
    <w:rsid w:val="46374090"/>
    <w:rsid w:val="463F35C9"/>
    <w:rsid w:val="464759CA"/>
    <w:rsid w:val="46526427"/>
    <w:rsid w:val="465339D5"/>
    <w:rsid w:val="465CF1C0"/>
    <w:rsid w:val="465FDD18"/>
    <w:rsid w:val="466244E4"/>
    <w:rsid w:val="4679DF2A"/>
    <w:rsid w:val="468066D0"/>
    <w:rsid w:val="4689A9A4"/>
    <w:rsid w:val="469240C1"/>
    <w:rsid w:val="469AD45E"/>
    <w:rsid w:val="469B9A3E"/>
    <w:rsid w:val="469E5119"/>
    <w:rsid w:val="46B0D9AA"/>
    <w:rsid w:val="46B35942"/>
    <w:rsid w:val="46C12866"/>
    <w:rsid w:val="46C7F91E"/>
    <w:rsid w:val="46C90B25"/>
    <w:rsid w:val="46CD2225"/>
    <w:rsid w:val="46D5170F"/>
    <w:rsid w:val="46DE36A7"/>
    <w:rsid w:val="46E529F8"/>
    <w:rsid w:val="46E6A570"/>
    <w:rsid w:val="46EA0402"/>
    <w:rsid w:val="46FAE7B7"/>
    <w:rsid w:val="46FD40FB"/>
    <w:rsid w:val="4701371A"/>
    <w:rsid w:val="470310DA"/>
    <w:rsid w:val="470CE883"/>
    <w:rsid w:val="471B1C6A"/>
    <w:rsid w:val="4720997A"/>
    <w:rsid w:val="4725A172"/>
    <w:rsid w:val="472CCD89"/>
    <w:rsid w:val="472D740E"/>
    <w:rsid w:val="47371915"/>
    <w:rsid w:val="473BF943"/>
    <w:rsid w:val="473CBF27"/>
    <w:rsid w:val="473E2C52"/>
    <w:rsid w:val="4740C4CB"/>
    <w:rsid w:val="4741C7F8"/>
    <w:rsid w:val="4742318E"/>
    <w:rsid w:val="4744EF26"/>
    <w:rsid w:val="4758E718"/>
    <w:rsid w:val="475BE39B"/>
    <w:rsid w:val="475C41FA"/>
    <w:rsid w:val="475C9E78"/>
    <w:rsid w:val="47655FE3"/>
    <w:rsid w:val="47657829"/>
    <w:rsid w:val="476C4130"/>
    <w:rsid w:val="47742D30"/>
    <w:rsid w:val="4783CE8F"/>
    <w:rsid w:val="4785EDE9"/>
    <w:rsid w:val="478B9652"/>
    <w:rsid w:val="478E950A"/>
    <w:rsid w:val="4797313C"/>
    <w:rsid w:val="479FA5F0"/>
    <w:rsid w:val="47A23C26"/>
    <w:rsid w:val="47A5F6CF"/>
    <w:rsid w:val="47A67BB0"/>
    <w:rsid w:val="47A9AD9B"/>
    <w:rsid w:val="47AE6DAF"/>
    <w:rsid w:val="47B0180B"/>
    <w:rsid w:val="47BE9E8F"/>
    <w:rsid w:val="47C887AC"/>
    <w:rsid w:val="47D6D5EE"/>
    <w:rsid w:val="47DAF5CE"/>
    <w:rsid w:val="47E2680D"/>
    <w:rsid w:val="47EBD424"/>
    <w:rsid w:val="47F2EBE6"/>
    <w:rsid w:val="47FAFA17"/>
    <w:rsid w:val="480800B1"/>
    <w:rsid w:val="480EA653"/>
    <w:rsid w:val="4815C199"/>
    <w:rsid w:val="4815CB38"/>
    <w:rsid w:val="48197A4F"/>
    <w:rsid w:val="481B969F"/>
    <w:rsid w:val="481E566E"/>
    <w:rsid w:val="481EBDCD"/>
    <w:rsid w:val="4826D3CA"/>
    <w:rsid w:val="482BD069"/>
    <w:rsid w:val="482D38B6"/>
    <w:rsid w:val="4843E32D"/>
    <w:rsid w:val="484ACAC3"/>
    <w:rsid w:val="484D4F9A"/>
    <w:rsid w:val="48574D47"/>
    <w:rsid w:val="4868E4EE"/>
    <w:rsid w:val="486BD94E"/>
    <w:rsid w:val="48711CF6"/>
    <w:rsid w:val="4899C5D5"/>
    <w:rsid w:val="48A24FCB"/>
    <w:rsid w:val="48A84247"/>
    <w:rsid w:val="48AA0DD6"/>
    <w:rsid w:val="48B55772"/>
    <w:rsid w:val="48BD3D95"/>
    <w:rsid w:val="48C14A39"/>
    <w:rsid w:val="48C2B2D6"/>
    <w:rsid w:val="48CC5199"/>
    <w:rsid w:val="48CD92ED"/>
    <w:rsid w:val="48CDD2A7"/>
    <w:rsid w:val="48D04F0C"/>
    <w:rsid w:val="48E8202D"/>
    <w:rsid w:val="48EFF457"/>
    <w:rsid w:val="48EFF56D"/>
    <w:rsid w:val="48F088EB"/>
    <w:rsid w:val="48F637DB"/>
    <w:rsid w:val="48F6D027"/>
    <w:rsid w:val="48FD32CE"/>
    <w:rsid w:val="4905B699"/>
    <w:rsid w:val="490C3CFC"/>
    <w:rsid w:val="490C949E"/>
    <w:rsid w:val="491DD0B6"/>
    <w:rsid w:val="491FB1A7"/>
    <w:rsid w:val="49236829"/>
    <w:rsid w:val="49244BCF"/>
    <w:rsid w:val="492766B3"/>
    <w:rsid w:val="492BB41B"/>
    <w:rsid w:val="493170F5"/>
    <w:rsid w:val="4937C62E"/>
    <w:rsid w:val="4944F9F1"/>
    <w:rsid w:val="494FE877"/>
    <w:rsid w:val="49516DC3"/>
    <w:rsid w:val="4953B0E3"/>
    <w:rsid w:val="4954CC1D"/>
    <w:rsid w:val="4958A69F"/>
    <w:rsid w:val="495D20DF"/>
    <w:rsid w:val="4961D89D"/>
    <w:rsid w:val="496A111F"/>
    <w:rsid w:val="4973974D"/>
    <w:rsid w:val="4977123C"/>
    <w:rsid w:val="49A6B692"/>
    <w:rsid w:val="49AB1427"/>
    <w:rsid w:val="49B293A1"/>
    <w:rsid w:val="49B5ADA2"/>
    <w:rsid w:val="49B76700"/>
    <w:rsid w:val="49C176A3"/>
    <w:rsid w:val="49C4EC4D"/>
    <w:rsid w:val="49D8DE31"/>
    <w:rsid w:val="49DD8D52"/>
    <w:rsid w:val="49DFE4D1"/>
    <w:rsid w:val="49EF58B2"/>
    <w:rsid w:val="49EFAD55"/>
    <w:rsid w:val="49F03158"/>
    <w:rsid w:val="49F38F74"/>
    <w:rsid w:val="49FDA61B"/>
    <w:rsid w:val="4A02797A"/>
    <w:rsid w:val="4A0A05BD"/>
    <w:rsid w:val="4A11F185"/>
    <w:rsid w:val="4A13D486"/>
    <w:rsid w:val="4A2EDD0B"/>
    <w:rsid w:val="4A3AB19C"/>
    <w:rsid w:val="4A3CC6F7"/>
    <w:rsid w:val="4A559CDE"/>
    <w:rsid w:val="4A5A3723"/>
    <w:rsid w:val="4A5BC819"/>
    <w:rsid w:val="4A6409C3"/>
    <w:rsid w:val="4A6A2EFA"/>
    <w:rsid w:val="4A7AF1B9"/>
    <w:rsid w:val="4A8A4BE3"/>
    <w:rsid w:val="4A8E0F9E"/>
    <w:rsid w:val="4A95D4E1"/>
    <w:rsid w:val="4A994BBA"/>
    <w:rsid w:val="4A9C3986"/>
    <w:rsid w:val="4AA45378"/>
    <w:rsid w:val="4AB62902"/>
    <w:rsid w:val="4AB9254A"/>
    <w:rsid w:val="4AC33714"/>
    <w:rsid w:val="4AD19641"/>
    <w:rsid w:val="4ADD969B"/>
    <w:rsid w:val="4AE10B87"/>
    <w:rsid w:val="4AE4A297"/>
    <w:rsid w:val="4AEA4EF0"/>
    <w:rsid w:val="4AEAAC90"/>
    <w:rsid w:val="4AECFA94"/>
    <w:rsid w:val="4AFE66ED"/>
    <w:rsid w:val="4B08A9A1"/>
    <w:rsid w:val="4B0A8D5F"/>
    <w:rsid w:val="4B229514"/>
    <w:rsid w:val="4B2EC33F"/>
    <w:rsid w:val="4B2FD33D"/>
    <w:rsid w:val="4B33FA0E"/>
    <w:rsid w:val="4B34A4D4"/>
    <w:rsid w:val="4B353BA5"/>
    <w:rsid w:val="4B362ED3"/>
    <w:rsid w:val="4B364EB0"/>
    <w:rsid w:val="4B37B503"/>
    <w:rsid w:val="4B39333B"/>
    <w:rsid w:val="4B40D31F"/>
    <w:rsid w:val="4B4A55B8"/>
    <w:rsid w:val="4B4AFCFA"/>
    <w:rsid w:val="4B4DEC02"/>
    <w:rsid w:val="4B5006B7"/>
    <w:rsid w:val="4B50D18A"/>
    <w:rsid w:val="4B533233"/>
    <w:rsid w:val="4B5DBE0F"/>
    <w:rsid w:val="4B839183"/>
    <w:rsid w:val="4B862F37"/>
    <w:rsid w:val="4B8B19AA"/>
    <w:rsid w:val="4B8D9285"/>
    <w:rsid w:val="4B98C44C"/>
    <w:rsid w:val="4B9A729B"/>
    <w:rsid w:val="4BAD0B27"/>
    <w:rsid w:val="4BB6CC27"/>
    <w:rsid w:val="4BBBA1FC"/>
    <w:rsid w:val="4BC33C09"/>
    <w:rsid w:val="4BC7F927"/>
    <w:rsid w:val="4BC94EFC"/>
    <w:rsid w:val="4BCB3D00"/>
    <w:rsid w:val="4BE737D8"/>
    <w:rsid w:val="4BEDE358"/>
    <w:rsid w:val="4BF40268"/>
    <w:rsid w:val="4BF597B9"/>
    <w:rsid w:val="4C0918A0"/>
    <w:rsid w:val="4C1BF2B2"/>
    <w:rsid w:val="4C1D25A6"/>
    <w:rsid w:val="4C1FEC1E"/>
    <w:rsid w:val="4C3CE7E6"/>
    <w:rsid w:val="4C40A6B5"/>
    <w:rsid w:val="4C4EA33E"/>
    <w:rsid w:val="4C4F4F84"/>
    <w:rsid w:val="4C528D85"/>
    <w:rsid w:val="4C77B044"/>
    <w:rsid w:val="4C79699D"/>
    <w:rsid w:val="4C8C824D"/>
    <w:rsid w:val="4C933F2B"/>
    <w:rsid w:val="4C9580FC"/>
    <w:rsid w:val="4C9A9697"/>
    <w:rsid w:val="4CA221EA"/>
    <w:rsid w:val="4CA229DE"/>
    <w:rsid w:val="4CAB93B7"/>
    <w:rsid w:val="4CAD89C1"/>
    <w:rsid w:val="4CAE9CC8"/>
    <w:rsid w:val="4CAEF193"/>
    <w:rsid w:val="4CBBABDF"/>
    <w:rsid w:val="4CC41A6A"/>
    <w:rsid w:val="4CCCFDBC"/>
    <w:rsid w:val="4CD00A5F"/>
    <w:rsid w:val="4CD41C99"/>
    <w:rsid w:val="4CD74F08"/>
    <w:rsid w:val="4CE4BBBD"/>
    <w:rsid w:val="4CE4E802"/>
    <w:rsid w:val="4CE6D60F"/>
    <w:rsid w:val="4CF842C7"/>
    <w:rsid w:val="4D029787"/>
    <w:rsid w:val="4D08E3C8"/>
    <w:rsid w:val="4D0D633F"/>
    <w:rsid w:val="4D0E37CB"/>
    <w:rsid w:val="4D11053F"/>
    <w:rsid w:val="4D11760D"/>
    <w:rsid w:val="4D1E72BB"/>
    <w:rsid w:val="4D201B2E"/>
    <w:rsid w:val="4D29C071"/>
    <w:rsid w:val="4D2FBFA0"/>
    <w:rsid w:val="4D31AB38"/>
    <w:rsid w:val="4D3E2684"/>
    <w:rsid w:val="4D44F8E5"/>
    <w:rsid w:val="4D53343B"/>
    <w:rsid w:val="4D5A5F42"/>
    <w:rsid w:val="4D68C626"/>
    <w:rsid w:val="4D6A9F83"/>
    <w:rsid w:val="4D745EBB"/>
    <w:rsid w:val="4D7481A3"/>
    <w:rsid w:val="4D8D69F6"/>
    <w:rsid w:val="4D8D94DD"/>
    <w:rsid w:val="4D92F54C"/>
    <w:rsid w:val="4D9A25AA"/>
    <w:rsid w:val="4DA0C4C5"/>
    <w:rsid w:val="4DA4E901"/>
    <w:rsid w:val="4DA8816B"/>
    <w:rsid w:val="4DAADB06"/>
    <w:rsid w:val="4DAB2BCA"/>
    <w:rsid w:val="4DAC5C71"/>
    <w:rsid w:val="4DAC5CD2"/>
    <w:rsid w:val="4DAD630E"/>
    <w:rsid w:val="4DBFB1A5"/>
    <w:rsid w:val="4DCA2F90"/>
    <w:rsid w:val="4DCD6722"/>
    <w:rsid w:val="4DD0EC7C"/>
    <w:rsid w:val="4DD4B9AD"/>
    <w:rsid w:val="4DD5EAAB"/>
    <w:rsid w:val="4DE35A07"/>
    <w:rsid w:val="4DE61FEE"/>
    <w:rsid w:val="4DE77F15"/>
    <w:rsid w:val="4DEBDD98"/>
    <w:rsid w:val="4DF606E6"/>
    <w:rsid w:val="4DF7D378"/>
    <w:rsid w:val="4DF90D51"/>
    <w:rsid w:val="4DFDFB31"/>
    <w:rsid w:val="4E0441E6"/>
    <w:rsid w:val="4E12B5AC"/>
    <w:rsid w:val="4E19300C"/>
    <w:rsid w:val="4E1DAF33"/>
    <w:rsid w:val="4E2025B5"/>
    <w:rsid w:val="4E20EB67"/>
    <w:rsid w:val="4E299654"/>
    <w:rsid w:val="4E3B36C8"/>
    <w:rsid w:val="4E40457A"/>
    <w:rsid w:val="4E441E68"/>
    <w:rsid w:val="4E44B650"/>
    <w:rsid w:val="4E4D383E"/>
    <w:rsid w:val="4E5D623B"/>
    <w:rsid w:val="4E5E599F"/>
    <w:rsid w:val="4E78E055"/>
    <w:rsid w:val="4E7F7742"/>
    <w:rsid w:val="4E7FFF5C"/>
    <w:rsid w:val="4E8142A8"/>
    <w:rsid w:val="4E833334"/>
    <w:rsid w:val="4E8DB20F"/>
    <w:rsid w:val="4E9866A5"/>
    <w:rsid w:val="4E98EF7C"/>
    <w:rsid w:val="4EA3BB34"/>
    <w:rsid w:val="4EAA533C"/>
    <w:rsid w:val="4EB02994"/>
    <w:rsid w:val="4EB8171A"/>
    <w:rsid w:val="4EBED8A5"/>
    <w:rsid w:val="4ED0650E"/>
    <w:rsid w:val="4EDA79E1"/>
    <w:rsid w:val="4EDCDBBC"/>
    <w:rsid w:val="4EE562A8"/>
    <w:rsid w:val="4F14907A"/>
    <w:rsid w:val="4F19A955"/>
    <w:rsid w:val="4F19B580"/>
    <w:rsid w:val="4F340D56"/>
    <w:rsid w:val="4F34EC03"/>
    <w:rsid w:val="4F39B1DA"/>
    <w:rsid w:val="4F45CDB4"/>
    <w:rsid w:val="4F68284A"/>
    <w:rsid w:val="4F6C3221"/>
    <w:rsid w:val="4F739D6F"/>
    <w:rsid w:val="4F77982F"/>
    <w:rsid w:val="4F7CF7A6"/>
    <w:rsid w:val="4F800E70"/>
    <w:rsid w:val="4F8AD91D"/>
    <w:rsid w:val="4F8B990B"/>
    <w:rsid w:val="4F8D7869"/>
    <w:rsid w:val="4F906056"/>
    <w:rsid w:val="4F94CCF6"/>
    <w:rsid w:val="4F97B1A8"/>
    <w:rsid w:val="4F9D3F1A"/>
    <w:rsid w:val="4FA5DAF1"/>
    <w:rsid w:val="4FB3B649"/>
    <w:rsid w:val="4FBD5183"/>
    <w:rsid w:val="4FC2008F"/>
    <w:rsid w:val="4FC21705"/>
    <w:rsid w:val="4FC6C3C4"/>
    <w:rsid w:val="4FC896A3"/>
    <w:rsid w:val="4FE350F1"/>
    <w:rsid w:val="4FE5F14B"/>
    <w:rsid w:val="4FE9E5A0"/>
    <w:rsid w:val="4FFA7F8F"/>
    <w:rsid w:val="50053ECC"/>
    <w:rsid w:val="500948E3"/>
    <w:rsid w:val="50151222"/>
    <w:rsid w:val="5018B48F"/>
    <w:rsid w:val="501E2E01"/>
    <w:rsid w:val="5027FA01"/>
    <w:rsid w:val="502C3033"/>
    <w:rsid w:val="50368023"/>
    <w:rsid w:val="503B93FF"/>
    <w:rsid w:val="503D0A2E"/>
    <w:rsid w:val="503DDA49"/>
    <w:rsid w:val="50409188"/>
    <w:rsid w:val="50409CD0"/>
    <w:rsid w:val="5041973E"/>
    <w:rsid w:val="504B24A4"/>
    <w:rsid w:val="5053CEC5"/>
    <w:rsid w:val="5055EF16"/>
    <w:rsid w:val="5059C4FE"/>
    <w:rsid w:val="505CAAB0"/>
    <w:rsid w:val="505DAF9E"/>
    <w:rsid w:val="505EF842"/>
    <w:rsid w:val="505FB57D"/>
    <w:rsid w:val="506447E9"/>
    <w:rsid w:val="506A39D8"/>
    <w:rsid w:val="506AFAEC"/>
    <w:rsid w:val="506B6040"/>
    <w:rsid w:val="50730661"/>
    <w:rsid w:val="50779D42"/>
    <w:rsid w:val="507EB1B1"/>
    <w:rsid w:val="508267BD"/>
    <w:rsid w:val="5086E36A"/>
    <w:rsid w:val="509D27F1"/>
    <w:rsid w:val="50A6F213"/>
    <w:rsid w:val="50B511D1"/>
    <w:rsid w:val="50C13068"/>
    <w:rsid w:val="50C45F3E"/>
    <w:rsid w:val="50CAE618"/>
    <w:rsid w:val="50CC25FC"/>
    <w:rsid w:val="50CD233D"/>
    <w:rsid w:val="50D5AE17"/>
    <w:rsid w:val="50D75B08"/>
    <w:rsid w:val="50D9CAA6"/>
    <w:rsid w:val="50DA0D0E"/>
    <w:rsid w:val="50DF57D5"/>
    <w:rsid w:val="50E1DEF5"/>
    <w:rsid w:val="50F48EE6"/>
    <w:rsid w:val="50F85824"/>
    <w:rsid w:val="5102B674"/>
    <w:rsid w:val="510448FF"/>
    <w:rsid w:val="51060E71"/>
    <w:rsid w:val="5108A7DF"/>
    <w:rsid w:val="510D2FC0"/>
    <w:rsid w:val="511A3ECA"/>
    <w:rsid w:val="5126F43E"/>
    <w:rsid w:val="513321EF"/>
    <w:rsid w:val="5136FA11"/>
    <w:rsid w:val="513B9A56"/>
    <w:rsid w:val="513FF26B"/>
    <w:rsid w:val="515A6461"/>
    <w:rsid w:val="5160A686"/>
    <w:rsid w:val="51680448"/>
    <w:rsid w:val="5170085B"/>
    <w:rsid w:val="517C5712"/>
    <w:rsid w:val="517E45C8"/>
    <w:rsid w:val="517EB74E"/>
    <w:rsid w:val="5181997D"/>
    <w:rsid w:val="5181E857"/>
    <w:rsid w:val="51894A53"/>
    <w:rsid w:val="518E0545"/>
    <w:rsid w:val="519D8822"/>
    <w:rsid w:val="519EE28F"/>
    <w:rsid w:val="519F14C1"/>
    <w:rsid w:val="51A1EAA5"/>
    <w:rsid w:val="51A5A04B"/>
    <w:rsid w:val="51A78DBC"/>
    <w:rsid w:val="51AECD9F"/>
    <w:rsid w:val="51B6DF0A"/>
    <w:rsid w:val="51BB69E3"/>
    <w:rsid w:val="51BCD8EA"/>
    <w:rsid w:val="51C28817"/>
    <w:rsid w:val="51C4CDD3"/>
    <w:rsid w:val="51C990D3"/>
    <w:rsid w:val="51CF5C72"/>
    <w:rsid w:val="51D0903E"/>
    <w:rsid w:val="51DF6DEF"/>
    <w:rsid w:val="51E64131"/>
    <w:rsid w:val="51EDA053"/>
    <w:rsid w:val="51F69DFC"/>
    <w:rsid w:val="51F843E2"/>
    <w:rsid w:val="51F97FFF"/>
    <w:rsid w:val="51FED6DF"/>
    <w:rsid w:val="5200184A"/>
    <w:rsid w:val="52037038"/>
    <w:rsid w:val="5209591C"/>
    <w:rsid w:val="520BB5CE"/>
    <w:rsid w:val="520C49F0"/>
    <w:rsid w:val="5218ED13"/>
    <w:rsid w:val="5219EF0A"/>
    <w:rsid w:val="5226A55E"/>
    <w:rsid w:val="5226DF54"/>
    <w:rsid w:val="52272CEF"/>
    <w:rsid w:val="5229BA6A"/>
    <w:rsid w:val="522C714D"/>
    <w:rsid w:val="522F6CA1"/>
    <w:rsid w:val="52362854"/>
    <w:rsid w:val="523D343D"/>
    <w:rsid w:val="52412562"/>
    <w:rsid w:val="5247B2BC"/>
    <w:rsid w:val="52552AE3"/>
    <w:rsid w:val="525C108E"/>
    <w:rsid w:val="526279DC"/>
    <w:rsid w:val="52635B1F"/>
    <w:rsid w:val="5267361A"/>
    <w:rsid w:val="52676564"/>
    <w:rsid w:val="5272620E"/>
    <w:rsid w:val="5273032B"/>
    <w:rsid w:val="52785A24"/>
    <w:rsid w:val="52847D54"/>
    <w:rsid w:val="528D8B3E"/>
    <w:rsid w:val="528FD7C4"/>
    <w:rsid w:val="5290B587"/>
    <w:rsid w:val="5290CF56"/>
    <w:rsid w:val="52913D32"/>
    <w:rsid w:val="529F4D34"/>
    <w:rsid w:val="52A1CC4A"/>
    <w:rsid w:val="52A3746B"/>
    <w:rsid w:val="52A508BF"/>
    <w:rsid w:val="52B74B89"/>
    <w:rsid w:val="52B7AF32"/>
    <w:rsid w:val="52BA3AF8"/>
    <w:rsid w:val="52BEB8B0"/>
    <w:rsid w:val="52C7D1BD"/>
    <w:rsid w:val="52C8E1DC"/>
    <w:rsid w:val="52CF2D8A"/>
    <w:rsid w:val="52CFEE9E"/>
    <w:rsid w:val="52E66088"/>
    <w:rsid w:val="52EDF0E9"/>
    <w:rsid w:val="52F8574A"/>
    <w:rsid w:val="52FE6EB8"/>
    <w:rsid w:val="52FEB8E7"/>
    <w:rsid w:val="5306F94C"/>
    <w:rsid w:val="53085E05"/>
    <w:rsid w:val="530F7F96"/>
    <w:rsid w:val="53218662"/>
    <w:rsid w:val="5326A967"/>
    <w:rsid w:val="53338829"/>
    <w:rsid w:val="53442837"/>
    <w:rsid w:val="534AF895"/>
    <w:rsid w:val="534F0FC9"/>
    <w:rsid w:val="535E129B"/>
    <w:rsid w:val="53683826"/>
    <w:rsid w:val="5369A9AB"/>
    <w:rsid w:val="5370150A"/>
    <w:rsid w:val="537C89EC"/>
    <w:rsid w:val="537EC671"/>
    <w:rsid w:val="5387DE0A"/>
    <w:rsid w:val="53A294C6"/>
    <w:rsid w:val="53A58480"/>
    <w:rsid w:val="53A798F4"/>
    <w:rsid w:val="53BC0591"/>
    <w:rsid w:val="53BEE4C8"/>
    <w:rsid w:val="53C69AC2"/>
    <w:rsid w:val="53D2A97C"/>
    <w:rsid w:val="53D33D7C"/>
    <w:rsid w:val="53D57238"/>
    <w:rsid w:val="53DB2658"/>
    <w:rsid w:val="53DD426E"/>
    <w:rsid w:val="53E4634E"/>
    <w:rsid w:val="53ECF1E9"/>
    <w:rsid w:val="53EE59BA"/>
    <w:rsid w:val="53F098ED"/>
    <w:rsid w:val="53FE56E2"/>
    <w:rsid w:val="540FDFBD"/>
    <w:rsid w:val="541324EB"/>
    <w:rsid w:val="5420BDC2"/>
    <w:rsid w:val="543020F4"/>
    <w:rsid w:val="5430C345"/>
    <w:rsid w:val="543B88F6"/>
    <w:rsid w:val="5446E51B"/>
    <w:rsid w:val="54473D00"/>
    <w:rsid w:val="544DCF57"/>
    <w:rsid w:val="545296A2"/>
    <w:rsid w:val="545D0B48"/>
    <w:rsid w:val="545D9F6A"/>
    <w:rsid w:val="545F0A2E"/>
    <w:rsid w:val="545F6113"/>
    <w:rsid w:val="5463CA91"/>
    <w:rsid w:val="5463D179"/>
    <w:rsid w:val="5464C1D8"/>
    <w:rsid w:val="546B3421"/>
    <w:rsid w:val="547AFF4E"/>
    <w:rsid w:val="54803634"/>
    <w:rsid w:val="54870C26"/>
    <w:rsid w:val="548AEF89"/>
    <w:rsid w:val="548C5879"/>
    <w:rsid w:val="5498F207"/>
    <w:rsid w:val="54993D75"/>
    <w:rsid w:val="549AC2C9"/>
    <w:rsid w:val="549F356C"/>
    <w:rsid w:val="54A2AB71"/>
    <w:rsid w:val="54A9756F"/>
    <w:rsid w:val="54C0EB15"/>
    <w:rsid w:val="54C3E02A"/>
    <w:rsid w:val="54C5C8FB"/>
    <w:rsid w:val="54D80FA1"/>
    <w:rsid w:val="54D8F393"/>
    <w:rsid w:val="54DAE6E1"/>
    <w:rsid w:val="54DBCE04"/>
    <w:rsid w:val="54DFF898"/>
    <w:rsid w:val="54E52FC1"/>
    <w:rsid w:val="54EEB6BC"/>
    <w:rsid w:val="54F0996C"/>
    <w:rsid w:val="54FA3382"/>
    <w:rsid w:val="5501A039"/>
    <w:rsid w:val="550ADC90"/>
    <w:rsid w:val="550C036C"/>
    <w:rsid w:val="550D0264"/>
    <w:rsid w:val="551A4CB8"/>
    <w:rsid w:val="551B0D54"/>
    <w:rsid w:val="552751E1"/>
    <w:rsid w:val="55351056"/>
    <w:rsid w:val="553733CC"/>
    <w:rsid w:val="5542D617"/>
    <w:rsid w:val="554A3A0D"/>
    <w:rsid w:val="554F37AF"/>
    <w:rsid w:val="5553F053"/>
    <w:rsid w:val="555A59A8"/>
    <w:rsid w:val="555B9B46"/>
    <w:rsid w:val="555BDAF3"/>
    <w:rsid w:val="55718819"/>
    <w:rsid w:val="55785003"/>
    <w:rsid w:val="5590B593"/>
    <w:rsid w:val="5595ECB2"/>
    <w:rsid w:val="559C795A"/>
    <w:rsid w:val="55A7F34C"/>
    <w:rsid w:val="55B00CC4"/>
    <w:rsid w:val="55B87BBF"/>
    <w:rsid w:val="55BD3D9E"/>
    <w:rsid w:val="55D4BD23"/>
    <w:rsid w:val="55D77DB5"/>
    <w:rsid w:val="55DB8524"/>
    <w:rsid w:val="55DDC140"/>
    <w:rsid w:val="55DF2377"/>
    <w:rsid w:val="55E11BB5"/>
    <w:rsid w:val="55E303D3"/>
    <w:rsid w:val="55E4142F"/>
    <w:rsid w:val="55F6B738"/>
    <w:rsid w:val="55FA5E84"/>
    <w:rsid w:val="5603669C"/>
    <w:rsid w:val="56070482"/>
    <w:rsid w:val="560B4204"/>
    <w:rsid w:val="560E4422"/>
    <w:rsid w:val="560F8CE3"/>
    <w:rsid w:val="5615B777"/>
    <w:rsid w:val="561A4128"/>
    <w:rsid w:val="561F2B3B"/>
    <w:rsid w:val="56290828"/>
    <w:rsid w:val="562BFD4C"/>
    <w:rsid w:val="562C2E2F"/>
    <w:rsid w:val="5639664F"/>
    <w:rsid w:val="563FFAD4"/>
    <w:rsid w:val="5641F299"/>
    <w:rsid w:val="564A740C"/>
    <w:rsid w:val="565733B6"/>
    <w:rsid w:val="565B723D"/>
    <w:rsid w:val="5662E4AF"/>
    <w:rsid w:val="566CB040"/>
    <w:rsid w:val="5673A4D1"/>
    <w:rsid w:val="567A370D"/>
    <w:rsid w:val="567A5FD1"/>
    <w:rsid w:val="567AEBA6"/>
    <w:rsid w:val="567D92BB"/>
    <w:rsid w:val="567E221A"/>
    <w:rsid w:val="568452A5"/>
    <w:rsid w:val="56896A0A"/>
    <w:rsid w:val="568C9920"/>
    <w:rsid w:val="568D417C"/>
    <w:rsid w:val="568F564C"/>
    <w:rsid w:val="568FCA3D"/>
    <w:rsid w:val="56953F49"/>
    <w:rsid w:val="569603E3"/>
    <w:rsid w:val="56A2F748"/>
    <w:rsid w:val="56A6CE8A"/>
    <w:rsid w:val="56A82D32"/>
    <w:rsid w:val="56AC3EB2"/>
    <w:rsid w:val="56B698F7"/>
    <w:rsid w:val="56BBB64B"/>
    <w:rsid w:val="56BD723F"/>
    <w:rsid w:val="56BF4EBF"/>
    <w:rsid w:val="56C22BB8"/>
    <w:rsid w:val="56C8D911"/>
    <w:rsid w:val="56CDF5F7"/>
    <w:rsid w:val="56D027D3"/>
    <w:rsid w:val="56D2AF20"/>
    <w:rsid w:val="56DBF840"/>
    <w:rsid w:val="56DF4E9C"/>
    <w:rsid w:val="56E0132D"/>
    <w:rsid w:val="56F8150C"/>
    <w:rsid w:val="56FD9C6D"/>
    <w:rsid w:val="570723C4"/>
    <w:rsid w:val="57074490"/>
    <w:rsid w:val="570A3C30"/>
    <w:rsid w:val="570E2C80"/>
    <w:rsid w:val="57119760"/>
    <w:rsid w:val="57163397"/>
    <w:rsid w:val="572CEAB3"/>
    <w:rsid w:val="57359479"/>
    <w:rsid w:val="573B5DAD"/>
    <w:rsid w:val="574579C1"/>
    <w:rsid w:val="5746439C"/>
    <w:rsid w:val="57503325"/>
    <w:rsid w:val="575064AA"/>
    <w:rsid w:val="575C414F"/>
    <w:rsid w:val="57615456"/>
    <w:rsid w:val="5763C3B9"/>
    <w:rsid w:val="57643383"/>
    <w:rsid w:val="57645E56"/>
    <w:rsid w:val="577BC1C9"/>
    <w:rsid w:val="577EA2A1"/>
    <w:rsid w:val="577F75F3"/>
    <w:rsid w:val="57814CDA"/>
    <w:rsid w:val="5789804E"/>
    <w:rsid w:val="57983EF1"/>
    <w:rsid w:val="579B9793"/>
    <w:rsid w:val="579D6A79"/>
    <w:rsid w:val="57A0DEC0"/>
    <w:rsid w:val="57AC3782"/>
    <w:rsid w:val="57B2A010"/>
    <w:rsid w:val="57BA071D"/>
    <w:rsid w:val="57C0558D"/>
    <w:rsid w:val="57C09289"/>
    <w:rsid w:val="57C19EB6"/>
    <w:rsid w:val="57C74B64"/>
    <w:rsid w:val="57CBC86D"/>
    <w:rsid w:val="57CD842D"/>
    <w:rsid w:val="57CE1F00"/>
    <w:rsid w:val="57D4C259"/>
    <w:rsid w:val="57E43769"/>
    <w:rsid w:val="57E46430"/>
    <w:rsid w:val="57E90085"/>
    <w:rsid w:val="57EE2271"/>
    <w:rsid w:val="57FD69BD"/>
    <w:rsid w:val="580B0BED"/>
    <w:rsid w:val="581073F4"/>
    <w:rsid w:val="58138F46"/>
    <w:rsid w:val="58163B34"/>
    <w:rsid w:val="5816AADD"/>
    <w:rsid w:val="58250B99"/>
    <w:rsid w:val="582CE70A"/>
    <w:rsid w:val="582F882F"/>
    <w:rsid w:val="5836F3CD"/>
    <w:rsid w:val="5837D196"/>
    <w:rsid w:val="583AE804"/>
    <w:rsid w:val="5851ED7A"/>
    <w:rsid w:val="585E5A02"/>
    <w:rsid w:val="58624F76"/>
    <w:rsid w:val="58774754"/>
    <w:rsid w:val="5879774C"/>
    <w:rsid w:val="58812C97"/>
    <w:rsid w:val="5881BA79"/>
    <w:rsid w:val="588ACA0A"/>
    <w:rsid w:val="588C1F2F"/>
    <w:rsid w:val="588F76B4"/>
    <w:rsid w:val="5894D525"/>
    <w:rsid w:val="589A49CC"/>
    <w:rsid w:val="589F1783"/>
    <w:rsid w:val="58A4EE86"/>
    <w:rsid w:val="58C73D90"/>
    <w:rsid w:val="58CFA347"/>
    <w:rsid w:val="58CFF92C"/>
    <w:rsid w:val="58DE1641"/>
    <w:rsid w:val="58EB98C3"/>
    <w:rsid w:val="58F48D26"/>
    <w:rsid w:val="58F8E722"/>
    <w:rsid w:val="58FC328A"/>
    <w:rsid w:val="58FF941A"/>
    <w:rsid w:val="591416B5"/>
    <w:rsid w:val="59220ACD"/>
    <w:rsid w:val="592607C5"/>
    <w:rsid w:val="59297C7C"/>
    <w:rsid w:val="592D3F10"/>
    <w:rsid w:val="5932A21F"/>
    <w:rsid w:val="59397167"/>
    <w:rsid w:val="593AAD14"/>
    <w:rsid w:val="593B8923"/>
    <w:rsid w:val="593E14FF"/>
    <w:rsid w:val="593EA544"/>
    <w:rsid w:val="593F71A8"/>
    <w:rsid w:val="5944F875"/>
    <w:rsid w:val="5946B023"/>
    <w:rsid w:val="594CAA11"/>
    <w:rsid w:val="594E7071"/>
    <w:rsid w:val="5956B2DA"/>
    <w:rsid w:val="595C8B3F"/>
    <w:rsid w:val="596277FD"/>
    <w:rsid w:val="596F7253"/>
    <w:rsid w:val="59735411"/>
    <w:rsid w:val="59753201"/>
    <w:rsid w:val="597B57C1"/>
    <w:rsid w:val="597C9E4C"/>
    <w:rsid w:val="59A12EDD"/>
    <w:rsid w:val="59AB6555"/>
    <w:rsid w:val="59C3A4B8"/>
    <w:rsid w:val="59C3FC1C"/>
    <w:rsid w:val="59C9DE75"/>
    <w:rsid w:val="59CEFD5B"/>
    <w:rsid w:val="59CF8C24"/>
    <w:rsid w:val="59D1DA98"/>
    <w:rsid w:val="59D2D011"/>
    <w:rsid w:val="59D64E13"/>
    <w:rsid w:val="59D72404"/>
    <w:rsid w:val="59D7CD3E"/>
    <w:rsid w:val="59EC9103"/>
    <w:rsid w:val="5A01DB4B"/>
    <w:rsid w:val="5A0B0131"/>
    <w:rsid w:val="5A102746"/>
    <w:rsid w:val="5A11DD32"/>
    <w:rsid w:val="5A1317B5"/>
    <w:rsid w:val="5A139902"/>
    <w:rsid w:val="5A1418CD"/>
    <w:rsid w:val="5A172F48"/>
    <w:rsid w:val="5A1AB3A9"/>
    <w:rsid w:val="5A1D8ADA"/>
    <w:rsid w:val="5A218AF2"/>
    <w:rsid w:val="5A29EA6C"/>
    <w:rsid w:val="5A366C08"/>
    <w:rsid w:val="5A399DC0"/>
    <w:rsid w:val="5A3FAC9D"/>
    <w:rsid w:val="5A440B3B"/>
    <w:rsid w:val="5A493512"/>
    <w:rsid w:val="5A5634D2"/>
    <w:rsid w:val="5A5A2D30"/>
    <w:rsid w:val="5A5C6A8E"/>
    <w:rsid w:val="5A60AD5F"/>
    <w:rsid w:val="5A65D0BB"/>
    <w:rsid w:val="5A6D24A1"/>
    <w:rsid w:val="5A7C61CA"/>
    <w:rsid w:val="5A8017C2"/>
    <w:rsid w:val="5A876924"/>
    <w:rsid w:val="5A8842D5"/>
    <w:rsid w:val="5AA85457"/>
    <w:rsid w:val="5AAD0990"/>
    <w:rsid w:val="5AAD3DA1"/>
    <w:rsid w:val="5AAF96C8"/>
    <w:rsid w:val="5AAFDC3B"/>
    <w:rsid w:val="5AB20860"/>
    <w:rsid w:val="5AB544A3"/>
    <w:rsid w:val="5ABD2B51"/>
    <w:rsid w:val="5AC65582"/>
    <w:rsid w:val="5AD63938"/>
    <w:rsid w:val="5AD95ADE"/>
    <w:rsid w:val="5ADF7DDF"/>
    <w:rsid w:val="5AE31749"/>
    <w:rsid w:val="5AEA5459"/>
    <w:rsid w:val="5AF88DF8"/>
    <w:rsid w:val="5AFB5882"/>
    <w:rsid w:val="5AFDABB7"/>
    <w:rsid w:val="5B08F0D8"/>
    <w:rsid w:val="5B0D9294"/>
    <w:rsid w:val="5B1362F4"/>
    <w:rsid w:val="5B20CA4E"/>
    <w:rsid w:val="5B2ADA20"/>
    <w:rsid w:val="5B423B20"/>
    <w:rsid w:val="5B496B9D"/>
    <w:rsid w:val="5B4DA0D5"/>
    <w:rsid w:val="5B51118A"/>
    <w:rsid w:val="5B56416F"/>
    <w:rsid w:val="5B57C26B"/>
    <w:rsid w:val="5B62786C"/>
    <w:rsid w:val="5B631F63"/>
    <w:rsid w:val="5B632272"/>
    <w:rsid w:val="5B67C876"/>
    <w:rsid w:val="5B69B53A"/>
    <w:rsid w:val="5B7A39B8"/>
    <w:rsid w:val="5B87D1C0"/>
    <w:rsid w:val="5B89B81B"/>
    <w:rsid w:val="5B8D7EF9"/>
    <w:rsid w:val="5B98063D"/>
    <w:rsid w:val="5B9ED5E9"/>
    <w:rsid w:val="5BA2CEAD"/>
    <w:rsid w:val="5BA4FC70"/>
    <w:rsid w:val="5BAEB4CD"/>
    <w:rsid w:val="5BB1F41A"/>
    <w:rsid w:val="5BBB9456"/>
    <w:rsid w:val="5BBE40DB"/>
    <w:rsid w:val="5BC119A0"/>
    <w:rsid w:val="5BC12E0B"/>
    <w:rsid w:val="5BC7DD77"/>
    <w:rsid w:val="5BCE55F1"/>
    <w:rsid w:val="5BD8BFF1"/>
    <w:rsid w:val="5BD987B8"/>
    <w:rsid w:val="5BDC8A09"/>
    <w:rsid w:val="5BE84AE4"/>
    <w:rsid w:val="5BF36245"/>
    <w:rsid w:val="5BF8DA89"/>
    <w:rsid w:val="5BFC8EA6"/>
    <w:rsid w:val="5C0FD6A7"/>
    <w:rsid w:val="5C13ECBC"/>
    <w:rsid w:val="5C1806AF"/>
    <w:rsid w:val="5C1E90AE"/>
    <w:rsid w:val="5C2CD84E"/>
    <w:rsid w:val="5C315C56"/>
    <w:rsid w:val="5C417DF8"/>
    <w:rsid w:val="5C47556B"/>
    <w:rsid w:val="5C4B349B"/>
    <w:rsid w:val="5C518443"/>
    <w:rsid w:val="5C542E3A"/>
    <w:rsid w:val="5C581B58"/>
    <w:rsid w:val="5C58EE41"/>
    <w:rsid w:val="5C5A0188"/>
    <w:rsid w:val="5C5B5E98"/>
    <w:rsid w:val="5C5F5C17"/>
    <w:rsid w:val="5C60AD25"/>
    <w:rsid w:val="5C67D29B"/>
    <w:rsid w:val="5C69562F"/>
    <w:rsid w:val="5C6B4E6F"/>
    <w:rsid w:val="5C70D882"/>
    <w:rsid w:val="5C7D0CAB"/>
    <w:rsid w:val="5C8624BA"/>
    <w:rsid w:val="5C8A8E4C"/>
    <w:rsid w:val="5C902281"/>
    <w:rsid w:val="5C994126"/>
    <w:rsid w:val="5C9955ED"/>
    <w:rsid w:val="5C997894"/>
    <w:rsid w:val="5CA6E52E"/>
    <w:rsid w:val="5CA89CF8"/>
    <w:rsid w:val="5CBA0C1C"/>
    <w:rsid w:val="5CC15E70"/>
    <w:rsid w:val="5CCDB976"/>
    <w:rsid w:val="5CD3E79C"/>
    <w:rsid w:val="5CDD0E91"/>
    <w:rsid w:val="5CE257A8"/>
    <w:rsid w:val="5D0C23B1"/>
    <w:rsid w:val="5D0F3CEE"/>
    <w:rsid w:val="5D1068B7"/>
    <w:rsid w:val="5D15F0B9"/>
    <w:rsid w:val="5D265D43"/>
    <w:rsid w:val="5D2676C1"/>
    <w:rsid w:val="5D270134"/>
    <w:rsid w:val="5D274597"/>
    <w:rsid w:val="5D299114"/>
    <w:rsid w:val="5D3A8A3A"/>
    <w:rsid w:val="5D40E93B"/>
    <w:rsid w:val="5D418986"/>
    <w:rsid w:val="5D44D120"/>
    <w:rsid w:val="5D48A546"/>
    <w:rsid w:val="5D66543B"/>
    <w:rsid w:val="5D6A90F9"/>
    <w:rsid w:val="5D76646B"/>
    <w:rsid w:val="5D7CDB94"/>
    <w:rsid w:val="5D80D5D4"/>
    <w:rsid w:val="5D820064"/>
    <w:rsid w:val="5D9CFA3C"/>
    <w:rsid w:val="5DA53928"/>
    <w:rsid w:val="5DC0D9BC"/>
    <w:rsid w:val="5DC1B3A0"/>
    <w:rsid w:val="5DC5E9DB"/>
    <w:rsid w:val="5DCB3247"/>
    <w:rsid w:val="5DD1988C"/>
    <w:rsid w:val="5DEC2D9A"/>
    <w:rsid w:val="5DF672D5"/>
    <w:rsid w:val="5E007511"/>
    <w:rsid w:val="5E07CFEA"/>
    <w:rsid w:val="5E1F48BF"/>
    <w:rsid w:val="5E2D3883"/>
    <w:rsid w:val="5E314F92"/>
    <w:rsid w:val="5E38623E"/>
    <w:rsid w:val="5E3ED877"/>
    <w:rsid w:val="5E3F2D9A"/>
    <w:rsid w:val="5E41BE43"/>
    <w:rsid w:val="5E5D1E06"/>
    <w:rsid w:val="5E603004"/>
    <w:rsid w:val="5E62833A"/>
    <w:rsid w:val="5E817BC5"/>
    <w:rsid w:val="5E84BCB5"/>
    <w:rsid w:val="5E8E3D73"/>
    <w:rsid w:val="5E91FBD5"/>
    <w:rsid w:val="5E9B145E"/>
    <w:rsid w:val="5EA0F439"/>
    <w:rsid w:val="5EA13F1F"/>
    <w:rsid w:val="5EA8827F"/>
    <w:rsid w:val="5EACE893"/>
    <w:rsid w:val="5EB3BB3F"/>
    <w:rsid w:val="5EB48BB2"/>
    <w:rsid w:val="5EB68633"/>
    <w:rsid w:val="5ED4137E"/>
    <w:rsid w:val="5EDB39B8"/>
    <w:rsid w:val="5EDD2BE1"/>
    <w:rsid w:val="5EE9BE60"/>
    <w:rsid w:val="5EF1783C"/>
    <w:rsid w:val="5EF3A8DF"/>
    <w:rsid w:val="5EF3DD15"/>
    <w:rsid w:val="5EFDD95D"/>
    <w:rsid w:val="5F050D01"/>
    <w:rsid w:val="5F1A8E41"/>
    <w:rsid w:val="5F282ED4"/>
    <w:rsid w:val="5F2E3E7D"/>
    <w:rsid w:val="5F3F5E21"/>
    <w:rsid w:val="5F40BC6C"/>
    <w:rsid w:val="5F459E48"/>
    <w:rsid w:val="5F4DCE61"/>
    <w:rsid w:val="5F518D55"/>
    <w:rsid w:val="5F531E0C"/>
    <w:rsid w:val="5F546260"/>
    <w:rsid w:val="5F557721"/>
    <w:rsid w:val="5F5D9AC7"/>
    <w:rsid w:val="5F5F7C7A"/>
    <w:rsid w:val="5F61B987"/>
    <w:rsid w:val="5F71A5D0"/>
    <w:rsid w:val="5F79405C"/>
    <w:rsid w:val="5F8B59FB"/>
    <w:rsid w:val="5F9081FE"/>
    <w:rsid w:val="5F94AD15"/>
    <w:rsid w:val="5F94FD0F"/>
    <w:rsid w:val="5F97F026"/>
    <w:rsid w:val="5F9CB5CF"/>
    <w:rsid w:val="5FA28D9E"/>
    <w:rsid w:val="5FA45550"/>
    <w:rsid w:val="5FB2EF02"/>
    <w:rsid w:val="5FBDCD78"/>
    <w:rsid w:val="5FC9D06A"/>
    <w:rsid w:val="5FCB4B28"/>
    <w:rsid w:val="5FCBC0B5"/>
    <w:rsid w:val="5FD38419"/>
    <w:rsid w:val="5FDABDC7"/>
    <w:rsid w:val="5FE6A41B"/>
    <w:rsid w:val="5FECBF95"/>
    <w:rsid w:val="5FF51879"/>
    <w:rsid w:val="5FF5C422"/>
    <w:rsid w:val="600498A0"/>
    <w:rsid w:val="600C67D7"/>
    <w:rsid w:val="600E8911"/>
    <w:rsid w:val="6014A3D9"/>
    <w:rsid w:val="601F3458"/>
    <w:rsid w:val="6025C636"/>
    <w:rsid w:val="6026A408"/>
    <w:rsid w:val="602EBF60"/>
    <w:rsid w:val="602FCFEE"/>
    <w:rsid w:val="60319058"/>
    <w:rsid w:val="6033E24F"/>
    <w:rsid w:val="603A7A05"/>
    <w:rsid w:val="6050E2E8"/>
    <w:rsid w:val="6064A9E0"/>
    <w:rsid w:val="606A8ED9"/>
    <w:rsid w:val="60703CC1"/>
    <w:rsid w:val="60735896"/>
    <w:rsid w:val="60848931"/>
    <w:rsid w:val="60859C12"/>
    <w:rsid w:val="608EEED7"/>
    <w:rsid w:val="608F6BAB"/>
    <w:rsid w:val="609A327E"/>
    <w:rsid w:val="60A725D7"/>
    <w:rsid w:val="60AEFF0A"/>
    <w:rsid w:val="60B2CB49"/>
    <w:rsid w:val="60B55C26"/>
    <w:rsid w:val="60B6DA82"/>
    <w:rsid w:val="60C1476F"/>
    <w:rsid w:val="60C36651"/>
    <w:rsid w:val="60CFEEE3"/>
    <w:rsid w:val="60D3D023"/>
    <w:rsid w:val="60D474DF"/>
    <w:rsid w:val="60D75AB3"/>
    <w:rsid w:val="60DA970A"/>
    <w:rsid w:val="60E346FD"/>
    <w:rsid w:val="60E6D5C8"/>
    <w:rsid w:val="60F39A9B"/>
    <w:rsid w:val="60FA55C4"/>
    <w:rsid w:val="60FF67F5"/>
    <w:rsid w:val="61087DFD"/>
    <w:rsid w:val="610A8690"/>
    <w:rsid w:val="611320F9"/>
    <w:rsid w:val="6118C753"/>
    <w:rsid w:val="611C2109"/>
    <w:rsid w:val="6120CF32"/>
    <w:rsid w:val="612603BF"/>
    <w:rsid w:val="612C0278"/>
    <w:rsid w:val="613A93FA"/>
    <w:rsid w:val="613BE764"/>
    <w:rsid w:val="614586B4"/>
    <w:rsid w:val="614A4207"/>
    <w:rsid w:val="614D98C3"/>
    <w:rsid w:val="6159B677"/>
    <w:rsid w:val="6161CF57"/>
    <w:rsid w:val="616654BA"/>
    <w:rsid w:val="61752826"/>
    <w:rsid w:val="6186D9E2"/>
    <w:rsid w:val="618A6307"/>
    <w:rsid w:val="618B65E4"/>
    <w:rsid w:val="618E9110"/>
    <w:rsid w:val="6194401C"/>
    <w:rsid w:val="619E13ED"/>
    <w:rsid w:val="61A3E02F"/>
    <w:rsid w:val="61A9003D"/>
    <w:rsid w:val="61C44542"/>
    <w:rsid w:val="61C61268"/>
    <w:rsid w:val="61CD094D"/>
    <w:rsid w:val="61D86A37"/>
    <w:rsid w:val="61E20F2C"/>
    <w:rsid w:val="61E781A2"/>
    <w:rsid w:val="61E9BD94"/>
    <w:rsid w:val="61F73D35"/>
    <w:rsid w:val="62118AC7"/>
    <w:rsid w:val="62184243"/>
    <w:rsid w:val="62216C73"/>
    <w:rsid w:val="6225B0F8"/>
    <w:rsid w:val="6232DF16"/>
    <w:rsid w:val="623FB42A"/>
    <w:rsid w:val="6241B61F"/>
    <w:rsid w:val="6245F6C8"/>
    <w:rsid w:val="6258632C"/>
    <w:rsid w:val="62690F69"/>
    <w:rsid w:val="6269FA59"/>
    <w:rsid w:val="626EDAB2"/>
    <w:rsid w:val="627CD7C5"/>
    <w:rsid w:val="628294F8"/>
    <w:rsid w:val="62841B0A"/>
    <w:rsid w:val="628CE548"/>
    <w:rsid w:val="628F03C3"/>
    <w:rsid w:val="6292A905"/>
    <w:rsid w:val="62939FE9"/>
    <w:rsid w:val="6296FEC7"/>
    <w:rsid w:val="62984C17"/>
    <w:rsid w:val="629866A7"/>
    <w:rsid w:val="6299331F"/>
    <w:rsid w:val="629AF53B"/>
    <w:rsid w:val="62A53082"/>
    <w:rsid w:val="62B1CAFF"/>
    <w:rsid w:val="62B4BD53"/>
    <w:rsid w:val="62BD1AAB"/>
    <w:rsid w:val="62BF23EB"/>
    <w:rsid w:val="62C8B34D"/>
    <w:rsid w:val="62CBB4E3"/>
    <w:rsid w:val="62CFC0F6"/>
    <w:rsid w:val="62D39435"/>
    <w:rsid w:val="62DFE2E0"/>
    <w:rsid w:val="62E26B69"/>
    <w:rsid w:val="62E6055E"/>
    <w:rsid w:val="62EEA699"/>
    <w:rsid w:val="62F0D6AA"/>
    <w:rsid w:val="62F1B113"/>
    <w:rsid w:val="630594CB"/>
    <w:rsid w:val="6310F992"/>
    <w:rsid w:val="6313E245"/>
    <w:rsid w:val="63171F0E"/>
    <w:rsid w:val="633D091E"/>
    <w:rsid w:val="634809EA"/>
    <w:rsid w:val="634E4853"/>
    <w:rsid w:val="634F6105"/>
    <w:rsid w:val="6352B168"/>
    <w:rsid w:val="6359F4B7"/>
    <w:rsid w:val="635A9014"/>
    <w:rsid w:val="635A9C7C"/>
    <w:rsid w:val="635D4B25"/>
    <w:rsid w:val="635DC9E1"/>
    <w:rsid w:val="635FCDA2"/>
    <w:rsid w:val="63708C55"/>
    <w:rsid w:val="63723AD6"/>
    <w:rsid w:val="637C65ED"/>
    <w:rsid w:val="6381E941"/>
    <w:rsid w:val="6382305E"/>
    <w:rsid w:val="638D74AB"/>
    <w:rsid w:val="63953522"/>
    <w:rsid w:val="63A9A109"/>
    <w:rsid w:val="63AEB4D4"/>
    <w:rsid w:val="63B8B890"/>
    <w:rsid w:val="63BD05FF"/>
    <w:rsid w:val="63C836E4"/>
    <w:rsid w:val="63CCA6AC"/>
    <w:rsid w:val="63CDA7E2"/>
    <w:rsid w:val="63CE15BE"/>
    <w:rsid w:val="63D1E7D5"/>
    <w:rsid w:val="63E3B0A7"/>
    <w:rsid w:val="63EC02DF"/>
    <w:rsid w:val="63F162AB"/>
    <w:rsid w:val="63F622A2"/>
    <w:rsid w:val="63F655C1"/>
    <w:rsid w:val="63FC571D"/>
    <w:rsid w:val="640959BA"/>
    <w:rsid w:val="6409EB69"/>
    <w:rsid w:val="640F8E11"/>
    <w:rsid w:val="64140F87"/>
    <w:rsid w:val="64219451"/>
    <w:rsid w:val="642472FB"/>
    <w:rsid w:val="642DA37B"/>
    <w:rsid w:val="642FD832"/>
    <w:rsid w:val="6431B85D"/>
    <w:rsid w:val="64341C7D"/>
    <w:rsid w:val="644FF245"/>
    <w:rsid w:val="646F0CEE"/>
    <w:rsid w:val="6473C334"/>
    <w:rsid w:val="6475F99F"/>
    <w:rsid w:val="648B9F72"/>
    <w:rsid w:val="64912318"/>
    <w:rsid w:val="64948583"/>
    <w:rsid w:val="64A3AB8A"/>
    <w:rsid w:val="64A3DE18"/>
    <w:rsid w:val="64AD6B5C"/>
    <w:rsid w:val="64B38F57"/>
    <w:rsid w:val="64B56595"/>
    <w:rsid w:val="64B7B999"/>
    <w:rsid w:val="64BA345F"/>
    <w:rsid w:val="64C1FEEC"/>
    <w:rsid w:val="64D12FF9"/>
    <w:rsid w:val="64D654FE"/>
    <w:rsid w:val="64D72714"/>
    <w:rsid w:val="64E065DE"/>
    <w:rsid w:val="64EB9CBC"/>
    <w:rsid w:val="64F04F53"/>
    <w:rsid w:val="64F5E77B"/>
    <w:rsid w:val="64F60F1D"/>
    <w:rsid w:val="64F8B87E"/>
    <w:rsid w:val="64F8DA00"/>
    <w:rsid w:val="64FCCC04"/>
    <w:rsid w:val="64FD687E"/>
    <w:rsid w:val="65074CAB"/>
    <w:rsid w:val="65079638"/>
    <w:rsid w:val="6510C7DA"/>
    <w:rsid w:val="6515B59A"/>
    <w:rsid w:val="6518192C"/>
    <w:rsid w:val="6529885F"/>
    <w:rsid w:val="652B31FD"/>
    <w:rsid w:val="6537839B"/>
    <w:rsid w:val="65435502"/>
    <w:rsid w:val="6555EE26"/>
    <w:rsid w:val="65564E7E"/>
    <w:rsid w:val="65580567"/>
    <w:rsid w:val="65590D35"/>
    <w:rsid w:val="655F429B"/>
    <w:rsid w:val="6571D9CC"/>
    <w:rsid w:val="657A96FA"/>
    <w:rsid w:val="657C9EFE"/>
    <w:rsid w:val="657D45B3"/>
    <w:rsid w:val="65976BEB"/>
    <w:rsid w:val="659B7593"/>
    <w:rsid w:val="659BC253"/>
    <w:rsid w:val="65A4B634"/>
    <w:rsid w:val="65A4DDCE"/>
    <w:rsid w:val="65AA33DF"/>
    <w:rsid w:val="65AC167E"/>
    <w:rsid w:val="65B50B5F"/>
    <w:rsid w:val="65B67D8F"/>
    <w:rsid w:val="65C07542"/>
    <w:rsid w:val="65C5FEF0"/>
    <w:rsid w:val="65D0F806"/>
    <w:rsid w:val="65DE1722"/>
    <w:rsid w:val="65E94552"/>
    <w:rsid w:val="65F9A0C2"/>
    <w:rsid w:val="660601BE"/>
    <w:rsid w:val="660AFF18"/>
    <w:rsid w:val="66118EE6"/>
    <w:rsid w:val="661693F1"/>
    <w:rsid w:val="6618FB70"/>
    <w:rsid w:val="661A6FB3"/>
    <w:rsid w:val="661BF7D5"/>
    <w:rsid w:val="661FAB68"/>
    <w:rsid w:val="66238873"/>
    <w:rsid w:val="662712B3"/>
    <w:rsid w:val="662A91EE"/>
    <w:rsid w:val="662E917F"/>
    <w:rsid w:val="6630E63F"/>
    <w:rsid w:val="6652CE1A"/>
    <w:rsid w:val="665B491A"/>
    <w:rsid w:val="665E27E1"/>
    <w:rsid w:val="666A6C52"/>
    <w:rsid w:val="66715132"/>
    <w:rsid w:val="667464D2"/>
    <w:rsid w:val="66762CCF"/>
    <w:rsid w:val="6676D247"/>
    <w:rsid w:val="66898ED8"/>
    <w:rsid w:val="668FF3B9"/>
    <w:rsid w:val="6694AA61"/>
    <w:rsid w:val="669A4988"/>
    <w:rsid w:val="669EA1D5"/>
    <w:rsid w:val="66A9C215"/>
    <w:rsid w:val="66B0DEC2"/>
    <w:rsid w:val="66B137AD"/>
    <w:rsid w:val="66B31886"/>
    <w:rsid w:val="66B485C1"/>
    <w:rsid w:val="66B61F34"/>
    <w:rsid w:val="66C11986"/>
    <w:rsid w:val="66C4D08D"/>
    <w:rsid w:val="66C7245B"/>
    <w:rsid w:val="66CD2340"/>
    <w:rsid w:val="66D204C8"/>
    <w:rsid w:val="66D80DE3"/>
    <w:rsid w:val="66EB4A8B"/>
    <w:rsid w:val="66ECEA90"/>
    <w:rsid w:val="66F08A32"/>
    <w:rsid w:val="66F4A6C1"/>
    <w:rsid w:val="6703F5E9"/>
    <w:rsid w:val="6704FEB5"/>
    <w:rsid w:val="67061992"/>
    <w:rsid w:val="670A1153"/>
    <w:rsid w:val="6717E321"/>
    <w:rsid w:val="671961AD"/>
    <w:rsid w:val="671A861E"/>
    <w:rsid w:val="671E6A57"/>
    <w:rsid w:val="675A4040"/>
    <w:rsid w:val="6762DB10"/>
    <w:rsid w:val="676EE07A"/>
    <w:rsid w:val="676F2219"/>
    <w:rsid w:val="67725D70"/>
    <w:rsid w:val="677A9877"/>
    <w:rsid w:val="677DE580"/>
    <w:rsid w:val="6781D509"/>
    <w:rsid w:val="678808D7"/>
    <w:rsid w:val="6788FD56"/>
    <w:rsid w:val="67A09CB4"/>
    <w:rsid w:val="67A1BD88"/>
    <w:rsid w:val="67A88522"/>
    <w:rsid w:val="67BE84C6"/>
    <w:rsid w:val="67C003D6"/>
    <w:rsid w:val="67C447CD"/>
    <w:rsid w:val="67C8A9D1"/>
    <w:rsid w:val="67D53AA8"/>
    <w:rsid w:val="67D56F76"/>
    <w:rsid w:val="67DCEAEA"/>
    <w:rsid w:val="67DE37B1"/>
    <w:rsid w:val="67DE4557"/>
    <w:rsid w:val="67E27F53"/>
    <w:rsid w:val="67E9BD84"/>
    <w:rsid w:val="67EDD737"/>
    <w:rsid w:val="67F1141B"/>
    <w:rsid w:val="67F84479"/>
    <w:rsid w:val="6801DACC"/>
    <w:rsid w:val="680F7317"/>
    <w:rsid w:val="6816151C"/>
    <w:rsid w:val="6822186C"/>
    <w:rsid w:val="68231B61"/>
    <w:rsid w:val="683BB3C8"/>
    <w:rsid w:val="683ECA7B"/>
    <w:rsid w:val="6840B2FF"/>
    <w:rsid w:val="68428069"/>
    <w:rsid w:val="6842DB6D"/>
    <w:rsid w:val="68450A80"/>
    <w:rsid w:val="6860270F"/>
    <w:rsid w:val="68611269"/>
    <w:rsid w:val="68635B7E"/>
    <w:rsid w:val="6867D8DA"/>
    <w:rsid w:val="68688D22"/>
    <w:rsid w:val="6879236A"/>
    <w:rsid w:val="687A34B0"/>
    <w:rsid w:val="687A3EAE"/>
    <w:rsid w:val="687FE843"/>
    <w:rsid w:val="6886744B"/>
    <w:rsid w:val="6888570B"/>
    <w:rsid w:val="68908A14"/>
    <w:rsid w:val="6892787C"/>
    <w:rsid w:val="68941E21"/>
    <w:rsid w:val="689F690B"/>
    <w:rsid w:val="68A0B87B"/>
    <w:rsid w:val="68AE11CE"/>
    <w:rsid w:val="68B2CA6C"/>
    <w:rsid w:val="68B38810"/>
    <w:rsid w:val="68B8BCF0"/>
    <w:rsid w:val="68C30789"/>
    <w:rsid w:val="68C6993B"/>
    <w:rsid w:val="68C97063"/>
    <w:rsid w:val="68DB2C0D"/>
    <w:rsid w:val="68DB4C44"/>
    <w:rsid w:val="68E2FF34"/>
    <w:rsid w:val="68E8D127"/>
    <w:rsid w:val="68EB25C7"/>
    <w:rsid w:val="68ED95C2"/>
    <w:rsid w:val="68EFB6A7"/>
    <w:rsid w:val="68F437F9"/>
    <w:rsid w:val="68F882A3"/>
    <w:rsid w:val="6903F704"/>
    <w:rsid w:val="6911E87E"/>
    <w:rsid w:val="691F68A8"/>
    <w:rsid w:val="69258CA4"/>
    <w:rsid w:val="692BB3CE"/>
    <w:rsid w:val="692D7419"/>
    <w:rsid w:val="693ED066"/>
    <w:rsid w:val="69407216"/>
    <w:rsid w:val="694F5EA4"/>
    <w:rsid w:val="69601D46"/>
    <w:rsid w:val="69666FBF"/>
    <w:rsid w:val="696FA1A8"/>
    <w:rsid w:val="69757BAD"/>
    <w:rsid w:val="698C4344"/>
    <w:rsid w:val="6991277D"/>
    <w:rsid w:val="6997540A"/>
    <w:rsid w:val="6997FCEE"/>
    <w:rsid w:val="69A20B10"/>
    <w:rsid w:val="69A23B83"/>
    <w:rsid w:val="69A27B74"/>
    <w:rsid w:val="69A9C621"/>
    <w:rsid w:val="69B5F769"/>
    <w:rsid w:val="69BEA25F"/>
    <w:rsid w:val="69C35B03"/>
    <w:rsid w:val="69D55BBD"/>
    <w:rsid w:val="69D814B9"/>
    <w:rsid w:val="69DBAEC2"/>
    <w:rsid w:val="69DCD1DD"/>
    <w:rsid w:val="69DF71B2"/>
    <w:rsid w:val="69E60382"/>
    <w:rsid w:val="69EDBFF6"/>
    <w:rsid w:val="69F15EAB"/>
    <w:rsid w:val="69F25056"/>
    <w:rsid w:val="6A160859"/>
    <w:rsid w:val="6A166EC0"/>
    <w:rsid w:val="6A2488F4"/>
    <w:rsid w:val="6A2B2737"/>
    <w:rsid w:val="6A39E3C7"/>
    <w:rsid w:val="6A3E97FE"/>
    <w:rsid w:val="6A4209C5"/>
    <w:rsid w:val="6A6252B5"/>
    <w:rsid w:val="6A657ECB"/>
    <w:rsid w:val="6A727F6A"/>
    <w:rsid w:val="6A85519C"/>
    <w:rsid w:val="6AAE911A"/>
    <w:rsid w:val="6AB78A85"/>
    <w:rsid w:val="6ABB895A"/>
    <w:rsid w:val="6AC0905D"/>
    <w:rsid w:val="6ACB7305"/>
    <w:rsid w:val="6ACB810A"/>
    <w:rsid w:val="6AD44907"/>
    <w:rsid w:val="6AD7FBF0"/>
    <w:rsid w:val="6AD9C675"/>
    <w:rsid w:val="6ADE0D83"/>
    <w:rsid w:val="6ADE7C3B"/>
    <w:rsid w:val="6AE2A831"/>
    <w:rsid w:val="6AE2C54A"/>
    <w:rsid w:val="6AEEA34C"/>
    <w:rsid w:val="6AF14AA9"/>
    <w:rsid w:val="6AFE6233"/>
    <w:rsid w:val="6B043573"/>
    <w:rsid w:val="6B116F12"/>
    <w:rsid w:val="6B1636C0"/>
    <w:rsid w:val="6B1A40D4"/>
    <w:rsid w:val="6B1BED9A"/>
    <w:rsid w:val="6B269049"/>
    <w:rsid w:val="6B2946A8"/>
    <w:rsid w:val="6B2EC1D0"/>
    <w:rsid w:val="6B2EDFE6"/>
    <w:rsid w:val="6B33307C"/>
    <w:rsid w:val="6B3338EF"/>
    <w:rsid w:val="6B537380"/>
    <w:rsid w:val="6B575680"/>
    <w:rsid w:val="6B599C13"/>
    <w:rsid w:val="6B5E7CA1"/>
    <w:rsid w:val="6B6A5848"/>
    <w:rsid w:val="6B6E4983"/>
    <w:rsid w:val="6B6E5DF9"/>
    <w:rsid w:val="6B7324CF"/>
    <w:rsid w:val="6B7961FC"/>
    <w:rsid w:val="6B7C829D"/>
    <w:rsid w:val="6B7FA600"/>
    <w:rsid w:val="6B8BF3E0"/>
    <w:rsid w:val="6B92C03E"/>
    <w:rsid w:val="6B95C94C"/>
    <w:rsid w:val="6B95DE10"/>
    <w:rsid w:val="6B9F80B2"/>
    <w:rsid w:val="6BA117CB"/>
    <w:rsid w:val="6BA244A0"/>
    <w:rsid w:val="6BA6D00A"/>
    <w:rsid w:val="6BAAA218"/>
    <w:rsid w:val="6BB51426"/>
    <w:rsid w:val="6BB9C2F8"/>
    <w:rsid w:val="6BC3CA75"/>
    <w:rsid w:val="6BCC2137"/>
    <w:rsid w:val="6BCD35D4"/>
    <w:rsid w:val="6BCE9700"/>
    <w:rsid w:val="6BDC9AEF"/>
    <w:rsid w:val="6BE0276C"/>
    <w:rsid w:val="6BEA3E1E"/>
    <w:rsid w:val="6BECABAB"/>
    <w:rsid w:val="6BF13DD7"/>
    <w:rsid w:val="6BF43B16"/>
    <w:rsid w:val="6BF6668C"/>
    <w:rsid w:val="6BFC289C"/>
    <w:rsid w:val="6C0A30A7"/>
    <w:rsid w:val="6C1A9FF6"/>
    <w:rsid w:val="6C25898D"/>
    <w:rsid w:val="6C25A22A"/>
    <w:rsid w:val="6C2664F2"/>
    <w:rsid w:val="6C452B13"/>
    <w:rsid w:val="6C4EB1A8"/>
    <w:rsid w:val="6C508F57"/>
    <w:rsid w:val="6C5401AA"/>
    <w:rsid w:val="6C57AF2B"/>
    <w:rsid w:val="6C5D5C9A"/>
    <w:rsid w:val="6C61CA5B"/>
    <w:rsid w:val="6C61FF05"/>
    <w:rsid w:val="6C620D97"/>
    <w:rsid w:val="6C62E0E9"/>
    <w:rsid w:val="6C63D598"/>
    <w:rsid w:val="6C660631"/>
    <w:rsid w:val="6C70381F"/>
    <w:rsid w:val="6C706E35"/>
    <w:rsid w:val="6C754342"/>
    <w:rsid w:val="6C75E90F"/>
    <w:rsid w:val="6C7BF645"/>
    <w:rsid w:val="6C7CEBC1"/>
    <w:rsid w:val="6C885BA3"/>
    <w:rsid w:val="6C8F137E"/>
    <w:rsid w:val="6C97BE08"/>
    <w:rsid w:val="6C9A3294"/>
    <w:rsid w:val="6C9E1081"/>
    <w:rsid w:val="6C9EAFA3"/>
    <w:rsid w:val="6CA45395"/>
    <w:rsid w:val="6CA8ECDF"/>
    <w:rsid w:val="6CBF9158"/>
    <w:rsid w:val="6CC2E2E2"/>
    <w:rsid w:val="6CC3EC9D"/>
    <w:rsid w:val="6CE06E9E"/>
    <w:rsid w:val="6CEE5860"/>
    <w:rsid w:val="6CF67C37"/>
    <w:rsid w:val="6CF87E1D"/>
    <w:rsid w:val="6D0E52F6"/>
    <w:rsid w:val="6D13A3A1"/>
    <w:rsid w:val="6D16FC19"/>
    <w:rsid w:val="6D1807A8"/>
    <w:rsid w:val="6D2E7A07"/>
    <w:rsid w:val="6D36E33C"/>
    <w:rsid w:val="6D3A6EA1"/>
    <w:rsid w:val="6D3B49FD"/>
    <w:rsid w:val="6D44FAD5"/>
    <w:rsid w:val="6D49091F"/>
    <w:rsid w:val="6D4B05BD"/>
    <w:rsid w:val="6D582BC6"/>
    <w:rsid w:val="6D584ED8"/>
    <w:rsid w:val="6D5EC332"/>
    <w:rsid w:val="6D610758"/>
    <w:rsid w:val="6D6A51B2"/>
    <w:rsid w:val="6D6D23E4"/>
    <w:rsid w:val="6D6D937A"/>
    <w:rsid w:val="6D6DFC48"/>
    <w:rsid w:val="6D755B16"/>
    <w:rsid w:val="6D801B6D"/>
    <w:rsid w:val="6D85A8DF"/>
    <w:rsid w:val="6D8AF0AE"/>
    <w:rsid w:val="6D9EA2E5"/>
    <w:rsid w:val="6D9ED13C"/>
    <w:rsid w:val="6DA029EC"/>
    <w:rsid w:val="6DA0DF62"/>
    <w:rsid w:val="6DA45C3D"/>
    <w:rsid w:val="6DAB35B5"/>
    <w:rsid w:val="6DBD9714"/>
    <w:rsid w:val="6DCE2E63"/>
    <w:rsid w:val="6DD0520F"/>
    <w:rsid w:val="6DD2D0DC"/>
    <w:rsid w:val="6DD40514"/>
    <w:rsid w:val="6DDAC19D"/>
    <w:rsid w:val="6DDAEC32"/>
    <w:rsid w:val="6DDB2EDA"/>
    <w:rsid w:val="6DDE21FE"/>
    <w:rsid w:val="6DDEDA0F"/>
    <w:rsid w:val="6DE3B9B4"/>
    <w:rsid w:val="6DE42A21"/>
    <w:rsid w:val="6DEDA671"/>
    <w:rsid w:val="6DEFA73C"/>
    <w:rsid w:val="6DF2922E"/>
    <w:rsid w:val="6E03786E"/>
    <w:rsid w:val="6E055773"/>
    <w:rsid w:val="6E116737"/>
    <w:rsid w:val="6E16B486"/>
    <w:rsid w:val="6E18E592"/>
    <w:rsid w:val="6E1F2CC2"/>
    <w:rsid w:val="6E1F35A6"/>
    <w:rsid w:val="6E24851C"/>
    <w:rsid w:val="6E2C89B7"/>
    <w:rsid w:val="6E2DD7ED"/>
    <w:rsid w:val="6E36DD67"/>
    <w:rsid w:val="6E3A9F28"/>
    <w:rsid w:val="6E3B2545"/>
    <w:rsid w:val="6E3B93D6"/>
    <w:rsid w:val="6E3B9E2E"/>
    <w:rsid w:val="6E3D55C4"/>
    <w:rsid w:val="6E45E105"/>
    <w:rsid w:val="6E471C59"/>
    <w:rsid w:val="6E4B7043"/>
    <w:rsid w:val="6E58ACA5"/>
    <w:rsid w:val="6E5F1259"/>
    <w:rsid w:val="6E691E09"/>
    <w:rsid w:val="6E81A614"/>
    <w:rsid w:val="6EA02C88"/>
    <w:rsid w:val="6EA384D0"/>
    <w:rsid w:val="6EB045DC"/>
    <w:rsid w:val="6EBAC793"/>
    <w:rsid w:val="6EBCDCEC"/>
    <w:rsid w:val="6ECD7461"/>
    <w:rsid w:val="6ECFFC4D"/>
    <w:rsid w:val="6EDA582D"/>
    <w:rsid w:val="6EDE954C"/>
    <w:rsid w:val="6EEB92A2"/>
    <w:rsid w:val="6EEDB5FF"/>
    <w:rsid w:val="6EEE580F"/>
    <w:rsid w:val="6F06B1C1"/>
    <w:rsid w:val="6F0E14A3"/>
    <w:rsid w:val="6F112B77"/>
    <w:rsid w:val="6F19BAA9"/>
    <w:rsid w:val="6F1E8040"/>
    <w:rsid w:val="6F297C3C"/>
    <w:rsid w:val="6F2BC1C2"/>
    <w:rsid w:val="6F32F220"/>
    <w:rsid w:val="6F3D85CA"/>
    <w:rsid w:val="6F472C8D"/>
    <w:rsid w:val="6F55A929"/>
    <w:rsid w:val="6F5F1AD9"/>
    <w:rsid w:val="6F733888"/>
    <w:rsid w:val="6F7496DC"/>
    <w:rsid w:val="6F78F147"/>
    <w:rsid w:val="6F7A9862"/>
    <w:rsid w:val="6F7D6F55"/>
    <w:rsid w:val="6F8AB766"/>
    <w:rsid w:val="6F8DA8B2"/>
    <w:rsid w:val="6F93C55E"/>
    <w:rsid w:val="6F940F3B"/>
    <w:rsid w:val="6F9C66C4"/>
    <w:rsid w:val="6F9CF778"/>
    <w:rsid w:val="6F9F48CF"/>
    <w:rsid w:val="6F9F96F5"/>
    <w:rsid w:val="6FA127D4"/>
    <w:rsid w:val="6FB1ED5E"/>
    <w:rsid w:val="6FBC88E6"/>
    <w:rsid w:val="6FBDDC6A"/>
    <w:rsid w:val="6FBFCE25"/>
    <w:rsid w:val="6FC01EB9"/>
    <w:rsid w:val="6FC5CA3C"/>
    <w:rsid w:val="6FD2B7D3"/>
    <w:rsid w:val="6FD5F2E2"/>
    <w:rsid w:val="6FE152DB"/>
    <w:rsid w:val="6FE5ECAA"/>
    <w:rsid w:val="6FE61B02"/>
    <w:rsid w:val="6FF35054"/>
    <w:rsid w:val="7000EB05"/>
    <w:rsid w:val="70011902"/>
    <w:rsid w:val="7003E6B8"/>
    <w:rsid w:val="7005120B"/>
    <w:rsid w:val="70058C40"/>
    <w:rsid w:val="70073E72"/>
    <w:rsid w:val="700886AF"/>
    <w:rsid w:val="700EF311"/>
    <w:rsid w:val="701237A0"/>
    <w:rsid w:val="70213A83"/>
    <w:rsid w:val="7024DCE2"/>
    <w:rsid w:val="7026202B"/>
    <w:rsid w:val="702E2D46"/>
    <w:rsid w:val="70338BF3"/>
    <w:rsid w:val="7036FF94"/>
    <w:rsid w:val="704BE9A1"/>
    <w:rsid w:val="704CCFA9"/>
    <w:rsid w:val="704D35E3"/>
    <w:rsid w:val="7056FCE3"/>
    <w:rsid w:val="7057B51E"/>
    <w:rsid w:val="7058E6BA"/>
    <w:rsid w:val="706235E7"/>
    <w:rsid w:val="70678184"/>
    <w:rsid w:val="7067F896"/>
    <w:rsid w:val="70683DD0"/>
    <w:rsid w:val="70735144"/>
    <w:rsid w:val="7074299B"/>
    <w:rsid w:val="7077CC85"/>
    <w:rsid w:val="707C8561"/>
    <w:rsid w:val="707DFB62"/>
    <w:rsid w:val="7081CE4A"/>
    <w:rsid w:val="708EF370"/>
    <w:rsid w:val="70914A54"/>
    <w:rsid w:val="709B0681"/>
    <w:rsid w:val="70A9FDC0"/>
    <w:rsid w:val="70AD4DD3"/>
    <w:rsid w:val="70B6431C"/>
    <w:rsid w:val="70B64610"/>
    <w:rsid w:val="70B850ED"/>
    <w:rsid w:val="70BD354E"/>
    <w:rsid w:val="70CD8A31"/>
    <w:rsid w:val="70D2DDFF"/>
    <w:rsid w:val="70DF7A48"/>
    <w:rsid w:val="70E5F4D8"/>
    <w:rsid w:val="70F34198"/>
    <w:rsid w:val="70FBFEA7"/>
    <w:rsid w:val="71029DEB"/>
    <w:rsid w:val="7111D7B3"/>
    <w:rsid w:val="71230A10"/>
    <w:rsid w:val="7126D03E"/>
    <w:rsid w:val="712726C1"/>
    <w:rsid w:val="7129EB92"/>
    <w:rsid w:val="713470D1"/>
    <w:rsid w:val="71348E73"/>
    <w:rsid w:val="714284BB"/>
    <w:rsid w:val="71473D74"/>
    <w:rsid w:val="7152DC1F"/>
    <w:rsid w:val="71538142"/>
    <w:rsid w:val="715D711A"/>
    <w:rsid w:val="715EF278"/>
    <w:rsid w:val="715FA195"/>
    <w:rsid w:val="71620A42"/>
    <w:rsid w:val="7163DCA0"/>
    <w:rsid w:val="71688FC5"/>
    <w:rsid w:val="7169A7A8"/>
    <w:rsid w:val="7173C9C9"/>
    <w:rsid w:val="71751F21"/>
    <w:rsid w:val="717B1214"/>
    <w:rsid w:val="717B418D"/>
    <w:rsid w:val="717CE544"/>
    <w:rsid w:val="717EBD1B"/>
    <w:rsid w:val="71856636"/>
    <w:rsid w:val="7196E9F0"/>
    <w:rsid w:val="71979FCD"/>
    <w:rsid w:val="7197BC3C"/>
    <w:rsid w:val="719B151B"/>
    <w:rsid w:val="71A090FC"/>
    <w:rsid w:val="71A246CF"/>
    <w:rsid w:val="71A6260E"/>
    <w:rsid w:val="71AD3807"/>
    <w:rsid w:val="71AD75B5"/>
    <w:rsid w:val="71AD9D13"/>
    <w:rsid w:val="71BB6F2C"/>
    <w:rsid w:val="71CA5F26"/>
    <w:rsid w:val="71D29144"/>
    <w:rsid w:val="71DBF2ED"/>
    <w:rsid w:val="71DC3632"/>
    <w:rsid w:val="71E00849"/>
    <w:rsid w:val="71E4F5B3"/>
    <w:rsid w:val="71E7EEED"/>
    <w:rsid w:val="71E8B460"/>
    <w:rsid w:val="71E8C2CD"/>
    <w:rsid w:val="71EA53D9"/>
    <w:rsid w:val="71EDC4B0"/>
    <w:rsid w:val="71F0E37A"/>
    <w:rsid w:val="71F5CDCE"/>
    <w:rsid w:val="71FA1C76"/>
    <w:rsid w:val="71FDE7DA"/>
    <w:rsid w:val="7200A56D"/>
    <w:rsid w:val="7202503E"/>
    <w:rsid w:val="72051523"/>
    <w:rsid w:val="720C587F"/>
    <w:rsid w:val="720F319E"/>
    <w:rsid w:val="721711DA"/>
    <w:rsid w:val="721EA562"/>
    <w:rsid w:val="721EC801"/>
    <w:rsid w:val="722393DA"/>
    <w:rsid w:val="7224EFEB"/>
    <w:rsid w:val="72291FE4"/>
    <w:rsid w:val="722B6488"/>
    <w:rsid w:val="722C8ACC"/>
    <w:rsid w:val="7247888C"/>
    <w:rsid w:val="7250DD98"/>
    <w:rsid w:val="72573DE4"/>
    <w:rsid w:val="72596E1F"/>
    <w:rsid w:val="725EC87E"/>
    <w:rsid w:val="726C62FF"/>
    <w:rsid w:val="7271494F"/>
    <w:rsid w:val="7281B29A"/>
    <w:rsid w:val="728D0C3E"/>
    <w:rsid w:val="72948079"/>
    <w:rsid w:val="729C23E7"/>
    <w:rsid w:val="729C509F"/>
    <w:rsid w:val="72A1329A"/>
    <w:rsid w:val="72A2EFB6"/>
    <w:rsid w:val="72A5C621"/>
    <w:rsid w:val="72AD2291"/>
    <w:rsid w:val="72B638FD"/>
    <w:rsid w:val="72B7436D"/>
    <w:rsid w:val="72C487B0"/>
    <w:rsid w:val="72C9373E"/>
    <w:rsid w:val="72CFAD1B"/>
    <w:rsid w:val="72D460E3"/>
    <w:rsid w:val="72D4983A"/>
    <w:rsid w:val="72DC8412"/>
    <w:rsid w:val="72E4D85A"/>
    <w:rsid w:val="72E62951"/>
    <w:rsid w:val="72E9B7FF"/>
    <w:rsid w:val="72EDC097"/>
    <w:rsid w:val="72EDD72F"/>
    <w:rsid w:val="72FDAD23"/>
    <w:rsid w:val="7306FF8C"/>
    <w:rsid w:val="73099DF5"/>
    <w:rsid w:val="730CC654"/>
    <w:rsid w:val="730E837D"/>
    <w:rsid w:val="7311F3FE"/>
    <w:rsid w:val="731CD24A"/>
    <w:rsid w:val="73211984"/>
    <w:rsid w:val="732B4E4E"/>
    <w:rsid w:val="73303A4B"/>
    <w:rsid w:val="733A9008"/>
    <w:rsid w:val="7342787A"/>
    <w:rsid w:val="7347BE99"/>
    <w:rsid w:val="735095A9"/>
    <w:rsid w:val="735FDE3B"/>
    <w:rsid w:val="73602BB9"/>
    <w:rsid w:val="73646C1D"/>
    <w:rsid w:val="7365CE08"/>
    <w:rsid w:val="73660624"/>
    <w:rsid w:val="736718B2"/>
    <w:rsid w:val="73762D83"/>
    <w:rsid w:val="7378F0A8"/>
    <w:rsid w:val="737A21F2"/>
    <w:rsid w:val="73805B1E"/>
    <w:rsid w:val="7385155F"/>
    <w:rsid w:val="738E9212"/>
    <w:rsid w:val="7391C23C"/>
    <w:rsid w:val="7392224B"/>
    <w:rsid w:val="7398E400"/>
    <w:rsid w:val="73A66CC1"/>
    <w:rsid w:val="73AB29B8"/>
    <w:rsid w:val="73AB8542"/>
    <w:rsid w:val="73AEF4B4"/>
    <w:rsid w:val="73B09F5E"/>
    <w:rsid w:val="73B18427"/>
    <w:rsid w:val="73B3308A"/>
    <w:rsid w:val="73B8420B"/>
    <w:rsid w:val="73BB1E66"/>
    <w:rsid w:val="73BCF155"/>
    <w:rsid w:val="73C52754"/>
    <w:rsid w:val="73C7C157"/>
    <w:rsid w:val="73C92F68"/>
    <w:rsid w:val="73CC5E2D"/>
    <w:rsid w:val="73D73F1B"/>
    <w:rsid w:val="73DC991B"/>
    <w:rsid w:val="73DE56D5"/>
    <w:rsid w:val="73ECACC1"/>
    <w:rsid w:val="73ECB3AB"/>
    <w:rsid w:val="73F90FC4"/>
    <w:rsid w:val="73F9410A"/>
    <w:rsid w:val="73FD370B"/>
    <w:rsid w:val="741F703D"/>
    <w:rsid w:val="74206C7B"/>
    <w:rsid w:val="743EC4A3"/>
    <w:rsid w:val="744905C9"/>
    <w:rsid w:val="744E1B93"/>
    <w:rsid w:val="7453B104"/>
    <w:rsid w:val="7459360A"/>
    <w:rsid w:val="745C4E23"/>
    <w:rsid w:val="745FDD3F"/>
    <w:rsid w:val="7467805E"/>
    <w:rsid w:val="746B3AB4"/>
    <w:rsid w:val="746C722F"/>
    <w:rsid w:val="74772899"/>
    <w:rsid w:val="74888FB6"/>
    <w:rsid w:val="748FBAE1"/>
    <w:rsid w:val="749F61FD"/>
    <w:rsid w:val="74A52062"/>
    <w:rsid w:val="74A54B45"/>
    <w:rsid w:val="74A8E33E"/>
    <w:rsid w:val="74AD45E0"/>
    <w:rsid w:val="74BECB56"/>
    <w:rsid w:val="74BF3730"/>
    <w:rsid w:val="74E8AD56"/>
    <w:rsid w:val="74EF4534"/>
    <w:rsid w:val="74F2CFB0"/>
    <w:rsid w:val="74F7EA37"/>
    <w:rsid w:val="74F84E05"/>
    <w:rsid w:val="74FA08A5"/>
    <w:rsid w:val="74FD25CC"/>
    <w:rsid w:val="7500A817"/>
    <w:rsid w:val="7501E452"/>
    <w:rsid w:val="751393AF"/>
    <w:rsid w:val="75160963"/>
    <w:rsid w:val="751FE0F0"/>
    <w:rsid w:val="75238D88"/>
    <w:rsid w:val="75284F67"/>
    <w:rsid w:val="752A6273"/>
    <w:rsid w:val="752B72DB"/>
    <w:rsid w:val="753189A3"/>
    <w:rsid w:val="7534998D"/>
    <w:rsid w:val="75364EE5"/>
    <w:rsid w:val="7537031E"/>
    <w:rsid w:val="7537254B"/>
    <w:rsid w:val="75398C19"/>
    <w:rsid w:val="753A0215"/>
    <w:rsid w:val="753A63C5"/>
    <w:rsid w:val="7546D7ED"/>
    <w:rsid w:val="754E93AB"/>
    <w:rsid w:val="75554F47"/>
    <w:rsid w:val="7558B7B8"/>
    <w:rsid w:val="755AEE5A"/>
    <w:rsid w:val="755CCAE8"/>
    <w:rsid w:val="75689685"/>
    <w:rsid w:val="756FBAAC"/>
    <w:rsid w:val="756FDE1D"/>
    <w:rsid w:val="75744C7E"/>
    <w:rsid w:val="757E95BE"/>
    <w:rsid w:val="758005C3"/>
    <w:rsid w:val="7580EF56"/>
    <w:rsid w:val="7582200D"/>
    <w:rsid w:val="7582F11C"/>
    <w:rsid w:val="7586F072"/>
    <w:rsid w:val="75872523"/>
    <w:rsid w:val="7595B1A2"/>
    <w:rsid w:val="75989150"/>
    <w:rsid w:val="75A5865B"/>
    <w:rsid w:val="75B1C4E2"/>
    <w:rsid w:val="75B8AD4B"/>
    <w:rsid w:val="75C171F0"/>
    <w:rsid w:val="75C79865"/>
    <w:rsid w:val="75D4DF48"/>
    <w:rsid w:val="75D8D35C"/>
    <w:rsid w:val="75E2434D"/>
    <w:rsid w:val="75E37212"/>
    <w:rsid w:val="75E3CB47"/>
    <w:rsid w:val="75E3D860"/>
    <w:rsid w:val="75E5017C"/>
    <w:rsid w:val="75E98532"/>
    <w:rsid w:val="75EA7ACE"/>
    <w:rsid w:val="75F20733"/>
    <w:rsid w:val="75F7E953"/>
    <w:rsid w:val="75FEC997"/>
    <w:rsid w:val="75FEF04C"/>
    <w:rsid w:val="7615278E"/>
    <w:rsid w:val="761F5E9A"/>
    <w:rsid w:val="76212EE2"/>
    <w:rsid w:val="7623F777"/>
    <w:rsid w:val="762D9B6A"/>
    <w:rsid w:val="76390E07"/>
    <w:rsid w:val="76402557"/>
    <w:rsid w:val="7641DDBB"/>
    <w:rsid w:val="7646F6DB"/>
    <w:rsid w:val="7647472F"/>
    <w:rsid w:val="76492554"/>
    <w:rsid w:val="764F0CD8"/>
    <w:rsid w:val="7650B076"/>
    <w:rsid w:val="765942EF"/>
    <w:rsid w:val="765A2BE5"/>
    <w:rsid w:val="765B67CD"/>
    <w:rsid w:val="7660696A"/>
    <w:rsid w:val="766E77A8"/>
    <w:rsid w:val="76715403"/>
    <w:rsid w:val="76718499"/>
    <w:rsid w:val="7678648C"/>
    <w:rsid w:val="767C2661"/>
    <w:rsid w:val="767D6746"/>
    <w:rsid w:val="767E2BB5"/>
    <w:rsid w:val="7680A447"/>
    <w:rsid w:val="7689E30E"/>
    <w:rsid w:val="76906885"/>
    <w:rsid w:val="76BE50F0"/>
    <w:rsid w:val="76BF5DE9"/>
    <w:rsid w:val="76C6F6A2"/>
    <w:rsid w:val="76CC7410"/>
    <w:rsid w:val="76CD5A04"/>
    <w:rsid w:val="76D2B4BE"/>
    <w:rsid w:val="76D79B53"/>
    <w:rsid w:val="76DB0700"/>
    <w:rsid w:val="76E00984"/>
    <w:rsid w:val="76EAD14C"/>
    <w:rsid w:val="76FB458C"/>
    <w:rsid w:val="7701E387"/>
    <w:rsid w:val="77067D1C"/>
    <w:rsid w:val="770E9ACA"/>
    <w:rsid w:val="770ECA1C"/>
    <w:rsid w:val="770FA52D"/>
    <w:rsid w:val="7710396E"/>
    <w:rsid w:val="771283C0"/>
    <w:rsid w:val="7719CAE3"/>
    <w:rsid w:val="771A1035"/>
    <w:rsid w:val="771F31B9"/>
    <w:rsid w:val="773204DE"/>
    <w:rsid w:val="7734EFC2"/>
    <w:rsid w:val="773CAB7F"/>
    <w:rsid w:val="773EDB43"/>
    <w:rsid w:val="7749635E"/>
    <w:rsid w:val="774E8A3B"/>
    <w:rsid w:val="7762950B"/>
    <w:rsid w:val="7762E283"/>
    <w:rsid w:val="7769C6D9"/>
    <w:rsid w:val="776AABDB"/>
    <w:rsid w:val="776C93F8"/>
    <w:rsid w:val="77741ABC"/>
    <w:rsid w:val="777B8D60"/>
    <w:rsid w:val="7780B219"/>
    <w:rsid w:val="7788938D"/>
    <w:rsid w:val="77893B34"/>
    <w:rsid w:val="779A7DF1"/>
    <w:rsid w:val="779ED2A4"/>
    <w:rsid w:val="77A07CD6"/>
    <w:rsid w:val="77A99A69"/>
    <w:rsid w:val="77ACF988"/>
    <w:rsid w:val="77B4B741"/>
    <w:rsid w:val="77C131BA"/>
    <w:rsid w:val="77C237CC"/>
    <w:rsid w:val="77C40C66"/>
    <w:rsid w:val="77C6DFC7"/>
    <w:rsid w:val="77E2DA6A"/>
    <w:rsid w:val="77E6E63D"/>
    <w:rsid w:val="77E8EB14"/>
    <w:rsid w:val="77ED1636"/>
    <w:rsid w:val="77F82D3D"/>
    <w:rsid w:val="77F97C5A"/>
    <w:rsid w:val="77FA3432"/>
    <w:rsid w:val="77FB82C9"/>
    <w:rsid w:val="7800FF55"/>
    <w:rsid w:val="780EFEEE"/>
    <w:rsid w:val="78127F49"/>
    <w:rsid w:val="78192E35"/>
    <w:rsid w:val="782BB71B"/>
    <w:rsid w:val="782BC939"/>
    <w:rsid w:val="782EDA41"/>
    <w:rsid w:val="7837ED33"/>
    <w:rsid w:val="7846E42F"/>
    <w:rsid w:val="78470C68"/>
    <w:rsid w:val="784B7DC8"/>
    <w:rsid w:val="785C3E79"/>
    <w:rsid w:val="7883317B"/>
    <w:rsid w:val="788A535D"/>
    <w:rsid w:val="78929597"/>
    <w:rsid w:val="789382FA"/>
    <w:rsid w:val="78969DBA"/>
    <w:rsid w:val="789E1DA7"/>
    <w:rsid w:val="78A69AEC"/>
    <w:rsid w:val="78A722E4"/>
    <w:rsid w:val="78AE1EF0"/>
    <w:rsid w:val="78BF7833"/>
    <w:rsid w:val="78C362D2"/>
    <w:rsid w:val="78C49F14"/>
    <w:rsid w:val="78D14247"/>
    <w:rsid w:val="78D6CE40"/>
    <w:rsid w:val="78DCC495"/>
    <w:rsid w:val="78DD50D6"/>
    <w:rsid w:val="78E2F830"/>
    <w:rsid w:val="78EED6E8"/>
    <w:rsid w:val="78EF63C8"/>
    <w:rsid w:val="78EFE5C2"/>
    <w:rsid w:val="79078D8B"/>
    <w:rsid w:val="79153421"/>
    <w:rsid w:val="7916A973"/>
    <w:rsid w:val="79266C5B"/>
    <w:rsid w:val="7928DAA3"/>
    <w:rsid w:val="793894DF"/>
    <w:rsid w:val="793EEE7D"/>
    <w:rsid w:val="795817AC"/>
    <w:rsid w:val="79614DC2"/>
    <w:rsid w:val="796554B5"/>
    <w:rsid w:val="7966B06B"/>
    <w:rsid w:val="796C7965"/>
    <w:rsid w:val="796C82DD"/>
    <w:rsid w:val="7973D8FD"/>
    <w:rsid w:val="797628CA"/>
    <w:rsid w:val="797AB9C7"/>
    <w:rsid w:val="797D8693"/>
    <w:rsid w:val="7984E16A"/>
    <w:rsid w:val="7990F59C"/>
    <w:rsid w:val="79927A84"/>
    <w:rsid w:val="79931064"/>
    <w:rsid w:val="7994E5FE"/>
    <w:rsid w:val="79A289C1"/>
    <w:rsid w:val="79A471E2"/>
    <w:rsid w:val="79A6A19D"/>
    <w:rsid w:val="79BCB249"/>
    <w:rsid w:val="79BCDCA9"/>
    <w:rsid w:val="79CC4422"/>
    <w:rsid w:val="79D3BD94"/>
    <w:rsid w:val="79D86C52"/>
    <w:rsid w:val="79DF504F"/>
    <w:rsid w:val="79E51C2F"/>
    <w:rsid w:val="79E56F07"/>
    <w:rsid w:val="79F09F3A"/>
    <w:rsid w:val="79F15FE1"/>
    <w:rsid w:val="79F3EB4A"/>
    <w:rsid w:val="7A006DA8"/>
    <w:rsid w:val="7A030D65"/>
    <w:rsid w:val="7A0812A0"/>
    <w:rsid w:val="7A0F3C15"/>
    <w:rsid w:val="7A10D49D"/>
    <w:rsid w:val="7A1CBD4D"/>
    <w:rsid w:val="7A1F23CF"/>
    <w:rsid w:val="7A22CD72"/>
    <w:rsid w:val="7A2A2BB3"/>
    <w:rsid w:val="7A35B9A8"/>
    <w:rsid w:val="7A369AA7"/>
    <w:rsid w:val="7A3DD57F"/>
    <w:rsid w:val="7A425F63"/>
    <w:rsid w:val="7A52ACA6"/>
    <w:rsid w:val="7A5EDA38"/>
    <w:rsid w:val="7A63EB3C"/>
    <w:rsid w:val="7A6CF5C3"/>
    <w:rsid w:val="7A7EFB65"/>
    <w:rsid w:val="7A87BAF4"/>
    <w:rsid w:val="7AA7D583"/>
    <w:rsid w:val="7AA809CE"/>
    <w:rsid w:val="7AAC447F"/>
    <w:rsid w:val="7AB9B1E2"/>
    <w:rsid w:val="7ABE5EBE"/>
    <w:rsid w:val="7AC2FB4C"/>
    <w:rsid w:val="7AD55793"/>
    <w:rsid w:val="7ADE449C"/>
    <w:rsid w:val="7AEC64A1"/>
    <w:rsid w:val="7AEE5B85"/>
    <w:rsid w:val="7B094DBB"/>
    <w:rsid w:val="7B0FB146"/>
    <w:rsid w:val="7B14D233"/>
    <w:rsid w:val="7B2195D3"/>
    <w:rsid w:val="7B2561BA"/>
    <w:rsid w:val="7B263BE9"/>
    <w:rsid w:val="7B2E5724"/>
    <w:rsid w:val="7B2E87A0"/>
    <w:rsid w:val="7B2ECE92"/>
    <w:rsid w:val="7B33A330"/>
    <w:rsid w:val="7B357B66"/>
    <w:rsid w:val="7B3CB413"/>
    <w:rsid w:val="7B3FFD10"/>
    <w:rsid w:val="7B449981"/>
    <w:rsid w:val="7B4B1016"/>
    <w:rsid w:val="7B4ED2DC"/>
    <w:rsid w:val="7B51628F"/>
    <w:rsid w:val="7B51FCA6"/>
    <w:rsid w:val="7B56FEAF"/>
    <w:rsid w:val="7B5A7C0F"/>
    <w:rsid w:val="7B5AC207"/>
    <w:rsid w:val="7B5C4AED"/>
    <w:rsid w:val="7B69ACD6"/>
    <w:rsid w:val="7B74E3E5"/>
    <w:rsid w:val="7B776B88"/>
    <w:rsid w:val="7B7D9CB4"/>
    <w:rsid w:val="7B80365A"/>
    <w:rsid w:val="7B89AD2F"/>
    <w:rsid w:val="7B9D6ECA"/>
    <w:rsid w:val="7B9FE533"/>
    <w:rsid w:val="7BA515CB"/>
    <w:rsid w:val="7BA61B5F"/>
    <w:rsid w:val="7BB1F494"/>
    <w:rsid w:val="7BBEBDED"/>
    <w:rsid w:val="7BC70464"/>
    <w:rsid w:val="7BC9A341"/>
    <w:rsid w:val="7BCE82A3"/>
    <w:rsid w:val="7BD21EC7"/>
    <w:rsid w:val="7BD34AB6"/>
    <w:rsid w:val="7C1B32CB"/>
    <w:rsid w:val="7C1D2042"/>
    <w:rsid w:val="7C323EF3"/>
    <w:rsid w:val="7C3654E2"/>
    <w:rsid w:val="7C3EF965"/>
    <w:rsid w:val="7C49DBD1"/>
    <w:rsid w:val="7C4B811B"/>
    <w:rsid w:val="7C551506"/>
    <w:rsid w:val="7C5B439C"/>
    <w:rsid w:val="7C64A2E0"/>
    <w:rsid w:val="7C69B38D"/>
    <w:rsid w:val="7C6EBB72"/>
    <w:rsid w:val="7C7B9471"/>
    <w:rsid w:val="7C7CFBCB"/>
    <w:rsid w:val="7C958EC6"/>
    <w:rsid w:val="7C9949A6"/>
    <w:rsid w:val="7CA795D4"/>
    <w:rsid w:val="7CAC398B"/>
    <w:rsid w:val="7CB69F77"/>
    <w:rsid w:val="7CBF6615"/>
    <w:rsid w:val="7CD1FEA1"/>
    <w:rsid w:val="7CD4A881"/>
    <w:rsid w:val="7CECA8CA"/>
    <w:rsid w:val="7CEE1419"/>
    <w:rsid w:val="7CEE18A0"/>
    <w:rsid w:val="7CF6D758"/>
    <w:rsid w:val="7CF8139A"/>
    <w:rsid w:val="7CFFCD2A"/>
    <w:rsid w:val="7D06D6BB"/>
    <w:rsid w:val="7D08DD81"/>
    <w:rsid w:val="7D0CB04E"/>
    <w:rsid w:val="7D133BE9"/>
    <w:rsid w:val="7D167D73"/>
    <w:rsid w:val="7D212995"/>
    <w:rsid w:val="7D22CFF0"/>
    <w:rsid w:val="7D2538E3"/>
    <w:rsid w:val="7D27BEDB"/>
    <w:rsid w:val="7D3BB594"/>
    <w:rsid w:val="7D457736"/>
    <w:rsid w:val="7D473C34"/>
    <w:rsid w:val="7D47C7CA"/>
    <w:rsid w:val="7D4B06E2"/>
    <w:rsid w:val="7D4C89A9"/>
    <w:rsid w:val="7D4DFEC4"/>
    <w:rsid w:val="7D553A19"/>
    <w:rsid w:val="7D592661"/>
    <w:rsid w:val="7D5A12D0"/>
    <w:rsid w:val="7D65E60B"/>
    <w:rsid w:val="7D857779"/>
    <w:rsid w:val="7D8CC19F"/>
    <w:rsid w:val="7D9ABE27"/>
    <w:rsid w:val="7D9BB856"/>
    <w:rsid w:val="7D9C127E"/>
    <w:rsid w:val="7DAA25C7"/>
    <w:rsid w:val="7DB021F9"/>
    <w:rsid w:val="7DB95FCE"/>
    <w:rsid w:val="7DBBBEBD"/>
    <w:rsid w:val="7DBFC521"/>
    <w:rsid w:val="7DC9D96B"/>
    <w:rsid w:val="7DCD1741"/>
    <w:rsid w:val="7DDAC9C6"/>
    <w:rsid w:val="7DDC49D3"/>
    <w:rsid w:val="7DDCD723"/>
    <w:rsid w:val="7DDDB88A"/>
    <w:rsid w:val="7DE8F9A8"/>
    <w:rsid w:val="7DF20FF7"/>
    <w:rsid w:val="7DFF1156"/>
    <w:rsid w:val="7E086161"/>
    <w:rsid w:val="7E1B45B7"/>
    <w:rsid w:val="7E2A4FE6"/>
    <w:rsid w:val="7E2B88CF"/>
    <w:rsid w:val="7E32D564"/>
    <w:rsid w:val="7E35D7F6"/>
    <w:rsid w:val="7E3A9FCA"/>
    <w:rsid w:val="7E41B8AD"/>
    <w:rsid w:val="7E45E036"/>
    <w:rsid w:val="7E51C3DA"/>
    <w:rsid w:val="7E51CA86"/>
    <w:rsid w:val="7E556D14"/>
    <w:rsid w:val="7E55FA75"/>
    <w:rsid w:val="7E65AB6E"/>
    <w:rsid w:val="7E68BDDE"/>
    <w:rsid w:val="7E692603"/>
    <w:rsid w:val="7E6F45F9"/>
    <w:rsid w:val="7E71DFD3"/>
    <w:rsid w:val="7E7704C5"/>
    <w:rsid w:val="7E7E6A3B"/>
    <w:rsid w:val="7E7F12F5"/>
    <w:rsid w:val="7E80C9D7"/>
    <w:rsid w:val="7E8D28A5"/>
    <w:rsid w:val="7E907BD6"/>
    <w:rsid w:val="7E90C287"/>
    <w:rsid w:val="7E9379E3"/>
    <w:rsid w:val="7E9D95E0"/>
    <w:rsid w:val="7E9EC738"/>
    <w:rsid w:val="7EA5325E"/>
    <w:rsid w:val="7EAACC7F"/>
    <w:rsid w:val="7EBEB59D"/>
    <w:rsid w:val="7EDA570F"/>
    <w:rsid w:val="7EDDE564"/>
    <w:rsid w:val="7EEC850B"/>
    <w:rsid w:val="7EEEEB36"/>
    <w:rsid w:val="7EFE3DF4"/>
    <w:rsid w:val="7F01B6B8"/>
    <w:rsid w:val="7F022597"/>
    <w:rsid w:val="7F06A2F3"/>
    <w:rsid w:val="7F09BF89"/>
    <w:rsid w:val="7F0BBD4F"/>
    <w:rsid w:val="7F11712A"/>
    <w:rsid w:val="7F12FB5A"/>
    <w:rsid w:val="7F16146A"/>
    <w:rsid w:val="7F1F575A"/>
    <w:rsid w:val="7F3AEA26"/>
    <w:rsid w:val="7F406E3B"/>
    <w:rsid w:val="7F49D9A1"/>
    <w:rsid w:val="7F4FF10F"/>
    <w:rsid w:val="7F5799C2"/>
    <w:rsid w:val="7F585C8D"/>
    <w:rsid w:val="7F6148A6"/>
    <w:rsid w:val="7F64315F"/>
    <w:rsid w:val="7F645707"/>
    <w:rsid w:val="7F677732"/>
    <w:rsid w:val="7F6DF5A4"/>
    <w:rsid w:val="7F707917"/>
    <w:rsid w:val="7F731D58"/>
    <w:rsid w:val="7F7A6AC2"/>
    <w:rsid w:val="7F8697C1"/>
    <w:rsid w:val="7F89ACB1"/>
    <w:rsid w:val="7F8DBFEC"/>
    <w:rsid w:val="7F907A97"/>
    <w:rsid w:val="7F973EF9"/>
    <w:rsid w:val="7F9E32DD"/>
    <w:rsid w:val="7FA337FD"/>
    <w:rsid w:val="7FB2D786"/>
    <w:rsid w:val="7FBA88B4"/>
    <w:rsid w:val="7FC3891B"/>
    <w:rsid w:val="7FC9A7A3"/>
    <w:rsid w:val="7FCAA3C2"/>
    <w:rsid w:val="7FCE4D6E"/>
    <w:rsid w:val="7FCF46B6"/>
    <w:rsid w:val="7FCF6D98"/>
    <w:rsid w:val="7FD1CAFB"/>
    <w:rsid w:val="7FD63710"/>
    <w:rsid w:val="7FDF6BCF"/>
    <w:rsid w:val="7FE0B8CD"/>
    <w:rsid w:val="7FF88EDB"/>
    <w:rsid w:val="7FFADE17"/>
    <w:rsid w:val="7FF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9CB8F"/>
  <w15:chartTrackingRefBased/>
  <w15:docId w15:val="{D5A4FE18-DB44-4E3C-B47B-3FA46E9F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33"/>
    <w:rPr>
      <w:rFonts w:ascii="Verdana" w:hAnsi="Verdana"/>
      <w:color w:val="000000" w:themeColor="text1"/>
      <w:sz w:val="20"/>
    </w:rPr>
  </w:style>
  <w:style w:type="paragraph" w:styleId="Heading1">
    <w:name w:val="heading 1"/>
    <w:basedOn w:val="Normal"/>
    <w:next w:val="Normal"/>
    <w:link w:val="Heading1Char"/>
    <w:autoRedefine/>
    <w:uiPriority w:val="9"/>
    <w:qFormat/>
    <w:rsid w:val="004C47B2"/>
    <w:pPr>
      <w:keepNext/>
      <w:keepLines/>
      <w:numPr>
        <w:numId w:val="27"/>
      </w:numPr>
      <w:spacing w:before="240" w:after="0"/>
      <w:outlineLvl w:val="0"/>
    </w:pPr>
    <w:rPr>
      <w:rFonts w:ascii="Palatino Linotype" w:eastAsiaTheme="majorEastAsia" w:hAnsi="Palatino Linotype" w:cstheme="majorBidi"/>
      <w:color w:val="143156"/>
      <w:sz w:val="48"/>
      <w:szCs w:val="32"/>
    </w:rPr>
  </w:style>
  <w:style w:type="paragraph" w:styleId="Heading2">
    <w:name w:val="heading 2"/>
    <w:basedOn w:val="Normal"/>
    <w:next w:val="Normal"/>
    <w:link w:val="Heading2Char"/>
    <w:autoRedefine/>
    <w:uiPriority w:val="9"/>
    <w:unhideWhenUsed/>
    <w:qFormat/>
    <w:rsid w:val="000C6B7B"/>
    <w:pPr>
      <w:keepNext/>
      <w:keepLines/>
      <w:numPr>
        <w:ilvl w:val="1"/>
        <w:numId w:val="27"/>
      </w:numPr>
      <w:spacing w:before="40" w:after="0"/>
      <w:ind w:left="1276" w:hanging="916"/>
      <w:outlineLvl w:val="1"/>
    </w:pPr>
    <w:rPr>
      <w:rFonts w:ascii="Palatino Linotype" w:eastAsiaTheme="majorEastAsia" w:hAnsi="Palatino Linotype" w:cstheme="majorBidi"/>
      <w:color w:val="143156"/>
      <w:sz w:val="40"/>
      <w:szCs w:val="26"/>
    </w:rPr>
  </w:style>
  <w:style w:type="paragraph" w:styleId="Heading3">
    <w:name w:val="heading 3"/>
    <w:basedOn w:val="Normal"/>
    <w:next w:val="Normal"/>
    <w:link w:val="Heading3Char"/>
    <w:autoRedefine/>
    <w:uiPriority w:val="9"/>
    <w:unhideWhenUsed/>
    <w:qFormat/>
    <w:rsid w:val="00D72F33"/>
    <w:pPr>
      <w:keepNext/>
      <w:keepLines/>
      <w:spacing w:before="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autoRedefine/>
    <w:uiPriority w:val="9"/>
    <w:unhideWhenUsed/>
    <w:qFormat/>
    <w:rsid w:val="00D72F33"/>
    <w:pPr>
      <w:keepNext/>
      <w:keepLines/>
      <w:spacing w:before="40" w:after="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autoRedefine/>
    <w:uiPriority w:val="9"/>
    <w:unhideWhenUsed/>
    <w:qFormat/>
    <w:rsid w:val="00F468D6"/>
    <w:pPr>
      <w:keepNext/>
      <w:keepLines/>
      <w:spacing w:before="40" w:after="0"/>
      <w:outlineLvl w:val="4"/>
    </w:pPr>
    <w:rPr>
      <w:rFonts w:eastAsiaTheme="majorEastAsia" w:cstheme="majorBidi"/>
      <w:b/>
      <w:color w:val="CE20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7B2"/>
    <w:rPr>
      <w:rFonts w:ascii="Palatino Linotype" w:eastAsiaTheme="majorEastAsia" w:hAnsi="Palatino Linotype" w:cstheme="majorBidi"/>
      <w:color w:val="143156"/>
      <w:sz w:val="48"/>
      <w:szCs w:val="32"/>
    </w:rPr>
  </w:style>
  <w:style w:type="character" w:customStyle="1" w:styleId="Heading2Char">
    <w:name w:val="Heading 2 Char"/>
    <w:basedOn w:val="DefaultParagraphFont"/>
    <w:link w:val="Heading2"/>
    <w:uiPriority w:val="9"/>
    <w:rsid w:val="000C6B7B"/>
    <w:rPr>
      <w:rFonts w:ascii="Palatino Linotype" w:eastAsiaTheme="majorEastAsia" w:hAnsi="Palatino Linotype" w:cstheme="majorBidi"/>
      <w:color w:val="143156"/>
      <w:sz w:val="40"/>
      <w:szCs w:val="26"/>
    </w:rPr>
  </w:style>
  <w:style w:type="character" w:customStyle="1" w:styleId="Heading3Char">
    <w:name w:val="Heading 3 Char"/>
    <w:basedOn w:val="DefaultParagraphFont"/>
    <w:link w:val="Heading3"/>
    <w:uiPriority w:val="9"/>
    <w:rsid w:val="00D72F33"/>
    <w:rPr>
      <w:rFonts w:ascii="Palatino Linotype" w:eastAsiaTheme="majorEastAsia" w:hAnsi="Palatino Linotype" w:cstheme="majorBidi"/>
      <w:b/>
      <w:color w:val="143156"/>
      <w:sz w:val="32"/>
      <w:szCs w:val="24"/>
    </w:rPr>
  </w:style>
  <w:style w:type="character" w:customStyle="1" w:styleId="Heading4Char">
    <w:name w:val="Heading 4 Char"/>
    <w:basedOn w:val="DefaultParagraphFont"/>
    <w:link w:val="Heading4"/>
    <w:uiPriority w:val="9"/>
    <w:rsid w:val="00D72F33"/>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F468D6"/>
    <w:rPr>
      <w:rFonts w:ascii="Verdana" w:eastAsiaTheme="majorEastAsia" w:hAnsi="Verdana" w:cstheme="majorBidi"/>
      <w:b/>
      <w:color w:val="CE2028"/>
    </w:rPr>
  </w:style>
  <w:style w:type="paragraph" w:styleId="Header">
    <w:name w:val="header"/>
    <w:basedOn w:val="Normal"/>
    <w:link w:val="HeaderChar"/>
    <w:uiPriority w:val="99"/>
    <w:unhideWhenUsed/>
    <w:rsid w:val="00F0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627"/>
  </w:style>
  <w:style w:type="paragraph" w:styleId="Footer">
    <w:name w:val="footer"/>
    <w:basedOn w:val="Normal"/>
    <w:link w:val="FooterChar"/>
    <w:uiPriority w:val="99"/>
    <w:unhideWhenUsed/>
    <w:rsid w:val="00F0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627"/>
  </w:style>
  <w:style w:type="paragraph" w:styleId="Title">
    <w:name w:val="Title"/>
    <w:basedOn w:val="Heading1"/>
    <w:next w:val="Normal"/>
    <w:link w:val="TitleChar"/>
    <w:autoRedefine/>
    <w:uiPriority w:val="10"/>
    <w:qFormat/>
    <w:rsid w:val="00D72F33"/>
    <w:pPr>
      <w:numPr>
        <w:numId w:val="0"/>
      </w:numPr>
      <w:spacing w:line="240" w:lineRule="auto"/>
      <w:ind w:left="720" w:hanging="360"/>
      <w:contextualSpacing/>
    </w:pPr>
    <w:rPr>
      <w:b/>
      <w:spacing w:val="-10"/>
      <w:kern w:val="28"/>
      <w:sz w:val="56"/>
      <w:szCs w:val="56"/>
    </w:rPr>
  </w:style>
  <w:style w:type="character" w:customStyle="1" w:styleId="TitleChar">
    <w:name w:val="Title Char"/>
    <w:basedOn w:val="DefaultParagraphFont"/>
    <w:link w:val="Title"/>
    <w:uiPriority w:val="10"/>
    <w:rsid w:val="00D72F33"/>
    <w:rPr>
      <w:rFonts w:ascii="Palatino Linotype" w:eastAsiaTheme="majorEastAsia" w:hAnsi="Palatino Linotype" w:cstheme="majorBidi"/>
      <w:b/>
      <w:color w:val="143156"/>
      <w:spacing w:val="-10"/>
      <w:kern w:val="28"/>
      <w:sz w:val="56"/>
      <w:szCs w:val="56"/>
    </w:rPr>
  </w:style>
  <w:style w:type="paragraph" w:styleId="TOC1">
    <w:name w:val="toc 1"/>
    <w:basedOn w:val="Normal"/>
    <w:next w:val="Normal"/>
    <w:autoRedefine/>
    <w:uiPriority w:val="39"/>
    <w:unhideWhenUsed/>
    <w:rsid w:val="000C6B7B"/>
    <w:pPr>
      <w:tabs>
        <w:tab w:val="left" w:pos="660"/>
        <w:tab w:val="right" w:leader="dot" w:pos="8990"/>
      </w:tabs>
      <w:spacing w:after="100"/>
    </w:pPr>
    <w:rPr>
      <w:b/>
      <w:noProof/>
    </w:rPr>
  </w:style>
  <w:style w:type="character" w:styleId="Hyperlink">
    <w:name w:val="Hyperlink"/>
    <w:basedOn w:val="DefaultParagraphFont"/>
    <w:uiPriority w:val="99"/>
    <w:unhideWhenUsed/>
    <w:rsid w:val="00AF2299"/>
    <w:rPr>
      <w:color w:val="0563C1" w:themeColor="hyperlink"/>
      <w:u w:val="single"/>
    </w:rPr>
  </w:style>
  <w:style w:type="paragraph" w:styleId="TOC2">
    <w:name w:val="toc 2"/>
    <w:basedOn w:val="Normal"/>
    <w:next w:val="Normal"/>
    <w:autoRedefine/>
    <w:uiPriority w:val="39"/>
    <w:unhideWhenUsed/>
    <w:rsid w:val="00AF2299"/>
    <w:pPr>
      <w:spacing w:after="100"/>
      <w:ind w:left="220"/>
    </w:pPr>
  </w:style>
  <w:style w:type="paragraph" w:styleId="Subtitle">
    <w:name w:val="Subtitle"/>
    <w:basedOn w:val="Title"/>
    <w:next w:val="Normal"/>
    <w:link w:val="SubtitleChar"/>
    <w:autoRedefine/>
    <w:uiPriority w:val="11"/>
    <w:qFormat/>
    <w:rsid w:val="00D72F33"/>
    <w:pPr>
      <w:ind w:left="1080" w:hanging="720"/>
    </w:pPr>
    <w:rPr>
      <w:rFonts w:eastAsiaTheme="minorEastAsia"/>
      <w:b w:val="0"/>
      <w:spacing w:val="15"/>
      <w:sz w:val="52"/>
    </w:rPr>
  </w:style>
  <w:style w:type="character" w:customStyle="1" w:styleId="SubtitleChar">
    <w:name w:val="Subtitle Char"/>
    <w:basedOn w:val="DefaultParagraphFont"/>
    <w:link w:val="Subtitle"/>
    <w:uiPriority w:val="11"/>
    <w:rsid w:val="00D72F33"/>
    <w:rPr>
      <w:rFonts w:ascii="Palatino Linotype" w:eastAsiaTheme="minorEastAsia" w:hAnsi="Palatino Linotype" w:cstheme="majorBidi"/>
      <w:color w:val="143156"/>
      <w:spacing w:val="15"/>
      <w:kern w:val="28"/>
      <w:sz w:val="52"/>
      <w:szCs w:val="56"/>
    </w:rPr>
  </w:style>
  <w:style w:type="character" w:styleId="SubtleEmphasis">
    <w:name w:val="Subtle Emphasis"/>
    <w:basedOn w:val="SubtitleChar"/>
    <w:uiPriority w:val="19"/>
    <w:rsid w:val="002E3C12"/>
    <w:rPr>
      <w:rFonts w:ascii="Palatino Linotype" w:eastAsiaTheme="minorEastAsia" w:hAnsi="Palatino Linotype" w:cstheme="majorBidi"/>
      <w:i w:val="0"/>
      <w:iCs/>
      <w:color w:val="143156"/>
      <w:spacing w:val="15"/>
      <w:kern w:val="28"/>
      <w:sz w:val="36"/>
      <w:szCs w:val="56"/>
    </w:rPr>
  </w:style>
  <w:style w:type="paragraph" w:customStyle="1" w:styleId="Recommendation">
    <w:name w:val="Recommendation"/>
    <w:basedOn w:val="Normal"/>
    <w:next w:val="ListNumber"/>
    <w:qFormat/>
    <w:rsid w:val="00D72F33"/>
    <w:pPr>
      <w:tabs>
        <w:tab w:val="left" w:pos="567"/>
      </w:tabs>
      <w:spacing w:after="0" w:line="240" w:lineRule="auto"/>
    </w:pPr>
    <w:rPr>
      <w:b/>
      <w:color w:val="CE2028"/>
    </w:rPr>
  </w:style>
  <w:style w:type="paragraph" w:styleId="ListNumber">
    <w:name w:val="List Number"/>
    <w:basedOn w:val="Normal"/>
    <w:uiPriority w:val="99"/>
    <w:unhideWhenUsed/>
    <w:rsid w:val="001A7F0D"/>
    <w:pPr>
      <w:numPr>
        <w:numId w:val="26"/>
      </w:numPr>
      <w:contextualSpacing/>
    </w:pPr>
  </w:style>
  <w:style w:type="paragraph" w:styleId="ListParagraph">
    <w:name w:val="List Paragraph"/>
    <w:basedOn w:val="List"/>
    <w:next w:val="List3"/>
    <w:uiPriority w:val="34"/>
    <w:qFormat/>
    <w:rsid w:val="00843680"/>
    <w:pPr>
      <w:numPr>
        <w:numId w:val="22"/>
      </w:numPr>
      <w:spacing w:after="0" w:line="240" w:lineRule="auto"/>
    </w:pPr>
    <w:rPr>
      <w:bCs/>
      <w:szCs w:val="20"/>
    </w:rPr>
  </w:style>
  <w:style w:type="paragraph" w:styleId="List">
    <w:name w:val="List"/>
    <w:basedOn w:val="Normal"/>
    <w:uiPriority w:val="99"/>
    <w:semiHidden/>
    <w:unhideWhenUsed/>
    <w:rsid w:val="001A7F0D"/>
    <w:pPr>
      <w:ind w:left="283" w:hanging="283"/>
      <w:contextualSpacing/>
    </w:pPr>
  </w:style>
  <w:style w:type="paragraph" w:styleId="List3">
    <w:name w:val="List 3"/>
    <w:basedOn w:val="Normal"/>
    <w:uiPriority w:val="99"/>
    <w:unhideWhenUsed/>
    <w:rsid w:val="001A7F0D"/>
    <w:pPr>
      <w:ind w:left="849" w:hanging="283"/>
      <w:contextualSpacing/>
    </w:pPr>
  </w:style>
  <w:style w:type="table" w:customStyle="1" w:styleId="ACOSSTable">
    <w:name w:val="ACOSS Table"/>
    <w:basedOn w:val="TableNormal"/>
    <w:uiPriority w:val="99"/>
    <w:rsid w:val="00802DA1"/>
    <w:pPr>
      <w:spacing w:after="0" w:line="240" w:lineRule="auto"/>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
    <w:name w:val="Table Grid"/>
    <w:basedOn w:val="TableNormal"/>
    <w:uiPriority w:val="39"/>
    <w:rsid w:val="0080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Verdana" w:hAnsi="Verdana"/>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0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4DA"/>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524C8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155F2"/>
    <w:rPr>
      <w:b/>
      <w:bCs/>
    </w:rPr>
  </w:style>
  <w:style w:type="character" w:customStyle="1" w:styleId="CommentSubjectChar">
    <w:name w:val="Comment Subject Char"/>
    <w:basedOn w:val="CommentTextChar"/>
    <w:link w:val="CommentSubject"/>
    <w:uiPriority w:val="99"/>
    <w:semiHidden/>
    <w:rsid w:val="002155F2"/>
    <w:rPr>
      <w:rFonts w:ascii="Verdana" w:hAnsi="Verdana"/>
      <w:b/>
      <w:bCs/>
      <w:color w:val="000000" w:themeColor="text1"/>
      <w:sz w:val="20"/>
      <w:szCs w:val="20"/>
    </w:rPr>
  </w:style>
  <w:style w:type="paragraph" w:styleId="Revision">
    <w:name w:val="Revision"/>
    <w:hidden/>
    <w:uiPriority w:val="99"/>
    <w:semiHidden/>
    <w:rsid w:val="005855C0"/>
    <w:pPr>
      <w:spacing w:after="0" w:line="240" w:lineRule="auto"/>
    </w:pPr>
    <w:rPr>
      <w:rFonts w:ascii="Verdana" w:hAnsi="Verdana"/>
      <w:color w:val="000000" w:themeColor="text1"/>
      <w:sz w:val="20"/>
    </w:rPr>
  </w:style>
  <w:style w:type="paragraph" w:styleId="TOCHeading">
    <w:name w:val="TOC Heading"/>
    <w:basedOn w:val="Heading1"/>
    <w:next w:val="Normal"/>
    <w:uiPriority w:val="39"/>
    <w:unhideWhenUsed/>
    <w:qFormat/>
    <w:rsid w:val="0002757C"/>
    <w:pPr>
      <w:numPr>
        <w:numId w:val="0"/>
      </w:numPr>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rsid w:val="0002757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1621">
      <w:bodyDiv w:val="1"/>
      <w:marLeft w:val="0"/>
      <w:marRight w:val="0"/>
      <w:marTop w:val="0"/>
      <w:marBottom w:val="0"/>
      <w:divBdr>
        <w:top w:val="none" w:sz="0" w:space="0" w:color="auto"/>
        <w:left w:val="none" w:sz="0" w:space="0" w:color="auto"/>
        <w:bottom w:val="none" w:sz="0" w:space="0" w:color="auto"/>
        <w:right w:val="none" w:sz="0" w:space="0" w:color="auto"/>
      </w:divBdr>
    </w:div>
    <w:div w:id="509639363">
      <w:bodyDiv w:val="1"/>
      <w:marLeft w:val="0"/>
      <w:marRight w:val="0"/>
      <w:marTop w:val="0"/>
      <w:marBottom w:val="0"/>
      <w:divBdr>
        <w:top w:val="none" w:sz="0" w:space="0" w:color="auto"/>
        <w:left w:val="none" w:sz="0" w:space="0" w:color="auto"/>
        <w:bottom w:val="none" w:sz="0" w:space="0" w:color="auto"/>
        <w:right w:val="none" w:sz="0" w:space="0" w:color="auto"/>
      </w:divBdr>
    </w:div>
    <w:div w:id="836766174">
      <w:bodyDiv w:val="1"/>
      <w:marLeft w:val="0"/>
      <w:marRight w:val="0"/>
      <w:marTop w:val="0"/>
      <w:marBottom w:val="0"/>
      <w:divBdr>
        <w:top w:val="none" w:sz="0" w:space="0" w:color="auto"/>
        <w:left w:val="none" w:sz="0" w:space="0" w:color="auto"/>
        <w:bottom w:val="none" w:sz="0" w:space="0" w:color="auto"/>
        <w:right w:val="none" w:sz="0" w:space="0" w:color="auto"/>
      </w:divBdr>
    </w:div>
    <w:div w:id="871260968">
      <w:bodyDiv w:val="1"/>
      <w:marLeft w:val="0"/>
      <w:marRight w:val="0"/>
      <w:marTop w:val="0"/>
      <w:marBottom w:val="0"/>
      <w:divBdr>
        <w:top w:val="none" w:sz="0" w:space="0" w:color="auto"/>
        <w:left w:val="none" w:sz="0" w:space="0" w:color="auto"/>
        <w:bottom w:val="none" w:sz="0" w:space="0" w:color="auto"/>
        <w:right w:val="none" w:sz="0" w:space="0" w:color="auto"/>
      </w:divBdr>
    </w:div>
    <w:div w:id="1041134192">
      <w:bodyDiv w:val="1"/>
      <w:marLeft w:val="0"/>
      <w:marRight w:val="0"/>
      <w:marTop w:val="0"/>
      <w:marBottom w:val="0"/>
      <w:divBdr>
        <w:top w:val="none" w:sz="0" w:space="0" w:color="auto"/>
        <w:left w:val="none" w:sz="0" w:space="0" w:color="auto"/>
        <w:bottom w:val="none" w:sz="0" w:space="0" w:color="auto"/>
        <w:right w:val="none" w:sz="0" w:space="0" w:color="auto"/>
      </w:divBdr>
    </w:div>
    <w:div w:id="1241594861">
      <w:bodyDiv w:val="1"/>
      <w:marLeft w:val="0"/>
      <w:marRight w:val="0"/>
      <w:marTop w:val="0"/>
      <w:marBottom w:val="0"/>
      <w:divBdr>
        <w:top w:val="none" w:sz="0" w:space="0" w:color="auto"/>
        <w:left w:val="none" w:sz="0" w:space="0" w:color="auto"/>
        <w:bottom w:val="none" w:sz="0" w:space="0" w:color="auto"/>
        <w:right w:val="none" w:sz="0" w:space="0" w:color="auto"/>
      </w:divBdr>
    </w:div>
    <w:div w:id="1253011556">
      <w:bodyDiv w:val="1"/>
      <w:marLeft w:val="0"/>
      <w:marRight w:val="0"/>
      <w:marTop w:val="0"/>
      <w:marBottom w:val="0"/>
      <w:divBdr>
        <w:top w:val="none" w:sz="0" w:space="0" w:color="auto"/>
        <w:left w:val="none" w:sz="0" w:space="0" w:color="auto"/>
        <w:bottom w:val="none" w:sz="0" w:space="0" w:color="auto"/>
        <w:right w:val="none" w:sz="0" w:space="0" w:color="auto"/>
      </w:divBdr>
    </w:div>
    <w:div w:id="1319576011">
      <w:bodyDiv w:val="1"/>
      <w:marLeft w:val="0"/>
      <w:marRight w:val="0"/>
      <w:marTop w:val="0"/>
      <w:marBottom w:val="0"/>
      <w:divBdr>
        <w:top w:val="none" w:sz="0" w:space="0" w:color="auto"/>
        <w:left w:val="none" w:sz="0" w:space="0" w:color="auto"/>
        <w:bottom w:val="none" w:sz="0" w:space="0" w:color="auto"/>
        <w:right w:val="none" w:sz="0" w:space="0" w:color="auto"/>
      </w:divBdr>
    </w:div>
    <w:div w:id="1365323297">
      <w:bodyDiv w:val="1"/>
      <w:marLeft w:val="0"/>
      <w:marRight w:val="0"/>
      <w:marTop w:val="0"/>
      <w:marBottom w:val="0"/>
      <w:divBdr>
        <w:top w:val="none" w:sz="0" w:space="0" w:color="auto"/>
        <w:left w:val="none" w:sz="0" w:space="0" w:color="auto"/>
        <w:bottom w:val="none" w:sz="0" w:space="0" w:color="auto"/>
        <w:right w:val="none" w:sz="0" w:space="0" w:color="auto"/>
      </w:divBdr>
    </w:div>
    <w:div w:id="1641107786">
      <w:bodyDiv w:val="1"/>
      <w:marLeft w:val="0"/>
      <w:marRight w:val="0"/>
      <w:marTop w:val="0"/>
      <w:marBottom w:val="0"/>
      <w:divBdr>
        <w:top w:val="none" w:sz="0" w:space="0" w:color="auto"/>
        <w:left w:val="none" w:sz="0" w:space="0" w:color="auto"/>
        <w:bottom w:val="none" w:sz="0" w:space="0" w:color="auto"/>
        <w:right w:val="none" w:sz="0" w:space="0" w:color="auto"/>
      </w:divBdr>
    </w:div>
    <w:div w:id="1956323819">
      <w:bodyDiv w:val="1"/>
      <w:marLeft w:val="0"/>
      <w:marRight w:val="0"/>
      <w:marTop w:val="0"/>
      <w:marBottom w:val="0"/>
      <w:divBdr>
        <w:top w:val="none" w:sz="0" w:space="0" w:color="auto"/>
        <w:left w:val="none" w:sz="0" w:space="0" w:color="auto"/>
        <w:bottom w:val="none" w:sz="0" w:space="0" w:color="auto"/>
        <w:right w:val="none" w:sz="0" w:space="0" w:color="auto"/>
      </w:divBdr>
      <w:divsChild>
        <w:div w:id="271937146">
          <w:marLeft w:val="0"/>
          <w:marRight w:val="0"/>
          <w:marTop w:val="0"/>
          <w:marBottom w:val="0"/>
          <w:divBdr>
            <w:top w:val="none" w:sz="0" w:space="0" w:color="auto"/>
            <w:left w:val="none" w:sz="0" w:space="0" w:color="auto"/>
            <w:bottom w:val="none" w:sz="0" w:space="0" w:color="auto"/>
            <w:right w:val="none" w:sz="0" w:space="0" w:color="auto"/>
          </w:divBdr>
          <w:divsChild>
            <w:div w:id="1226719402">
              <w:marLeft w:val="0"/>
              <w:marRight w:val="0"/>
              <w:marTop w:val="0"/>
              <w:marBottom w:val="0"/>
              <w:divBdr>
                <w:top w:val="none" w:sz="0" w:space="0" w:color="auto"/>
                <w:left w:val="none" w:sz="0" w:space="0" w:color="auto"/>
                <w:bottom w:val="none" w:sz="0" w:space="0" w:color="auto"/>
                <w:right w:val="none" w:sz="0" w:space="0" w:color="auto"/>
              </w:divBdr>
            </w:div>
            <w:div w:id="1727027474">
              <w:marLeft w:val="0"/>
              <w:marRight w:val="0"/>
              <w:marTop w:val="0"/>
              <w:marBottom w:val="0"/>
              <w:divBdr>
                <w:top w:val="none" w:sz="0" w:space="0" w:color="auto"/>
                <w:left w:val="none" w:sz="0" w:space="0" w:color="auto"/>
                <w:bottom w:val="none" w:sz="0" w:space="0" w:color="auto"/>
                <w:right w:val="none" w:sz="0" w:space="0" w:color="auto"/>
              </w:divBdr>
            </w:div>
            <w:div w:id="6361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coss.org.au" TargetMode="External"/><Relationship Id="rId18" Type="http://schemas.openxmlformats.org/officeDocument/2006/relationships/hyperlink" Target="https://www.acoss.org.au/wp-content/uploads/2020/04/Who-misses-out-Briefing-ACCESSIBLE-FINAL.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acoss.org.au/wp-content/uploads/2020/09/Social-security-next-steps-JUL-UPDATED-2-9_.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oss.org.au/wp-content/uploads/2020/08/Social-security-next-steps-JUL.pdf" TargetMode="External"/><Relationship Id="rId20" Type="http://schemas.openxmlformats.org/officeDocument/2006/relationships/hyperlink" Target="http://coagenergycouncil.gov.au/publications/trajectory-low-energy-buildings" TargetMode="External"/><Relationship Id="R32cdda2ca4de41e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https://csrm.cass.anu.edu.au/research/publications/covid-19-jobkeeper-and-jobseeker-impacts-poverty-and-housing-stress-under" TargetMode="Externa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4.png"/><Relationship Id="R5854a1eead0c436e" Type="http://schemas.microsoft.com/office/2018/08/relationships/commentsExtensible" Target="commentsExtensible.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hyperlink" Target="http://www.acoss.org.au" TargetMode="External"/><Relationship Id="rId22" Type="http://schemas.openxmlformats.org/officeDocument/2006/relationships/image" Target="media/image6.emf"/></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oss.org.au/wp-content/uploads/2020/10/23102020_ACOSS-Submission_JobMaker-Wage-Subsidies_Final.pdf" TargetMode="External"/><Relationship Id="rId13" Type="http://schemas.openxmlformats.org/officeDocument/2006/relationships/hyperlink" Target="http://www.amsant.org.au/apont/wp-content/uploads/2017/07/RDES-Report_Online.pdf" TargetMode="External"/><Relationship Id="rId18" Type="http://schemas.openxmlformats.org/officeDocument/2006/relationships/hyperlink" Target="http://www.cleanenergyregulator.gov.au/DocumentAssets/Documents/STC%20modelling%20report%20by%20Jacobs%20-%20January%202020.pdf" TargetMode="External"/><Relationship Id="rId26" Type="http://schemas.openxmlformats.org/officeDocument/2006/relationships/hyperlink" Target="https://www.aph.gov.au/About_Parliament/Parliamentary_Departments/Parliamentary_Budget_Office/Publications/Research_reports/Medium-term_budget_projections" TargetMode="External"/><Relationship Id="rId39" Type="http://schemas.openxmlformats.org/officeDocument/2006/relationships/hyperlink" Target="https://grattan.edu.au/wp-content/uploads/2020/02/No-free-lunch-Higher-superannuation-means-lower-wages.pdf" TargetMode="External"/><Relationship Id="rId3" Type="http://schemas.openxmlformats.org/officeDocument/2006/relationships/hyperlink" Target="https://www.acoss.org.au/wp-content/uploads/2019/07/190729-Survey-of-people-on-Newstart-and-Youth-Allowance.pdf" TargetMode="External"/><Relationship Id="rId21" Type="http://schemas.openxmlformats.org/officeDocument/2006/relationships/hyperlink" Target="https://www.acoss.org.au/wp-content/uploads/2019/08/ACOSS-Brief-Social-Housing-Investment-as-Infrastructure.pdf" TargetMode="External"/><Relationship Id="rId34" Type="http://schemas.openxmlformats.org/officeDocument/2006/relationships/hyperlink" Target="https://www.acoss.org.au/wp-content/uploads/2020/02/200202-Retirement-Incomes-Review-ACOSS-submission.pdf" TargetMode="External"/><Relationship Id="rId42" Type="http://schemas.openxmlformats.org/officeDocument/2006/relationships/hyperlink" Target="https://www.aph.gov.au/About_Parliament/Parliamentary_Departments/Parliamentary_Budget_Office/Publications/Research_reports/Medium-term_budget_projections" TargetMode="External"/><Relationship Id="rId7" Type="http://schemas.openxmlformats.org/officeDocument/2006/relationships/hyperlink" Target="https://docs.employment.gov.au/documents/work-dole-2014-15-evaluation-report" TargetMode="External"/><Relationship Id="rId12" Type="http://schemas.openxmlformats.org/officeDocument/2006/relationships/hyperlink" Target="https://www.acoss.org.au/wp-content/uploads/2021/01/201208-ACOSS-submission-new-employment-service-payment-model.pdf" TargetMode="External"/><Relationship Id="rId17" Type="http://schemas.openxmlformats.org/officeDocument/2006/relationships/hyperlink" Target="https://www.acoss.org.au/wp-content/uploads/2020/12/ACOSS-Health-of-the-NEM-report-2020.pdf" TargetMode="External"/><Relationship Id="rId25" Type="http://schemas.openxmlformats.org/officeDocument/2006/relationships/hyperlink" Target="https://grattan.edu.au/wp-content/uploads/2020/08/Cheaper-Childcare-Grattan-Institute-Report.pdf" TargetMode="External"/><Relationship Id="rId33" Type="http://schemas.openxmlformats.org/officeDocument/2006/relationships/hyperlink" Target="https://www.opc.org.au/downloads/policy-briefs/the-case-for-australian-tax-sugar-sweetened-beverages.pdf" TargetMode="External"/><Relationship Id="rId38" Type="http://schemas.openxmlformats.org/officeDocument/2006/relationships/hyperlink" Target="https://treasury.gov.au/sites/default/files/2020-11/p2020-100554-complete-report.pdf" TargetMode="External"/><Relationship Id="rId46" Type="http://schemas.openxmlformats.org/officeDocument/2006/relationships/hyperlink" Target="https://www.acilallen.com.au/uploads/files/projects/177/ACILAllen_AlcoholTax_2015.pdf" TargetMode="External"/><Relationship Id="rId2" Type="http://schemas.openxmlformats.org/officeDocument/2006/relationships/hyperlink" Target="https://www.acoss.org.au/wp-content/uploads/2020/06/200624-I-Can-Finally-Eat-Fresh-Fruit-And-Vegetables-Results-Of-The-Coronaviru.._.pdf" TargetMode="External"/><Relationship Id="rId16" Type="http://schemas.openxmlformats.org/officeDocument/2006/relationships/hyperlink" Target="https://www.accc.gov.au/system/files/Retail%20Electricity%20Pricing%20Inquiry%e2%80%94Final%20Report%20June%202018_Exec%20summary.pdf" TargetMode="External"/><Relationship Id="rId20" Type="http://schemas.openxmlformats.org/officeDocument/2006/relationships/hyperlink" Target="http://resilience.acoss.org.au/" TargetMode="External"/><Relationship Id="rId29" Type="http://schemas.openxmlformats.org/officeDocument/2006/relationships/hyperlink" Target="http://www.mbsonline.gov.au/internet/mbsonline/publishing.nsf/Content/Factsheet-MSN_1Jan2019" TargetMode="External"/><Relationship Id="rId41" Type="http://schemas.openxmlformats.org/officeDocument/2006/relationships/hyperlink" Target="https://treasury.gov.au/review/the-australias-future-tax-system-review/final-report" TargetMode="External"/><Relationship Id="rId1" Type="http://schemas.openxmlformats.org/officeDocument/2006/relationships/hyperlink" Target="https://www.anglicare.asn.au/docs/default-source/default-document-library/special-release-rental-affordability-update.pdf?sfvrsn=4" TargetMode="External"/><Relationship Id="rId6" Type="http://schemas.openxmlformats.org/officeDocument/2006/relationships/hyperlink" Target="https://www.acoss.org.au/wp-content/uploads/2018/09/ACOSS_JA_Faces-of-Unemployment_14-September-2018_web.pdf" TargetMode="External"/><Relationship Id="rId11" Type="http://schemas.openxmlformats.org/officeDocument/2006/relationships/hyperlink" Target="https://www.acoss.org.au/wp-content/uploads/2020/11/acoss-submission-employment-service-licensing.pdf" TargetMode="External"/><Relationship Id="rId24" Type="http://schemas.openxmlformats.org/officeDocument/2006/relationships/hyperlink" Target="http://www.educationcouncil.edu.au/site/DefaultSite/filesystem/documents/Reports%20and%20publications/UANP%20Review%20Report.pdf" TargetMode="External"/><Relationship Id="rId32" Type="http://schemas.openxmlformats.org/officeDocument/2006/relationships/hyperlink" Target="https://www.opc.org.au/downloads/policy-briefs/reduce-sugary-drinks-in-australia.pdf" TargetMode="External"/><Relationship Id="rId37" Type="http://schemas.openxmlformats.org/officeDocument/2006/relationships/hyperlink" Target="https://grattan.edu.au/wp-content/uploads/2020/03/Grattan-Institute-sub-balancing-act-retirement-income-review.pdf" TargetMode="External"/><Relationship Id="rId40" Type="http://schemas.openxmlformats.org/officeDocument/2006/relationships/hyperlink" Target="https://www.afr.com/policy/economy/super-rise-to-12pc-puts-cart-before-the-horse-20200210-p53zdf" TargetMode="External"/><Relationship Id="rId45" Type="http://schemas.openxmlformats.org/officeDocument/2006/relationships/hyperlink" Target="https://doi.org/10.1787/9789264280069-en" TargetMode="External"/><Relationship Id="rId5" Type="http://schemas.openxmlformats.org/officeDocument/2006/relationships/hyperlink" Target="https://www.acoss.org.au/wp-content/uploads/2020/02/FINAL-Accessible-ACOSS-Budget-Priority-Statement.docx" TargetMode="External"/><Relationship Id="rId15" Type="http://schemas.openxmlformats.org/officeDocument/2006/relationships/hyperlink" Target="https://www.acoss.org.au/wp-content/uploads/2020/12/ACOSS-Health-of-the-NEM-report-2020.pdf" TargetMode="External"/><Relationship Id="rId23" Type="http://schemas.openxmlformats.org/officeDocument/2006/relationships/hyperlink" Target="https://www.acoss.org.au/wp-content/uploads/2020/09/Australias-community-sector-and-Covid-19_FINAL.pdf" TargetMode="External"/><Relationship Id="rId28" Type="http://schemas.openxmlformats.org/officeDocument/2006/relationships/hyperlink" Target="https://grattan.edu.au/report/balancing-budgets-tough-choices-we-need/" TargetMode="External"/><Relationship Id="rId36" Type="http://schemas.openxmlformats.org/officeDocument/2006/relationships/hyperlink" Target="https://www.aph.gov.au/About_Parliament/Parliamentary_Departments/Parliamentary_Budget_Office/Publications/Research_reports/Medium-term_budget_projections" TargetMode="External"/><Relationship Id="rId10" Type="http://schemas.openxmlformats.org/officeDocument/2006/relationships/hyperlink" Target="https://www.oecd.org/skills/piaac/" TargetMode="External"/><Relationship Id="rId19" Type="http://schemas.openxmlformats.org/officeDocument/2006/relationships/hyperlink" Target="https://www.redcross.org.au/campaigns/prepare/prepare-protect-what-matters" TargetMode="External"/><Relationship Id="rId31" Type="http://schemas.openxmlformats.org/officeDocument/2006/relationships/hyperlink" Target="https://www.aihw.gov.au/getmedia/762dea8d-07fb-47c7-8f40-83a3933f66c7/aihw-mhc-hpf-27-Overweight-Obesity-December-2016.pdf.aspx?inline=true" TargetMode="External"/><Relationship Id="rId44" Type="http://schemas.openxmlformats.org/officeDocument/2006/relationships/hyperlink" Target="https://star.worldbank.org/sites/star/files/g20_high-level_principles_beneficial_ownership_transparency.pdf" TargetMode="External"/><Relationship Id="rId4" Type="http://schemas.openxmlformats.org/officeDocument/2006/relationships/hyperlink" Target="https://www.acoss.org.au/wp-content/uploads/2020/02/FINAL-Accessible-ACOSS-Budget-Priority-Statement.docx" TargetMode="External"/><Relationship Id="rId9" Type="http://schemas.openxmlformats.org/officeDocument/2006/relationships/hyperlink" Target="https://www.acoss.org.au/wp-content/uploads/2020/08/200812-Local-employment-and-skills-development-partnerships-FINAL-2.pdf" TargetMode="External"/><Relationship Id="rId14" Type="http://schemas.openxmlformats.org/officeDocument/2006/relationships/hyperlink" Target="http://www.fairworkstrongcommunities.org" TargetMode="External"/><Relationship Id="rId22" Type="http://schemas.openxmlformats.org/officeDocument/2006/relationships/hyperlink" Target="https://www.communityhousing.com.au/wp-content/uploads/2020/05/SHARP-Full-Report-1.pdf?x73896" TargetMode="External"/><Relationship Id="rId27" Type="http://schemas.openxmlformats.org/officeDocument/2006/relationships/hyperlink" Target="https://apo.org.au/node/21989" TargetMode="External"/><Relationship Id="rId30" Type="http://schemas.openxmlformats.org/officeDocument/2006/relationships/hyperlink" Target="https://www1.health.gov.au/internet/main/publishing.nsf/Content/2011_Review_Extended_Medicare_Safety_Net/$File/Final%20Report%20-%20Review%20of%20EMSN%20benefit%20capping%20June%202011.pdf" TargetMode="External"/><Relationship Id="rId35" Type="http://schemas.openxmlformats.org/officeDocument/2006/relationships/hyperlink" Target="https://treasury.gov.au/sites/default/files/2020-11/p2020-100554-complete-report.pdf" TargetMode="External"/><Relationship Id="rId43" Type="http://schemas.openxmlformats.org/officeDocument/2006/relationships/hyperlink" Target="https://www.acoss.org.au/wp-content/uploads/2016/04/Fuel_on_the_fire_ACO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9E9A-BB9A-4387-943F-11D1D295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80</Pages>
  <Words>27666</Words>
  <Characters>157697</Characters>
  <Application>Microsoft Office Word</Application>
  <DocSecurity>0</DocSecurity>
  <Lines>1314</Lines>
  <Paragraphs>369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184994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Wylie</dc:creator>
  <cp:keywords/>
  <dc:description/>
  <cp:lastModifiedBy>Edwina MacDonald</cp:lastModifiedBy>
  <cp:revision>3</cp:revision>
  <dcterms:created xsi:type="dcterms:W3CDTF">2021-01-29T06:58:00Z</dcterms:created>
  <dcterms:modified xsi:type="dcterms:W3CDTF">2021-02-08T03:17:00Z</dcterms:modified>
</cp:coreProperties>
</file>