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5" type="tile"/>
    </v:background>
  </w:background>
  <w:body>
    <w:p w14:paraId="73A9B9E0" w14:textId="77777777" w:rsidR="00260B47" w:rsidRPr="00260B47" w:rsidRDefault="00260B47" w:rsidP="00260B47">
      <w:pPr>
        <w:pStyle w:val="Title"/>
        <w:rPr>
          <w:lang w:val="en-AU"/>
        </w:rPr>
      </w:pPr>
      <w:bookmarkStart w:id="0" w:name="_GoBack"/>
      <w:bookmarkEnd w:id="0"/>
      <w:r w:rsidRPr="00260B47">
        <w:rPr>
          <w:lang w:val="en-AU"/>
        </w:rPr>
        <w:t xml:space="preserve">Top economists have long called for a permanent increase to the JobSeeker payment </w:t>
      </w:r>
    </w:p>
    <w:p w14:paraId="514CB139" w14:textId="77777777" w:rsidR="009009EA" w:rsidRPr="00B66EFB" w:rsidRDefault="00B66EFB" w:rsidP="00260B47">
      <w:pPr>
        <w:pStyle w:val="Subtitle"/>
        <w:spacing w:after="0"/>
      </w:pPr>
      <w:r w:rsidRPr="001306FE">
        <w:rPr>
          <w:noProof/>
          <w:lang w:val="en-AU" w:eastAsia="en-AU"/>
        </w:rPr>
        <w:drawing>
          <wp:anchor distT="0" distB="0" distL="114300" distR="114300" simplePos="0" relativeHeight="251658240" behindDoc="0" locked="0" layoutInCell="1" allowOverlap="1" wp14:anchorId="28B7A546" wp14:editId="284C35FD">
            <wp:simplePos x="0" y="0"/>
            <wp:positionH relativeFrom="margin">
              <wp:align>left</wp:align>
            </wp:positionH>
            <wp:positionV relativeFrom="paragraph">
              <wp:posOffset>419100</wp:posOffset>
            </wp:positionV>
            <wp:extent cx="359664" cy="359664"/>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anchor>
        </w:drawing>
      </w:r>
      <w:r w:rsidR="00260B47">
        <w:t xml:space="preserve">December 2020 </w:t>
      </w:r>
    </w:p>
    <w:p w14:paraId="0637B273" w14:textId="77777777" w:rsidR="00260B47" w:rsidRPr="00260B47" w:rsidRDefault="00260B47" w:rsidP="00260B47">
      <w:r w:rsidRPr="00260B47">
        <w:t xml:space="preserve">Cutting income support back to the old, inadequate Newstart level presents both a social and economic crisis. Top economists agree on the need for a permanent, adequate increase. </w:t>
      </w:r>
    </w:p>
    <w:p w14:paraId="21C597FB" w14:textId="77777777" w:rsidR="00260B47" w:rsidRPr="00260B47" w:rsidRDefault="00260B47" w:rsidP="00260B47">
      <w:pPr>
        <w:rPr>
          <w:b/>
          <w:bCs/>
          <w:iCs/>
        </w:rPr>
      </w:pPr>
      <w:r w:rsidRPr="00260B47">
        <w:rPr>
          <w:b/>
          <w:bCs/>
          <w:iCs/>
        </w:rPr>
        <w:t xml:space="preserve">Dr Brendan Rynne, </w:t>
      </w:r>
      <w:r w:rsidRPr="00260B47">
        <w:rPr>
          <w:b/>
          <w:iCs/>
        </w:rPr>
        <w:t xml:space="preserve">Chief Economist, KPMG Australia: </w:t>
      </w:r>
    </w:p>
    <w:p w14:paraId="3464467C" w14:textId="77777777" w:rsidR="00260B47" w:rsidRPr="00260B47" w:rsidRDefault="00260B47" w:rsidP="00260B47">
      <w:r w:rsidRPr="00260B47">
        <w:t>“We, and others such as the BCA, argued – and continue to do so – that the low level of this payment was actually forming a barrier to employment, as it was insufficient to allow unemployed people to actively conduct a job search. So it was actually worsening the deficit in the long-run.</w:t>
      </w:r>
    </w:p>
    <w:p w14:paraId="05F0D5C6" w14:textId="77777777" w:rsidR="00260B47" w:rsidRPr="00260B47" w:rsidRDefault="00260B47" w:rsidP="00260B47">
      <w:r w:rsidRPr="00260B47">
        <w:t>The key here is that Newstart recipients are amongst the poorest people in society – so they spend, rather than save, almost all they receive. So while payments higher up the scale have more debatable value in terms of economic stimulus, there is no question that this policy will act as an effective fiscal stimulus by boosting the consumption side of the economy.</w:t>
      </w:r>
    </w:p>
    <w:p w14:paraId="0345AE6D" w14:textId="77777777" w:rsidR="005619CA" w:rsidRPr="00D36B73" w:rsidRDefault="00260B47" w:rsidP="00260B47">
      <w:r w:rsidRPr="00260B47">
        <w:t>The fact is that Newstart hasn’t increased in real terms since 1994.” (</w:t>
      </w:r>
      <w:r>
        <w:t xml:space="preserve">19 July </w:t>
      </w:r>
      <w:r w:rsidRPr="00260B47">
        <w:t>2019)  </w:t>
      </w:r>
    </w:p>
    <w:p w14:paraId="2341467E" w14:textId="77777777" w:rsidR="005619CA" w:rsidRPr="00260B47" w:rsidRDefault="005619CA" w:rsidP="005619CA">
      <w:pPr>
        <w:rPr>
          <w:b/>
        </w:rPr>
      </w:pPr>
      <w:r w:rsidRPr="00260B47">
        <w:rPr>
          <w:b/>
        </w:rPr>
        <w:t xml:space="preserve">Reserve Bank Governor Philip Lowe at a Parliamentary Inquiry: </w:t>
      </w:r>
    </w:p>
    <w:p w14:paraId="1A3A20C7" w14:textId="77777777" w:rsidR="005619CA" w:rsidRDefault="005619CA" w:rsidP="00260B47">
      <w:pPr>
        <w:rPr>
          <w:b/>
        </w:rPr>
      </w:pPr>
      <w:r w:rsidRPr="00260B47">
        <w:t>"</w:t>
      </w:r>
      <w:r w:rsidR="00D36B73">
        <w:t>I would join that consensus (</w:t>
      </w:r>
      <w:r w:rsidRPr="00260B47">
        <w:t>on a permanent increase</w:t>
      </w:r>
      <w:r w:rsidR="00D36B73">
        <w:t xml:space="preserve"> to JobSeeker</w:t>
      </w:r>
      <w:r w:rsidRPr="00260B47">
        <w:t>)</w:t>
      </w:r>
      <w:r>
        <w:t>.</w:t>
      </w:r>
      <w:r w:rsidRPr="00260B47">
        <w:t>" (14 August 2020)</w:t>
      </w:r>
      <w:r w:rsidRPr="00260B47">
        <w:rPr>
          <w:b/>
        </w:rPr>
        <w:t xml:space="preserve"> </w:t>
      </w:r>
    </w:p>
    <w:p w14:paraId="430823F8" w14:textId="77777777" w:rsidR="00260B47" w:rsidRPr="00260B47" w:rsidRDefault="00260B47" w:rsidP="00260B47">
      <w:pPr>
        <w:rPr>
          <w:b/>
        </w:rPr>
      </w:pPr>
      <w:r w:rsidRPr="00260B47">
        <w:rPr>
          <w:b/>
        </w:rPr>
        <w:t xml:space="preserve">Deloitte Access Economics Director Chris Richardson: </w:t>
      </w:r>
    </w:p>
    <w:p w14:paraId="2A58CB58" w14:textId="77777777" w:rsidR="00260B47" w:rsidRPr="00260B47" w:rsidRDefault="00260B47" w:rsidP="00260B47">
      <w:r w:rsidRPr="00260B47">
        <w:t xml:space="preserve"> “I would like to see extra money being pumped into the Australian economy and especially to those who need it most and are most likely to spend it," he said. "It is very important to provide an ongoing increase in the unemployment benefit and that should come sooner rather than later.” (10 November 2020). </w:t>
      </w:r>
    </w:p>
    <w:p w14:paraId="2B7DB82D" w14:textId="77777777" w:rsidR="00260B47" w:rsidRPr="00260B47" w:rsidRDefault="00260B47" w:rsidP="00260B47">
      <w:pPr>
        <w:rPr>
          <w:b/>
        </w:rPr>
      </w:pPr>
      <w:r w:rsidRPr="00260B47">
        <w:rPr>
          <w:b/>
        </w:rPr>
        <w:t xml:space="preserve">Alan Kohler: </w:t>
      </w:r>
    </w:p>
    <w:p w14:paraId="110F5B96" w14:textId="77777777" w:rsidR="00260B47" w:rsidRDefault="00260B47" w:rsidP="00260B47">
      <w:r w:rsidRPr="00260B47">
        <w:t>“The best way to stimulate the economy would be to increase the Newstart allowance because it would be quickly spent, in full.” (28 October 2019)</w:t>
      </w:r>
    </w:p>
    <w:p w14:paraId="153936AD" w14:textId="77777777" w:rsidR="00D36B73" w:rsidRDefault="00D36B73" w:rsidP="00260B47">
      <w:pPr>
        <w:rPr>
          <w:b/>
          <w:bCs/>
        </w:rPr>
      </w:pPr>
    </w:p>
    <w:p w14:paraId="4EF352A1" w14:textId="77777777" w:rsidR="00D36B73" w:rsidRPr="00260B47" w:rsidRDefault="00D36B73" w:rsidP="00D36B73">
      <w:pPr>
        <w:rPr>
          <w:b/>
        </w:rPr>
      </w:pPr>
      <w:r w:rsidRPr="00260B47">
        <w:rPr>
          <w:b/>
        </w:rPr>
        <w:lastRenderedPageBreak/>
        <w:t xml:space="preserve">Domain Economist Trent Wiltshire: </w:t>
      </w:r>
    </w:p>
    <w:p w14:paraId="67B5C4C6" w14:textId="77777777" w:rsidR="00D36B73" w:rsidRPr="00260B47" w:rsidRDefault="00D36B73" w:rsidP="00D36B73">
      <w:r w:rsidRPr="00260B47">
        <w:t xml:space="preserve">“Boosting things like Newstart and rental assistance would give money to people who have a high propensity to spend would be smart. More likely, however, the government will probably consider tax cuts, but that’s going to be less effective than putting money in the hands of those who will spend it.” (March 2020) </w:t>
      </w:r>
      <w:r w:rsidRPr="00260B47">
        <w:rPr>
          <w:rFonts w:ascii="Georgia" w:hAnsi="Georgia"/>
          <w:color w:val="333333"/>
          <w:shd w:val="clear" w:color="auto" w:fill="FFFFFF"/>
        </w:rPr>
        <w:t xml:space="preserve"> </w:t>
      </w:r>
    </w:p>
    <w:p w14:paraId="434ADB69" w14:textId="77777777" w:rsidR="00260B47" w:rsidRPr="00260B47" w:rsidRDefault="00260B47" w:rsidP="00260B47">
      <w:r w:rsidRPr="00260B47">
        <w:rPr>
          <w:b/>
          <w:bCs/>
        </w:rPr>
        <w:t xml:space="preserve">Equity Economics Economist Angela Jackson: </w:t>
      </w:r>
    </w:p>
    <w:p w14:paraId="29D0322C" w14:textId="77777777" w:rsidR="00260B47" w:rsidRPr="00260B47" w:rsidRDefault="00260B47" w:rsidP="00260B47">
      <w:r>
        <w:t>“</w:t>
      </w:r>
      <w:r w:rsidRPr="00260B47">
        <w:t>The current rate of Newstart, including top ups for renters, doesn't cover the median rent on a one-bedroom apartment in any capital city in Australia, not one of them. Incredibly, members of Parliament receive more money to stay one night in Canberra than a person on Newstart receives for a whole week. People on Newstart have to cover their housing, food and other costs for as little as $38 a day</w:t>
      </w:r>
      <w:r>
        <w:rPr>
          <w:bCs/>
        </w:rPr>
        <w:t>.” (</w:t>
      </w:r>
      <w:r w:rsidRPr="00260B47">
        <w:rPr>
          <w:bCs/>
        </w:rPr>
        <w:t>10 September 10, 2019</w:t>
      </w:r>
      <w:r>
        <w:rPr>
          <w:bCs/>
        </w:rPr>
        <w:t>)</w:t>
      </w:r>
    </w:p>
    <w:p w14:paraId="33219275" w14:textId="77777777" w:rsidR="00260B47" w:rsidRPr="00260B47" w:rsidRDefault="00260B47" w:rsidP="00260B47">
      <w:pPr>
        <w:rPr>
          <w:b/>
        </w:rPr>
      </w:pPr>
    </w:p>
    <w:p w14:paraId="29FC6F7E" w14:textId="77777777" w:rsidR="00260B47" w:rsidRPr="00260B47" w:rsidRDefault="00260B47" w:rsidP="00260B47">
      <w:pPr>
        <w:rPr>
          <w:b/>
        </w:rPr>
      </w:pPr>
      <w:r w:rsidRPr="00260B47">
        <w:rPr>
          <w:b/>
        </w:rPr>
        <w:t xml:space="preserve">Other economists and academics that have publicly supported a permanent increase to the JobSeeker payment (previously called Newstart) include: </w:t>
      </w:r>
    </w:p>
    <w:p w14:paraId="544DF835" w14:textId="77777777" w:rsidR="00260B47" w:rsidRPr="00260B47" w:rsidRDefault="00A27976" w:rsidP="00260B47">
      <w:hyperlink r:id="rId10" w:history="1">
        <w:r w:rsidR="00260B47" w:rsidRPr="00260B47">
          <w:rPr>
            <w:rStyle w:val="Hyperlink"/>
            <w:rFonts w:eastAsia="Times New Roman" w:cs="Calibri"/>
            <w:color w:val="auto"/>
            <w:u w:val="none"/>
          </w:rPr>
          <w:t>Nicki Hutley, Deloitte Access Economics</w:t>
        </w:r>
      </w:hyperlink>
      <w:r w:rsidR="00260B47" w:rsidRPr="00260B47">
        <w:t> </w:t>
      </w:r>
    </w:p>
    <w:p w14:paraId="4E37F560" w14:textId="77777777" w:rsidR="00260B47" w:rsidRPr="00260B47" w:rsidRDefault="00A27976" w:rsidP="00260B47">
      <w:hyperlink r:id="rId11" w:history="1">
        <w:r w:rsidR="00260B47" w:rsidRPr="00260B47">
          <w:rPr>
            <w:rStyle w:val="Hyperlink"/>
            <w:rFonts w:eastAsia="Times New Roman" w:cs="Calibri"/>
            <w:color w:val="auto"/>
            <w:u w:val="none"/>
          </w:rPr>
          <w:t>Dr Shane Oliver, AMP Chief Economist </w:t>
        </w:r>
      </w:hyperlink>
    </w:p>
    <w:p w14:paraId="53CD41D6" w14:textId="77777777" w:rsidR="00260B47" w:rsidRPr="00260B47" w:rsidRDefault="00A27976" w:rsidP="00260B47">
      <w:hyperlink r:id="rId12" w:history="1">
        <w:r w:rsidR="00260B47" w:rsidRPr="00260B47">
          <w:rPr>
            <w:rStyle w:val="Hyperlink"/>
            <w:rFonts w:eastAsia="Times New Roman" w:cs="Calibri"/>
            <w:color w:val="auto"/>
            <w:u w:val="none"/>
          </w:rPr>
          <w:t>Alan Oster, NAB Chief Economist </w:t>
        </w:r>
      </w:hyperlink>
    </w:p>
    <w:p w14:paraId="0463800B" w14:textId="77777777" w:rsidR="00260B47" w:rsidRPr="00260B47" w:rsidRDefault="00260B47" w:rsidP="00260B47">
      <w:r w:rsidRPr="00260B47">
        <w:t xml:space="preserve">Danielle Wood and Brendan Coates, Grattan Institute </w:t>
      </w:r>
    </w:p>
    <w:p w14:paraId="7833DC8A" w14:textId="77777777" w:rsidR="00260B47" w:rsidRPr="00260B47" w:rsidRDefault="00A27976" w:rsidP="00260B47">
      <w:hyperlink r:id="rId13" w:history="1">
        <w:r w:rsidR="00260B47" w:rsidRPr="00260B47">
          <w:rPr>
            <w:rStyle w:val="Hyperlink"/>
            <w:rFonts w:eastAsia="Times New Roman" w:cs="Calibri"/>
            <w:color w:val="auto"/>
            <w:u w:val="none"/>
          </w:rPr>
          <w:t>Melinda Cilento, CEDA </w:t>
        </w:r>
      </w:hyperlink>
    </w:p>
    <w:p w14:paraId="78A0A353" w14:textId="77777777" w:rsidR="00260B47" w:rsidRPr="00260B47" w:rsidRDefault="00260B47" w:rsidP="00260B47">
      <w:r w:rsidRPr="00260B47">
        <w:t xml:space="preserve">Professor Jeff Borland University of Melbourne </w:t>
      </w:r>
    </w:p>
    <w:p w14:paraId="45A69778" w14:textId="77777777" w:rsidR="00260B47" w:rsidRPr="00260B47" w:rsidRDefault="00260B47" w:rsidP="00260B47">
      <w:r w:rsidRPr="00260B47">
        <w:t xml:space="preserve">Dr </w:t>
      </w:r>
      <w:hyperlink r:id="rId14" w:history="1">
        <w:r w:rsidRPr="00260B47">
          <w:rPr>
            <w:rStyle w:val="Hyperlink"/>
            <w:rFonts w:eastAsia="Times New Roman" w:cs="Calibri"/>
            <w:color w:val="auto"/>
            <w:u w:val="none"/>
          </w:rPr>
          <w:t>Adam Triggs, ANU </w:t>
        </w:r>
      </w:hyperlink>
    </w:p>
    <w:p w14:paraId="230DBB39" w14:textId="77777777" w:rsidR="00260B47" w:rsidRPr="00260B47" w:rsidRDefault="00260B47" w:rsidP="00260B47">
      <w:pPr>
        <w:rPr>
          <w:rFonts w:eastAsia="Times New Roman" w:cs="Calibri"/>
          <w:b/>
          <w:color w:val="000000"/>
        </w:rPr>
      </w:pPr>
      <w:r w:rsidRPr="00260B47">
        <w:rPr>
          <w:rFonts w:eastAsia="Times New Roman" w:cs="Calibri"/>
          <w:b/>
          <w:color w:val="000000"/>
        </w:rPr>
        <w:t xml:space="preserve">The below economists all called for a permanent increase to JobSeeker as part of The Conversation-Economic Society of Australia pre-budget survey: </w:t>
      </w:r>
    </w:p>
    <w:p w14:paraId="60D4515F" w14:textId="77777777" w:rsidR="00260B47" w:rsidRDefault="00260B47" w:rsidP="00260B47">
      <w:pPr>
        <w:rPr>
          <w:rFonts w:eastAsia="Times New Roman" w:cs="Calibri"/>
          <w:color w:val="000000"/>
        </w:rPr>
        <w:sectPr w:rsidR="00260B47" w:rsidSect="00882F08">
          <w:headerReference w:type="default" r:id="rId15"/>
          <w:footerReference w:type="default" r:id="rId16"/>
          <w:headerReference w:type="first" r:id="rId17"/>
          <w:footerReference w:type="first" r:id="rId18"/>
          <w:pgSz w:w="11907" w:h="16839" w:code="9"/>
          <w:pgMar w:top="1985" w:right="1440" w:bottom="2127" w:left="1440" w:header="680" w:footer="170" w:gutter="0"/>
          <w:cols w:space="708"/>
          <w:titlePg/>
          <w:docGrid w:linePitch="360"/>
        </w:sectPr>
      </w:pPr>
    </w:p>
    <w:p w14:paraId="4C429748" w14:textId="77777777" w:rsidR="00260B47" w:rsidRPr="00260B47" w:rsidRDefault="00260B47" w:rsidP="00260B47">
      <w:pPr>
        <w:rPr>
          <w:rFonts w:eastAsia="Times New Roman" w:cs="Calibri"/>
          <w:color w:val="000000"/>
        </w:rPr>
      </w:pPr>
      <w:r w:rsidRPr="00260B47">
        <w:rPr>
          <w:rFonts w:eastAsia="Times New Roman" w:cs="Calibri"/>
          <w:color w:val="000000"/>
        </w:rPr>
        <w:t>Matthew Butlin </w:t>
      </w:r>
    </w:p>
    <w:p w14:paraId="31B282F8" w14:textId="77777777" w:rsidR="00260B47" w:rsidRPr="00260B47" w:rsidRDefault="00260B47" w:rsidP="00260B47">
      <w:pPr>
        <w:rPr>
          <w:rFonts w:eastAsia="Times New Roman" w:cs="Calibri"/>
          <w:color w:val="000000"/>
        </w:rPr>
      </w:pPr>
      <w:r w:rsidRPr="00260B47">
        <w:rPr>
          <w:rFonts w:eastAsia="Times New Roman" w:cs="Calibri"/>
          <w:color w:val="000000"/>
        </w:rPr>
        <w:t>Saul Eslake </w:t>
      </w:r>
    </w:p>
    <w:p w14:paraId="28572775" w14:textId="77777777" w:rsidR="00260B47" w:rsidRPr="00260B47" w:rsidRDefault="00260B47" w:rsidP="00260B47">
      <w:pPr>
        <w:rPr>
          <w:rFonts w:eastAsia="Times New Roman" w:cs="Calibri"/>
          <w:color w:val="000000"/>
        </w:rPr>
      </w:pPr>
      <w:r w:rsidRPr="00260B47">
        <w:rPr>
          <w:rFonts w:eastAsia="Times New Roman" w:cs="Calibri"/>
          <w:color w:val="000000"/>
        </w:rPr>
        <w:t>Lisa Cameron </w:t>
      </w:r>
    </w:p>
    <w:p w14:paraId="3291724C" w14:textId="77777777" w:rsidR="00260B47" w:rsidRPr="00260B47" w:rsidRDefault="00260B47" w:rsidP="00260B47">
      <w:pPr>
        <w:rPr>
          <w:rFonts w:eastAsia="Times New Roman" w:cs="Calibri"/>
          <w:color w:val="000000"/>
        </w:rPr>
      </w:pPr>
      <w:r w:rsidRPr="00260B47">
        <w:rPr>
          <w:rFonts w:eastAsia="Times New Roman" w:cs="Calibri"/>
          <w:color w:val="000000"/>
        </w:rPr>
        <w:t>Fabrizio Carmignani </w:t>
      </w:r>
    </w:p>
    <w:p w14:paraId="10DA8955" w14:textId="77777777" w:rsidR="00260B47" w:rsidRPr="00260B47" w:rsidRDefault="00260B47" w:rsidP="00260B47">
      <w:pPr>
        <w:rPr>
          <w:rFonts w:eastAsia="Times New Roman" w:cs="Calibri"/>
          <w:color w:val="000000"/>
        </w:rPr>
      </w:pPr>
      <w:r w:rsidRPr="00260B47">
        <w:rPr>
          <w:rFonts w:eastAsia="Times New Roman" w:cs="Calibri"/>
          <w:color w:val="000000"/>
        </w:rPr>
        <w:t>Lin Crase </w:t>
      </w:r>
    </w:p>
    <w:p w14:paraId="2AD32C71" w14:textId="77777777" w:rsidR="00260B47" w:rsidRPr="00260B47" w:rsidRDefault="00260B47" w:rsidP="00260B47">
      <w:pPr>
        <w:rPr>
          <w:rFonts w:eastAsia="Times New Roman" w:cs="Calibri"/>
          <w:color w:val="000000"/>
        </w:rPr>
      </w:pPr>
      <w:r w:rsidRPr="00260B47">
        <w:rPr>
          <w:rFonts w:eastAsia="Times New Roman" w:cs="Calibri"/>
          <w:color w:val="000000"/>
        </w:rPr>
        <w:t>Kevin Davis </w:t>
      </w:r>
    </w:p>
    <w:p w14:paraId="025CA520" w14:textId="77777777" w:rsidR="00260B47" w:rsidRPr="00260B47" w:rsidRDefault="00260B47" w:rsidP="00260B47">
      <w:pPr>
        <w:rPr>
          <w:rFonts w:eastAsia="Times New Roman" w:cs="Calibri"/>
          <w:color w:val="000000"/>
        </w:rPr>
      </w:pPr>
      <w:r w:rsidRPr="00260B47">
        <w:rPr>
          <w:rFonts w:eastAsia="Times New Roman" w:cs="Calibri"/>
          <w:color w:val="000000"/>
        </w:rPr>
        <w:t>Janine Dixon </w:t>
      </w:r>
    </w:p>
    <w:p w14:paraId="37376756" w14:textId="77777777" w:rsidR="00260B47" w:rsidRPr="00260B47" w:rsidRDefault="00260B47" w:rsidP="00260B47">
      <w:pPr>
        <w:rPr>
          <w:rFonts w:eastAsia="Times New Roman" w:cs="Calibri"/>
          <w:color w:val="000000"/>
        </w:rPr>
      </w:pPr>
      <w:r w:rsidRPr="00260B47">
        <w:rPr>
          <w:rFonts w:eastAsia="Times New Roman" w:cs="Calibri"/>
          <w:color w:val="000000"/>
        </w:rPr>
        <w:t>Allan Fels </w:t>
      </w:r>
    </w:p>
    <w:p w14:paraId="63841640" w14:textId="77777777" w:rsidR="00260B47" w:rsidRPr="00260B47" w:rsidRDefault="00260B47" w:rsidP="00260B47">
      <w:pPr>
        <w:rPr>
          <w:rFonts w:eastAsia="Times New Roman" w:cs="Calibri"/>
          <w:color w:val="000000"/>
        </w:rPr>
      </w:pPr>
      <w:r w:rsidRPr="00260B47">
        <w:rPr>
          <w:rFonts w:eastAsia="Times New Roman" w:cs="Calibri"/>
          <w:color w:val="000000"/>
        </w:rPr>
        <w:t>John Freebairn </w:t>
      </w:r>
    </w:p>
    <w:p w14:paraId="5D567515" w14:textId="77777777" w:rsidR="00260B47" w:rsidRPr="00260B47" w:rsidRDefault="00260B47" w:rsidP="00260B47">
      <w:pPr>
        <w:rPr>
          <w:rFonts w:eastAsia="Times New Roman" w:cs="Calibri"/>
          <w:color w:val="000000"/>
        </w:rPr>
      </w:pPr>
      <w:r w:rsidRPr="00260B47">
        <w:rPr>
          <w:rFonts w:eastAsia="Times New Roman" w:cs="Calibri"/>
          <w:color w:val="000000"/>
        </w:rPr>
        <w:t>Lata Gangadharan </w:t>
      </w:r>
    </w:p>
    <w:p w14:paraId="58D68CAE" w14:textId="77777777" w:rsidR="00260B47" w:rsidRPr="00260B47" w:rsidRDefault="00260B47" w:rsidP="00260B47">
      <w:pPr>
        <w:rPr>
          <w:rFonts w:eastAsia="Times New Roman" w:cs="Calibri"/>
          <w:color w:val="000000"/>
        </w:rPr>
      </w:pPr>
      <w:r w:rsidRPr="00260B47">
        <w:rPr>
          <w:rFonts w:eastAsia="Times New Roman" w:cs="Calibri"/>
          <w:color w:val="000000"/>
        </w:rPr>
        <w:t>Craig Emerson </w:t>
      </w:r>
    </w:p>
    <w:p w14:paraId="39DFD830" w14:textId="77777777" w:rsidR="00260B47" w:rsidRPr="00260B47" w:rsidRDefault="00260B47" w:rsidP="00260B47">
      <w:pPr>
        <w:rPr>
          <w:rFonts w:eastAsia="Times New Roman" w:cs="Calibri"/>
          <w:color w:val="000000"/>
        </w:rPr>
      </w:pPr>
      <w:r w:rsidRPr="00260B47">
        <w:rPr>
          <w:rFonts w:eastAsia="Times New Roman" w:cs="Calibri"/>
          <w:color w:val="000000"/>
        </w:rPr>
        <w:t>John Hewson </w:t>
      </w:r>
    </w:p>
    <w:p w14:paraId="5B756F45" w14:textId="77777777" w:rsidR="00260B47" w:rsidRPr="00260B47" w:rsidRDefault="00260B47" w:rsidP="00260B47">
      <w:pPr>
        <w:rPr>
          <w:rFonts w:eastAsia="Times New Roman" w:cs="Calibri"/>
          <w:color w:val="000000"/>
        </w:rPr>
      </w:pPr>
      <w:r w:rsidRPr="00260B47">
        <w:rPr>
          <w:rFonts w:eastAsia="Times New Roman" w:cs="Calibri"/>
          <w:color w:val="000000"/>
        </w:rPr>
        <w:t>Emily Lancsar </w:t>
      </w:r>
    </w:p>
    <w:p w14:paraId="433A8EFF" w14:textId="77777777" w:rsidR="00260B47" w:rsidRPr="00260B47" w:rsidRDefault="00260B47" w:rsidP="00260B47">
      <w:pPr>
        <w:rPr>
          <w:rFonts w:eastAsia="Times New Roman" w:cs="Calibri"/>
          <w:color w:val="000000"/>
        </w:rPr>
      </w:pPr>
      <w:r w:rsidRPr="00260B47">
        <w:rPr>
          <w:rFonts w:eastAsia="Times New Roman" w:cs="Calibri"/>
          <w:color w:val="000000"/>
        </w:rPr>
        <w:t>Guay Lim </w:t>
      </w:r>
    </w:p>
    <w:p w14:paraId="388C99D0" w14:textId="77777777" w:rsidR="00260B47" w:rsidRPr="00260B47" w:rsidRDefault="00260B47" w:rsidP="00260B47">
      <w:pPr>
        <w:rPr>
          <w:rFonts w:eastAsia="Times New Roman" w:cs="Calibri"/>
          <w:color w:val="000000"/>
        </w:rPr>
      </w:pPr>
      <w:r w:rsidRPr="00260B47">
        <w:rPr>
          <w:rFonts w:eastAsia="Times New Roman" w:cs="Calibri"/>
          <w:color w:val="000000"/>
        </w:rPr>
        <w:t>Warwick McKibbin </w:t>
      </w:r>
    </w:p>
    <w:p w14:paraId="04F59DDA" w14:textId="77777777" w:rsidR="00260B47" w:rsidRPr="00260B47" w:rsidRDefault="00260B47" w:rsidP="00260B47">
      <w:pPr>
        <w:rPr>
          <w:rFonts w:eastAsia="Times New Roman" w:cs="Calibri"/>
          <w:color w:val="000000"/>
        </w:rPr>
      </w:pPr>
      <w:r w:rsidRPr="00260B47">
        <w:rPr>
          <w:rFonts w:eastAsia="Times New Roman" w:cs="Calibri"/>
          <w:color w:val="000000"/>
        </w:rPr>
        <w:t>Flavio Menezes </w:t>
      </w:r>
    </w:p>
    <w:p w14:paraId="5DB56D24" w14:textId="77777777" w:rsidR="00260B47" w:rsidRPr="00260B47" w:rsidRDefault="00260B47" w:rsidP="00260B47">
      <w:pPr>
        <w:rPr>
          <w:rFonts w:eastAsia="Times New Roman" w:cs="Calibri"/>
          <w:color w:val="000000"/>
        </w:rPr>
      </w:pPr>
      <w:r w:rsidRPr="00260B47">
        <w:rPr>
          <w:rFonts w:eastAsia="Times New Roman" w:cs="Calibri"/>
          <w:color w:val="000000"/>
        </w:rPr>
        <w:t>Margaret Nowak </w:t>
      </w:r>
    </w:p>
    <w:p w14:paraId="1428D9B8" w14:textId="77777777" w:rsidR="00260B47" w:rsidRPr="00260B47" w:rsidRDefault="00260B47" w:rsidP="00260B47">
      <w:pPr>
        <w:rPr>
          <w:rFonts w:eastAsia="Times New Roman" w:cs="Calibri"/>
          <w:color w:val="000000"/>
        </w:rPr>
      </w:pPr>
      <w:r w:rsidRPr="00260B47">
        <w:rPr>
          <w:rFonts w:eastAsia="Times New Roman" w:cs="Calibri"/>
          <w:color w:val="000000"/>
        </w:rPr>
        <w:t>John Quiggin </w:t>
      </w:r>
    </w:p>
    <w:p w14:paraId="7E3520F0" w14:textId="77777777" w:rsidR="00260B47" w:rsidRPr="00260B47" w:rsidRDefault="00260B47" w:rsidP="00260B47">
      <w:pPr>
        <w:rPr>
          <w:rFonts w:eastAsia="Times New Roman" w:cs="Calibri"/>
          <w:color w:val="000000"/>
        </w:rPr>
      </w:pPr>
      <w:r w:rsidRPr="00260B47">
        <w:rPr>
          <w:rFonts w:eastAsia="Times New Roman" w:cs="Calibri"/>
          <w:color w:val="000000"/>
        </w:rPr>
        <w:t>Sue Richardson </w:t>
      </w:r>
    </w:p>
    <w:p w14:paraId="573D80C3" w14:textId="77777777" w:rsidR="00260B47" w:rsidRPr="00260B47" w:rsidRDefault="00260B47" w:rsidP="00260B47">
      <w:pPr>
        <w:rPr>
          <w:rFonts w:eastAsia="Times New Roman" w:cs="Calibri"/>
          <w:color w:val="000000"/>
        </w:rPr>
      </w:pPr>
      <w:r w:rsidRPr="00260B47">
        <w:rPr>
          <w:rFonts w:eastAsia="Times New Roman" w:cs="Calibri"/>
          <w:color w:val="000000"/>
        </w:rPr>
        <w:t>Rana Roy </w:t>
      </w:r>
    </w:p>
    <w:p w14:paraId="6D819021" w14:textId="77777777" w:rsidR="00260B47" w:rsidRPr="00260B47" w:rsidRDefault="00260B47" w:rsidP="00260B47">
      <w:pPr>
        <w:rPr>
          <w:rFonts w:eastAsia="Times New Roman" w:cs="Calibri"/>
          <w:color w:val="000000"/>
        </w:rPr>
      </w:pPr>
      <w:r w:rsidRPr="00260B47">
        <w:rPr>
          <w:rFonts w:eastAsia="Times New Roman" w:cs="Calibri"/>
          <w:color w:val="000000"/>
        </w:rPr>
        <w:lastRenderedPageBreak/>
        <w:t>Helen Silver </w:t>
      </w:r>
    </w:p>
    <w:p w14:paraId="1E833348" w14:textId="77777777" w:rsidR="00260B47" w:rsidRPr="00260B47" w:rsidRDefault="00260B47" w:rsidP="00260B47">
      <w:pPr>
        <w:rPr>
          <w:rFonts w:eastAsia="Times New Roman" w:cs="Calibri"/>
          <w:color w:val="000000"/>
        </w:rPr>
      </w:pPr>
      <w:r w:rsidRPr="00260B47">
        <w:rPr>
          <w:rFonts w:eastAsia="Times New Roman" w:cs="Calibri"/>
          <w:color w:val="000000"/>
        </w:rPr>
        <w:t>Danielle Wood </w:t>
      </w:r>
    </w:p>
    <w:p w14:paraId="2A531D36" w14:textId="77777777" w:rsidR="00260B47" w:rsidRPr="00260B47" w:rsidRDefault="00260B47" w:rsidP="00260B47">
      <w:pPr>
        <w:rPr>
          <w:rFonts w:eastAsia="Times New Roman" w:cs="Calibri"/>
          <w:color w:val="000000"/>
        </w:rPr>
      </w:pPr>
      <w:r w:rsidRPr="00260B47">
        <w:rPr>
          <w:rFonts w:eastAsia="Times New Roman" w:cs="Calibri"/>
          <w:color w:val="000000"/>
        </w:rPr>
        <w:t>Garry Barrett </w:t>
      </w:r>
    </w:p>
    <w:p w14:paraId="5194621B" w14:textId="77777777" w:rsidR="00260B47" w:rsidRPr="00260B47" w:rsidRDefault="00260B47" w:rsidP="00260B47">
      <w:pPr>
        <w:rPr>
          <w:rFonts w:eastAsia="Times New Roman" w:cs="Calibri"/>
          <w:color w:val="000000"/>
        </w:rPr>
        <w:sectPr w:rsidR="00260B47" w:rsidRPr="00260B47" w:rsidSect="00260B47">
          <w:type w:val="continuous"/>
          <w:pgSz w:w="11907" w:h="16839" w:code="9"/>
          <w:pgMar w:top="1985" w:right="1440" w:bottom="2127" w:left="1440" w:header="680" w:footer="170" w:gutter="0"/>
          <w:cols w:num="2" w:space="708"/>
          <w:titlePg/>
          <w:docGrid w:linePitch="360"/>
        </w:sectPr>
      </w:pPr>
      <w:r>
        <w:rPr>
          <w:rFonts w:eastAsia="Times New Roman" w:cs="Calibri"/>
          <w:color w:val="000000"/>
        </w:rPr>
        <w:t>Harry Bloch</w:t>
      </w:r>
    </w:p>
    <w:p w14:paraId="44847635" w14:textId="77777777" w:rsidR="007C61BA" w:rsidRPr="00CD2D26" w:rsidRDefault="007C61BA" w:rsidP="00B66EFB"/>
    <w:sectPr w:rsidR="007C61BA" w:rsidRPr="00CD2D26" w:rsidSect="00260B47">
      <w:type w:val="continuous"/>
      <w:pgSz w:w="11907" w:h="16839" w:code="9"/>
      <w:pgMar w:top="1985" w:right="1440" w:bottom="2127"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9D1B" w14:textId="77777777" w:rsidR="00A27976" w:rsidRDefault="00A27976" w:rsidP="00B66EFB">
      <w:r>
        <w:separator/>
      </w:r>
    </w:p>
    <w:p w14:paraId="7603F2B1" w14:textId="77777777" w:rsidR="00A27976" w:rsidRDefault="00A27976" w:rsidP="00B66EFB"/>
  </w:endnote>
  <w:endnote w:type="continuationSeparator" w:id="0">
    <w:p w14:paraId="74CFD14D" w14:textId="77777777" w:rsidR="00A27976" w:rsidRDefault="00A27976" w:rsidP="00B66EFB">
      <w:r>
        <w:continuationSeparator/>
      </w:r>
    </w:p>
    <w:p w14:paraId="639D7FCA" w14:textId="77777777" w:rsidR="00A27976" w:rsidRDefault="00A27976" w:rsidP="00B6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85757898"/>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14:paraId="70E4E267" w14:textId="77777777" w:rsidR="001A479C" w:rsidRPr="001A479C" w:rsidRDefault="001A479C" w:rsidP="00B66EFB">
        <w:pPr>
          <w:pStyle w:val="Footer"/>
          <w:jc w:val="center"/>
          <w:rPr>
            <w:rFonts w:asciiTheme="majorHAnsi" w:eastAsiaTheme="majorEastAsia" w:hAnsiTheme="majorHAnsi" w:cstheme="majorBidi"/>
            <w:noProof/>
            <w:sz w:val="40"/>
            <w:szCs w:val="40"/>
          </w:rPr>
        </w:pPr>
        <w:r w:rsidRPr="001A479C">
          <w:rPr>
            <w:rFonts w:asciiTheme="minorHAnsi" w:eastAsiaTheme="minorEastAsia" w:hAnsiTheme="minorHAnsi" w:cs="Times New Roman"/>
          </w:rPr>
          <w:fldChar w:fldCharType="begin"/>
        </w:r>
        <w:r w:rsidRPr="001A479C">
          <w:instrText xml:space="preserve"> PAGE   \* MERGEFORMAT </w:instrText>
        </w:r>
        <w:r w:rsidRPr="001A479C">
          <w:rPr>
            <w:rFonts w:asciiTheme="minorHAnsi" w:eastAsiaTheme="minorEastAsia" w:hAnsiTheme="minorHAnsi" w:cs="Times New Roman"/>
          </w:rPr>
          <w:fldChar w:fldCharType="separate"/>
        </w:r>
        <w:r w:rsidR="004B5932" w:rsidRPr="004B5932">
          <w:rPr>
            <w:rFonts w:asciiTheme="majorHAnsi" w:eastAsiaTheme="majorEastAsia" w:hAnsiTheme="majorHAnsi" w:cstheme="majorBidi"/>
            <w:noProof/>
            <w:sz w:val="40"/>
            <w:szCs w:val="40"/>
          </w:rPr>
          <w:t>2</w:t>
        </w:r>
        <w:r w:rsidRPr="001A479C">
          <w:rPr>
            <w:rFonts w:asciiTheme="majorHAnsi" w:eastAsiaTheme="majorEastAsia" w:hAnsiTheme="majorHAnsi" w:cstheme="majorBidi"/>
            <w:noProof/>
            <w:sz w:val="40"/>
            <w:szCs w:val="40"/>
          </w:rPr>
          <w:fldChar w:fldCharType="end"/>
        </w:r>
      </w:p>
    </w:sdtContent>
  </w:sdt>
  <w:p w14:paraId="17CE7937" w14:textId="77777777" w:rsidR="0030414A" w:rsidRDefault="0030414A" w:rsidP="00B66EFB">
    <w:pPr>
      <w:pStyle w:val="Footer"/>
    </w:pPr>
  </w:p>
  <w:p w14:paraId="670CE6C1" w14:textId="77777777" w:rsidR="00EC3B1A" w:rsidRDefault="00EC3B1A" w:rsidP="00B66E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BC491" w14:textId="77777777" w:rsidR="004879AE" w:rsidRDefault="00E92A4A" w:rsidP="00B66EFB">
    <w:pPr>
      <w:pStyle w:val="Footer"/>
      <w:jc w:val="center"/>
    </w:pPr>
    <w:r>
      <w:t>© ACOSS 2020, Locked Bag 4777 Strawberry Hills NSW 2012</w:t>
    </w:r>
    <w:r>
      <w:br/>
      <w:t xml:space="preserve">Ph (02) 9310 6200 E: </w:t>
    </w:r>
    <w:hyperlink r:id="rId1" w:history="1">
      <w:r>
        <w:rPr>
          <w:rStyle w:val="Hyperlink"/>
          <w:b/>
          <w:sz w:val="16"/>
        </w:rPr>
        <w:t>info@acoss.org.au</w:t>
      </w:r>
    </w:hyperlink>
    <w:r>
      <w:br/>
    </w:r>
    <w:hyperlink r:id="rId2" w:history="1">
      <w:r>
        <w:rPr>
          <w:rStyle w:val="Hyperlink"/>
          <w:b/>
          <w:sz w:val="16"/>
        </w:rPr>
        <w:t>www.acoss.org.au</w:t>
      </w:r>
    </w:hyperlink>
    <w:r>
      <w:br/>
      <w:t>ISSN: 1326 7124</w:t>
    </w:r>
  </w:p>
  <w:p w14:paraId="25F0B0D7" w14:textId="77777777" w:rsidR="00CD2D26" w:rsidRPr="001A479C" w:rsidRDefault="00CD2D26" w:rsidP="00B66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B3373" w14:textId="77777777" w:rsidR="00A27976" w:rsidRDefault="00A27976" w:rsidP="00B66EFB">
      <w:r>
        <w:separator/>
      </w:r>
    </w:p>
    <w:p w14:paraId="5CA1BB30" w14:textId="77777777" w:rsidR="00A27976" w:rsidRDefault="00A27976" w:rsidP="00B66EFB"/>
  </w:footnote>
  <w:footnote w:type="continuationSeparator" w:id="0">
    <w:p w14:paraId="1173EE52" w14:textId="77777777" w:rsidR="00A27976" w:rsidRDefault="00A27976" w:rsidP="00B66EFB">
      <w:r>
        <w:continuationSeparator/>
      </w:r>
    </w:p>
    <w:p w14:paraId="278A8D6B" w14:textId="77777777" w:rsidR="00A27976" w:rsidRDefault="00A27976" w:rsidP="00B66E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4F8C" w14:textId="77777777" w:rsidR="0030414A" w:rsidRDefault="00EE2EBE" w:rsidP="00B66EFB">
    <w:pPr>
      <w:pStyle w:val="Header"/>
    </w:pPr>
    <w:r>
      <w:rPr>
        <w:noProof/>
        <w:lang w:eastAsia="en-AU"/>
      </w:rPr>
      <w:drawing>
        <wp:anchor distT="0" distB="0" distL="114300" distR="114300" simplePos="0" relativeHeight="251661312" behindDoc="1" locked="0" layoutInCell="1" allowOverlap="1" wp14:anchorId="1321461B" wp14:editId="7E8B45DB">
          <wp:simplePos x="0" y="0"/>
          <wp:positionH relativeFrom="column">
            <wp:posOffset>5681617</wp:posOffset>
          </wp:positionH>
          <wp:positionV relativeFrom="page">
            <wp:posOffset>219800</wp:posOffset>
          </wp:positionV>
          <wp:extent cx="820800" cy="820800"/>
          <wp:effectExtent l="0" t="0" r="0" b="0"/>
          <wp:wrapNone/>
          <wp:docPr id="18" name="Picture 18"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E6FB9" w14:textId="77777777" w:rsidR="00EC3B1A" w:rsidRDefault="00EC3B1A" w:rsidP="00B66E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874D" w14:textId="77777777" w:rsidR="00D74A7F" w:rsidRDefault="004879AE" w:rsidP="00B66EFB">
    <w:pPr>
      <w:pStyle w:val="Header"/>
    </w:pPr>
    <w:r>
      <w:rPr>
        <w:noProof/>
        <w:lang w:eastAsia="en-AU"/>
      </w:rPr>
      <w:drawing>
        <wp:anchor distT="0" distB="0" distL="114300" distR="114300" simplePos="0" relativeHeight="251663360" behindDoc="0" locked="0" layoutInCell="1" allowOverlap="1" wp14:anchorId="4003F0C6" wp14:editId="7238AC7A">
          <wp:simplePos x="0" y="0"/>
          <wp:positionH relativeFrom="column">
            <wp:posOffset>3216729</wp:posOffset>
          </wp:positionH>
          <wp:positionV relativeFrom="paragraph">
            <wp:posOffset>-196850</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4FCD05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653030"/>
    <w:multiLevelType w:val="multilevel"/>
    <w:tmpl w:val="A5009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51E36"/>
    <w:multiLevelType w:val="multilevel"/>
    <w:tmpl w:val="81562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83D9E"/>
    <w:multiLevelType w:val="multilevel"/>
    <w:tmpl w:val="27DEE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3E48C9"/>
    <w:multiLevelType w:val="multilevel"/>
    <w:tmpl w:val="250CA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0214FA"/>
    <w:multiLevelType w:val="multilevel"/>
    <w:tmpl w:val="BBF8C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2CE2970"/>
    <w:multiLevelType w:val="multilevel"/>
    <w:tmpl w:val="D6725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10"/>
  </w:num>
  <w:num w:numId="6">
    <w:abstractNumId w:val="16"/>
  </w:num>
  <w:num w:numId="7">
    <w:abstractNumId w:val="4"/>
  </w:num>
  <w:num w:numId="8">
    <w:abstractNumId w:val="17"/>
  </w:num>
  <w:num w:numId="9">
    <w:abstractNumId w:val="7"/>
  </w:num>
  <w:num w:numId="10">
    <w:abstractNumId w:val="14"/>
  </w:num>
  <w:num w:numId="11">
    <w:abstractNumId w:val="9"/>
  </w:num>
  <w:num w:numId="12">
    <w:abstractNumId w:val="0"/>
  </w:num>
  <w:num w:numId="13">
    <w:abstractNumId w:val="8"/>
  </w:num>
  <w:num w:numId="14">
    <w:abstractNumId w:val="5"/>
  </w:num>
  <w:num w:numId="15">
    <w:abstractNumId w:val="13"/>
  </w:num>
  <w:num w:numId="16">
    <w:abstractNumId w:val="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47"/>
    <w:rsid w:val="00021DA5"/>
    <w:rsid w:val="00050924"/>
    <w:rsid w:val="000907D3"/>
    <w:rsid w:val="000E6C1E"/>
    <w:rsid w:val="00150BC0"/>
    <w:rsid w:val="00150C96"/>
    <w:rsid w:val="001A479C"/>
    <w:rsid w:val="001D7547"/>
    <w:rsid w:val="00260B47"/>
    <w:rsid w:val="0026373B"/>
    <w:rsid w:val="00277516"/>
    <w:rsid w:val="002B61D2"/>
    <w:rsid w:val="0030414A"/>
    <w:rsid w:val="004879AE"/>
    <w:rsid w:val="004B5932"/>
    <w:rsid w:val="0050124F"/>
    <w:rsid w:val="00537255"/>
    <w:rsid w:val="005619CA"/>
    <w:rsid w:val="00574824"/>
    <w:rsid w:val="00584CEF"/>
    <w:rsid w:val="00590DCF"/>
    <w:rsid w:val="00620742"/>
    <w:rsid w:val="00664301"/>
    <w:rsid w:val="006A6A49"/>
    <w:rsid w:val="006C6148"/>
    <w:rsid w:val="0072102B"/>
    <w:rsid w:val="00784EF2"/>
    <w:rsid w:val="007B71E3"/>
    <w:rsid w:val="007C61BA"/>
    <w:rsid w:val="007E0C74"/>
    <w:rsid w:val="00877590"/>
    <w:rsid w:val="00882F08"/>
    <w:rsid w:val="009009EA"/>
    <w:rsid w:val="00907B76"/>
    <w:rsid w:val="00910E71"/>
    <w:rsid w:val="0092495F"/>
    <w:rsid w:val="009375C9"/>
    <w:rsid w:val="00937A7C"/>
    <w:rsid w:val="009D633F"/>
    <w:rsid w:val="00A04125"/>
    <w:rsid w:val="00A17B9C"/>
    <w:rsid w:val="00A27976"/>
    <w:rsid w:val="00AA41E6"/>
    <w:rsid w:val="00AA60FE"/>
    <w:rsid w:val="00B61490"/>
    <w:rsid w:val="00B66EFB"/>
    <w:rsid w:val="00BA7F33"/>
    <w:rsid w:val="00BE45E1"/>
    <w:rsid w:val="00C7222D"/>
    <w:rsid w:val="00C74807"/>
    <w:rsid w:val="00CA48DA"/>
    <w:rsid w:val="00CD205D"/>
    <w:rsid w:val="00CD2D26"/>
    <w:rsid w:val="00D0401B"/>
    <w:rsid w:val="00D36B73"/>
    <w:rsid w:val="00D541FB"/>
    <w:rsid w:val="00D74A7F"/>
    <w:rsid w:val="00E10E0F"/>
    <w:rsid w:val="00E1401D"/>
    <w:rsid w:val="00E40F99"/>
    <w:rsid w:val="00E74AE5"/>
    <w:rsid w:val="00E92A4A"/>
    <w:rsid w:val="00E9513F"/>
    <w:rsid w:val="00EA0B1A"/>
    <w:rsid w:val="00EA2464"/>
    <w:rsid w:val="00EB2EF8"/>
    <w:rsid w:val="00EB62D1"/>
    <w:rsid w:val="00EC3B1A"/>
    <w:rsid w:val="00EE2EBE"/>
    <w:rsid w:val="00EE7C1A"/>
    <w:rsid w:val="00F3625F"/>
    <w:rsid w:val="00F7307D"/>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D6B41"/>
  <w15:chartTrackingRefBased/>
  <w15:docId w15:val="{725485CC-6B39-44D1-9517-071D7B3A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590"/>
    <w:pPr>
      <w:spacing w:before="120" w:after="120"/>
      <w:jc w:val="left"/>
    </w:pPr>
    <w:rPr>
      <w:rFonts w:ascii="Verdana" w:hAnsi="Verdana"/>
      <w:color w:val="000000" w:themeColor="text1"/>
      <w:lang w:val="en-AU"/>
    </w:rPr>
  </w:style>
  <w:style w:type="paragraph" w:styleId="Heading1">
    <w:name w:val="heading 1"/>
    <w:basedOn w:val="Normal"/>
    <w:next w:val="Normal"/>
    <w:link w:val="Heading1Char"/>
    <w:uiPriority w:val="9"/>
    <w:qFormat/>
    <w:rsid w:val="00877590"/>
    <w:pPr>
      <w:keepNext/>
      <w:keepLines/>
      <w:spacing w:before="240"/>
      <w:outlineLvl w:val="0"/>
    </w:pPr>
    <w:rPr>
      <w:rFonts w:ascii="Palatino Linotype" w:eastAsiaTheme="majorEastAsia" w:hAnsi="Palatino Linotype" w:cstheme="majorBidi"/>
      <w:color w:val="143156"/>
      <w:sz w:val="48"/>
      <w:szCs w:val="32"/>
      <w:lang w:val="en-US"/>
    </w:rPr>
  </w:style>
  <w:style w:type="paragraph" w:styleId="Heading2">
    <w:name w:val="heading 2"/>
    <w:basedOn w:val="Normal"/>
    <w:next w:val="Normal"/>
    <w:link w:val="Heading2Char"/>
    <w:uiPriority w:val="9"/>
    <w:unhideWhenUsed/>
    <w:qFormat/>
    <w:rsid w:val="00877590"/>
    <w:pPr>
      <w:keepNext/>
      <w:keepLines/>
      <w:spacing w:before="40" w:after="144"/>
      <w:contextualSpacing/>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877590"/>
    <w:pPr>
      <w:keepNext/>
      <w:keepLines/>
      <w:spacing w:before="40" w:after="144"/>
      <w:contextualSpacing/>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877590"/>
    <w:pPr>
      <w:keepNext/>
      <w:keepLines/>
      <w:spacing w:before="40" w:after="144"/>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877590"/>
    <w:pPr>
      <w:keepNext/>
      <w:keepLines/>
      <w:spacing w:before="240"/>
      <w:outlineLvl w:val="4"/>
    </w:pPr>
    <w:rPr>
      <w:rFonts w:eastAsiaTheme="majorEastAsia" w:cstheme="majorBidi"/>
      <w:b/>
      <w:color w:val="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877590"/>
    <w:pPr>
      <w:contextualSpacing/>
    </w:pPr>
    <w:rPr>
      <w:rFonts w:ascii="Palatino Linotype" w:eastAsiaTheme="majorEastAsia" w:hAnsi="Palatino Linotype" w:cstheme="majorBidi"/>
      <w:b/>
      <w:color w:val="143156"/>
      <w:spacing w:val="-10"/>
      <w:kern w:val="28"/>
      <w:sz w:val="56"/>
      <w:szCs w:val="56"/>
      <w:lang w:val="en-US"/>
    </w:rPr>
  </w:style>
  <w:style w:type="character" w:customStyle="1" w:styleId="TitleChar">
    <w:name w:val="Title Char"/>
    <w:basedOn w:val="DefaultParagraphFont"/>
    <w:link w:val="Title"/>
    <w:uiPriority w:val="10"/>
    <w:rsid w:val="00877590"/>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877590"/>
    <w:pPr>
      <w:numPr>
        <w:ilvl w:val="1"/>
      </w:numPr>
    </w:pPr>
    <w:rPr>
      <w:rFonts w:ascii="Palatino Linotype" w:eastAsiaTheme="minorEastAsia" w:hAnsi="Palatino Linotype"/>
      <w:color w:val="143156"/>
      <w:spacing w:val="15"/>
      <w:sz w:val="40"/>
      <w:lang w:val="en-US"/>
    </w:rPr>
  </w:style>
  <w:style w:type="character" w:customStyle="1" w:styleId="SubtitleChar">
    <w:name w:val="Subtitle Char"/>
    <w:basedOn w:val="DefaultParagraphFont"/>
    <w:link w:val="Subtitle"/>
    <w:uiPriority w:val="11"/>
    <w:rsid w:val="00877590"/>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877590"/>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877590"/>
    <w:rPr>
      <w:rFonts w:ascii="Palatino Linotype" w:eastAsiaTheme="majorEastAsia" w:hAnsi="Palatino Linotype" w:cstheme="majorBidi"/>
      <w:color w:val="143156"/>
      <w:sz w:val="44"/>
      <w:szCs w:val="26"/>
      <w:lang w:val="en-AU"/>
    </w:rPr>
  </w:style>
  <w:style w:type="character" w:styleId="SubtleEmphasis">
    <w:name w:val="Subtle Emphasis"/>
    <w:basedOn w:val="SubtitleChar"/>
    <w:uiPriority w:val="19"/>
    <w:qFormat/>
    <w:rsid w:val="00877590"/>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877590"/>
    <w:pPr>
      <w:keepNext/>
      <w:ind w:left="624" w:hanging="284"/>
      <w:contextualSpacing/>
    </w:pPr>
    <w:rPr>
      <w:color w:val="auto"/>
      <w:sz w:val="20"/>
    </w:rPr>
  </w:style>
  <w:style w:type="paragraph" w:styleId="FootnoteText">
    <w:name w:val="footnote text"/>
    <w:basedOn w:val="Normal"/>
    <w:link w:val="FootnoteTextChar"/>
    <w:uiPriority w:val="99"/>
    <w:semiHidden/>
    <w:unhideWhenUsed/>
    <w:qFormat/>
    <w:rsid w:val="00877590"/>
    <w:rPr>
      <w:sz w:val="16"/>
      <w:szCs w:val="20"/>
      <w:lang w:val="en-US"/>
    </w:rPr>
  </w:style>
  <w:style w:type="character" w:customStyle="1" w:styleId="FootnoteTextChar">
    <w:name w:val="Footnote Text Char"/>
    <w:basedOn w:val="DefaultParagraphFont"/>
    <w:link w:val="FootnoteText"/>
    <w:uiPriority w:val="99"/>
    <w:semiHidden/>
    <w:rsid w:val="00877590"/>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877590"/>
    <w:rPr>
      <w:rFonts w:ascii="Palatino Linotype" w:eastAsiaTheme="majorEastAsia" w:hAnsi="Palatino Linotype" w:cstheme="majorBidi"/>
      <w:b/>
      <w:color w:val="143156"/>
      <w:sz w:val="32"/>
      <w:szCs w:val="24"/>
      <w:lang w:val="en-AU"/>
    </w:rPr>
  </w:style>
  <w:style w:type="character" w:customStyle="1" w:styleId="Heading4Char">
    <w:name w:val="Heading 4 Char"/>
    <w:basedOn w:val="DefaultParagraphFont"/>
    <w:link w:val="Heading4"/>
    <w:uiPriority w:val="9"/>
    <w:rsid w:val="00877590"/>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87759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877590"/>
    <w:pPr>
      <w:keepNext/>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paragraph" w:styleId="ListNumber">
    <w:name w:val="List Number"/>
    <w:basedOn w:val="Normal"/>
    <w:uiPriority w:val="99"/>
    <w:unhideWhenUsed/>
    <w:rsid w:val="00AA60FE"/>
    <w:pPr>
      <w:numPr>
        <w:numId w:val="12"/>
      </w:numPr>
      <w:contextualSpacing/>
    </w:pPr>
  </w:style>
  <w:style w:type="character" w:styleId="FollowedHyperlink">
    <w:name w:val="FollowedHyperlink"/>
    <w:basedOn w:val="DefaultParagraphFont"/>
    <w:uiPriority w:val="99"/>
    <w:semiHidden/>
    <w:unhideWhenUsed/>
    <w:rsid w:val="00260B47"/>
    <w:rPr>
      <w:color w:val="954F72" w:themeColor="followedHyperlink"/>
      <w:u w:val="single"/>
    </w:rPr>
  </w:style>
  <w:style w:type="character" w:styleId="CommentReference">
    <w:name w:val="annotation reference"/>
    <w:basedOn w:val="DefaultParagraphFont"/>
    <w:uiPriority w:val="99"/>
    <w:semiHidden/>
    <w:unhideWhenUsed/>
    <w:rsid w:val="005619CA"/>
    <w:rPr>
      <w:sz w:val="18"/>
      <w:szCs w:val="18"/>
    </w:rPr>
  </w:style>
  <w:style w:type="paragraph" w:styleId="CommentSubject">
    <w:name w:val="annotation subject"/>
    <w:basedOn w:val="CommentText"/>
    <w:next w:val="CommentText"/>
    <w:link w:val="CommentSubjectChar"/>
    <w:uiPriority w:val="99"/>
    <w:semiHidden/>
    <w:unhideWhenUsed/>
    <w:rsid w:val="005619CA"/>
    <w:rPr>
      <w:b/>
      <w:bCs/>
    </w:rPr>
  </w:style>
  <w:style w:type="character" w:customStyle="1" w:styleId="CommentSubjectChar">
    <w:name w:val="Comment Subject Char"/>
    <w:basedOn w:val="CommentTextChar"/>
    <w:link w:val="CommentSubject"/>
    <w:uiPriority w:val="99"/>
    <w:semiHidden/>
    <w:rsid w:val="005619CA"/>
    <w:rPr>
      <w:rFonts w:ascii="Verdana" w:hAnsi="Verdana"/>
      <w:b/>
      <w:bCs/>
      <w:color w:val="000000" w:themeColor="text1"/>
      <w:sz w:val="20"/>
      <w:szCs w:val="20"/>
      <w:lang w:val="en-AU"/>
    </w:rPr>
  </w:style>
  <w:style w:type="paragraph" w:styleId="BalloonText">
    <w:name w:val="Balloon Text"/>
    <w:basedOn w:val="Normal"/>
    <w:link w:val="BalloonTextChar"/>
    <w:uiPriority w:val="99"/>
    <w:semiHidden/>
    <w:unhideWhenUsed/>
    <w:rsid w:val="005619CA"/>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19CA"/>
    <w:rPr>
      <w:rFonts w:ascii="Times New Roman" w:hAnsi="Times New Roman" w:cs="Times New Roman"/>
      <w:color w:val="000000"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852262562">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da.com.au/Digital-hub/Blogs/CEDA-Blog/September-2018/We-need-to-stop-punishing-the-unemploye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opertyobserver.com.au/financing/interest-rates/106462-nab-pushes-next-rate-cut-out-to-february-2020.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pcapital.com/au/en/insights-hub/articles/2020/January/bushfires-and-the-australian-econom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bc.net.au/radio/newsradio/report:-jobseeker-cuts-would-cost-$31bn/12664362"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insidestory.org.au/the-economic-case-for-increasing-newstar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DE805-B44F-41AA-B71B-131BE730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Vandeleur</dc:creator>
  <cp:keywords/>
  <dc:description/>
  <cp:lastModifiedBy>Cameron Lum</cp:lastModifiedBy>
  <cp:revision>2</cp:revision>
  <dcterms:created xsi:type="dcterms:W3CDTF">2020-12-04T00:40:00Z</dcterms:created>
  <dcterms:modified xsi:type="dcterms:W3CDTF">2020-12-04T00:40:00Z</dcterms:modified>
</cp:coreProperties>
</file>