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14C92" w14:textId="5287E798" w:rsidR="000F20F9" w:rsidRPr="00195153" w:rsidRDefault="00F97D01" w:rsidP="000F20F9">
      <w:pPr>
        <w:pStyle w:val="Subtitle"/>
        <w:rPr>
          <w:rFonts w:eastAsiaTheme="majorEastAsia" w:cstheme="majorBidi"/>
          <w:spacing w:val="-10"/>
          <w:kern w:val="28"/>
          <w:sz w:val="56"/>
          <w:szCs w:val="56"/>
          <w:lang w:val="en-AU"/>
        </w:rPr>
      </w:pPr>
      <w:bookmarkStart w:id="0" w:name="_GoBack"/>
      <w:bookmarkEnd w:id="0"/>
      <w:r w:rsidRPr="00195153">
        <w:rPr>
          <w:rFonts w:eastAsiaTheme="majorEastAsia" w:cstheme="majorBidi"/>
          <w:spacing w:val="-10"/>
          <w:kern w:val="28"/>
          <w:sz w:val="56"/>
          <w:szCs w:val="56"/>
          <w:lang w:val="en-AU"/>
        </w:rPr>
        <w:t xml:space="preserve">Next steps for </w:t>
      </w:r>
      <w:r w:rsidR="00296843" w:rsidRPr="00195153">
        <w:rPr>
          <w:rFonts w:eastAsiaTheme="majorEastAsia" w:cstheme="majorBidi"/>
          <w:spacing w:val="-10"/>
          <w:kern w:val="28"/>
          <w:sz w:val="56"/>
          <w:szCs w:val="56"/>
          <w:lang w:val="en-AU"/>
        </w:rPr>
        <w:t>income support</w:t>
      </w:r>
    </w:p>
    <w:p w14:paraId="3F6F9E5B" w14:textId="77777777" w:rsidR="00C92DC9" w:rsidRPr="00195153" w:rsidRDefault="00C92DC9" w:rsidP="00C92DC9">
      <w:pPr>
        <w:pStyle w:val="Subtitle"/>
        <w:rPr>
          <w:lang w:val="en-AU"/>
        </w:rPr>
      </w:pPr>
      <w:r w:rsidRPr="00195153">
        <w:rPr>
          <w:lang w:val="en-AU"/>
        </w:rPr>
        <w:t>Briefing</w:t>
      </w:r>
    </w:p>
    <w:p w14:paraId="780CBF6B" w14:textId="01CB1B72" w:rsidR="007C61BA" w:rsidRPr="00621F78" w:rsidRDefault="00264599" w:rsidP="000164F1">
      <w:pPr>
        <w:pStyle w:val="Title"/>
        <w:rPr>
          <w:rStyle w:val="Strong"/>
          <w:b w:val="0"/>
          <w:bCs w:val="0"/>
          <w:sz w:val="28"/>
          <w:szCs w:val="28"/>
          <w:lang w:val="en-AU"/>
        </w:rPr>
      </w:pPr>
      <w:r>
        <w:rPr>
          <w:sz w:val="28"/>
          <w:szCs w:val="28"/>
          <w:lang w:val="en-AU"/>
        </w:rPr>
        <w:t>July</w:t>
      </w:r>
      <w:r w:rsidR="00493C79" w:rsidRPr="00195153">
        <w:rPr>
          <w:sz w:val="28"/>
          <w:szCs w:val="28"/>
          <w:lang w:val="en-AU"/>
        </w:rPr>
        <w:t xml:space="preserve"> 2020</w:t>
      </w:r>
      <w:r w:rsidR="00F97877" w:rsidRPr="00195153">
        <w:rPr>
          <w:sz w:val="28"/>
          <w:szCs w:val="28"/>
          <w:lang w:val="en-AU"/>
        </w:rPr>
        <w:br/>
      </w:r>
      <w:r w:rsidR="007C61BA" w:rsidRPr="00621F78">
        <w:rPr>
          <w:noProof/>
        </w:rPr>
        <w:drawing>
          <wp:inline distT="0" distB="0" distL="0" distR="0" wp14:anchorId="759E83E8" wp14:editId="5D3749A6">
            <wp:extent cx="359664" cy="359664"/>
            <wp:effectExtent l="0" t="0" r="2540" b="2540"/>
            <wp:docPr id="1" name="Picture 1"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664" cy="359664"/>
                    </a:xfrm>
                    <a:prstGeom prst="rect">
                      <a:avLst/>
                    </a:prstGeom>
                  </pic:spPr>
                </pic:pic>
              </a:graphicData>
            </a:graphic>
          </wp:inline>
        </w:drawing>
      </w:r>
    </w:p>
    <w:p w14:paraId="4AD8F4B0" w14:textId="6D961935" w:rsidR="007E7B3D" w:rsidRPr="00621F78" w:rsidRDefault="007A4EF2" w:rsidP="007E7B3D">
      <w:pPr>
        <w:pStyle w:val="Heading1"/>
        <w:rPr>
          <w:rFonts w:ascii="Verdana" w:hAnsi="Verdana"/>
          <w:color w:val="000000" w:themeColor="text1"/>
          <w:sz w:val="22"/>
          <w:szCs w:val="22"/>
          <w:lang w:val="en-AU"/>
        </w:rPr>
      </w:pPr>
      <w:r w:rsidRPr="00621F78">
        <w:rPr>
          <w:lang w:val="en-AU"/>
        </w:rPr>
        <w:t>Summary</w:t>
      </w:r>
      <w:r w:rsidR="000164F1" w:rsidRPr="00621F78">
        <w:rPr>
          <w:lang w:val="en-AU"/>
        </w:rPr>
        <w:br/>
      </w:r>
      <w:r w:rsidR="00C52744" w:rsidRPr="00621F78">
        <w:rPr>
          <w:rFonts w:ascii="Verdana" w:hAnsi="Verdana"/>
          <w:color w:val="000000" w:themeColor="text1"/>
          <w:sz w:val="22"/>
          <w:szCs w:val="22"/>
          <w:lang w:val="en-AU"/>
        </w:rPr>
        <w:br/>
      </w:r>
      <w:r w:rsidR="00C2771E" w:rsidRPr="00621F78">
        <w:rPr>
          <w:rFonts w:ascii="Verdana" w:hAnsi="Verdana"/>
          <w:color w:val="000000" w:themeColor="text1"/>
          <w:sz w:val="22"/>
          <w:szCs w:val="22"/>
          <w:lang w:val="en-AU"/>
        </w:rPr>
        <w:t xml:space="preserve">ACOSS welcomed the Federal Government’s </w:t>
      </w:r>
      <w:r w:rsidR="006A189A" w:rsidRPr="00621F78">
        <w:rPr>
          <w:rFonts w:ascii="Verdana" w:hAnsi="Verdana"/>
          <w:color w:val="000000" w:themeColor="text1"/>
          <w:sz w:val="22"/>
          <w:szCs w:val="22"/>
          <w:lang w:val="en-AU"/>
        </w:rPr>
        <w:t xml:space="preserve">COVID-19 response packages that </w:t>
      </w:r>
      <w:r w:rsidR="00EC0658" w:rsidRPr="00621F78">
        <w:rPr>
          <w:rFonts w:ascii="Verdana" w:hAnsi="Verdana"/>
          <w:color w:val="000000" w:themeColor="text1"/>
          <w:sz w:val="22"/>
          <w:szCs w:val="22"/>
          <w:lang w:val="en-AU"/>
        </w:rPr>
        <w:t>substantially increased</w:t>
      </w:r>
      <w:r w:rsidR="006A189A" w:rsidRPr="00621F78">
        <w:rPr>
          <w:rFonts w:ascii="Verdana" w:hAnsi="Verdana"/>
          <w:color w:val="000000" w:themeColor="text1"/>
          <w:sz w:val="22"/>
          <w:szCs w:val="22"/>
          <w:lang w:val="en-AU"/>
        </w:rPr>
        <w:t xml:space="preserve"> JobSeeker and related payments</w:t>
      </w:r>
      <w:r w:rsidR="00A16AA0" w:rsidRPr="00621F78">
        <w:rPr>
          <w:rFonts w:ascii="Verdana" w:hAnsi="Verdana"/>
          <w:color w:val="000000" w:themeColor="text1"/>
          <w:sz w:val="22"/>
          <w:szCs w:val="22"/>
          <w:lang w:val="en-AU"/>
        </w:rPr>
        <w:t>, as well provided support to people</w:t>
      </w:r>
      <w:r w:rsidR="00BD42CD" w:rsidRPr="00621F78">
        <w:rPr>
          <w:rFonts w:ascii="Verdana" w:hAnsi="Verdana"/>
          <w:color w:val="000000" w:themeColor="text1"/>
          <w:sz w:val="22"/>
          <w:szCs w:val="22"/>
          <w:lang w:val="en-AU"/>
        </w:rPr>
        <w:t xml:space="preserve"> to keep their jobs or an income via the JobKeeper </w:t>
      </w:r>
      <w:r w:rsidR="00A16AA0" w:rsidRPr="00621F78">
        <w:rPr>
          <w:rFonts w:ascii="Verdana" w:hAnsi="Verdana"/>
          <w:color w:val="000000" w:themeColor="text1"/>
          <w:sz w:val="22"/>
          <w:szCs w:val="22"/>
          <w:lang w:val="en-AU"/>
        </w:rPr>
        <w:t xml:space="preserve">wage subsidy. </w:t>
      </w:r>
      <w:r w:rsidR="0031743B" w:rsidRPr="00621F78">
        <w:rPr>
          <w:rFonts w:ascii="Verdana" w:hAnsi="Verdana"/>
          <w:color w:val="000000" w:themeColor="text1"/>
          <w:sz w:val="22"/>
          <w:szCs w:val="22"/>
          <w:lang w:val="en-AU"/>
        </w:rPr>
        <w:t xml:space="preserve">ACOSS also welcomed a range of measures put in place to ease access to income support </w:t>
      </w:r>
      <w:r w:rsidR="00296843" w:rsidRPr="00621F78">
        <w:rPr>
          <w:rFonts w:ascii="Verdana" w:hAnsi="Verdana"/>
          <w:color w:val="000000" w:themeColor="text1"/>
          <w:sz w:val="22"/>
          <w:szCs w:val="22"/>
          <w:lang w:val="en-AU"/>
        </w:rPr>
        <w:t>and</w:t>
      </w:r>
      <w:r w:rsidR="0031743B" w:rsidRPr="00621F78">
        <w:rPr>
          <w:rFonts w:ascii="Verdana" w:hAnsi="Verdana"/>
          <w:color w:val="000000" w:themeColor="text1"/>
          <w:sz w:val="22"/>
          <w:szCs w:val="22"/>
          <w:lang w:val="en-AU"/>
        </w:rPr>
        <w:t xml:space="preserve"> </w:t>
      </w:r>
      <w:r w:rsidR="00C27833" w:rsidRPr="00621F78">
        <w:rPr>
          <w:rFonts w:ascii="Verdana" w:hAnsi="Verdana"/>
          <w:color w:val="000000" w:themeColor="text1"/>
          <w:sz w:val="22"/>
          <w:szCs w:val="22"/>
          <w:lang w:val="en-AU"/>
        </w:rPr>
        <w:t xml:space="preserve">prevent destitution. </w:t>
      </w:r>
      <w:r w:rsidR="007E7B3D" w:rsidRPr="00621F78">
        <w:rPr>
          <w:rFonts w:ascii="Verdana" w:hAnsi="Verdana"/>
          <w:color w:val="000000" w:themeColor="text1"/>
          <w:sz w:val="22"/>
          <w:szCs w:val="22"/>
          <w:lang w:val="en-AU"/>
        </w:rPr>
        <w:br/>
      </w:r>
    </w:p>
    <w:p w14:paraId="042D822A" w14:textId="0D58826C" w:rsidR="006A189A" w:rsidRPr="00621F78" w:rsidRDefault="005D58CD" w:rsidP="006A189A">
      <w:pPr>
        <w:rPr>
          <w:lang w:val="en-AU"/>
        </w:rPr>
      </w:pPr>
      <w:r w:rsidRPr="00621F78">
        <w:rPr>
          <w:lang w:val="en-AU"/>
        </w:rPr>
        <w:t xml:space="preserve">We urge the government to ensure </w:t>
      </w:r>
      <w:r w:rsidRPr="00621F78">
        <w:rPr>
          <w:b/>
          <w:lang w:val="en-AU"/>
        </w:rPr>
        <w:t xml:space="preserve">income support payments </w:t>
      </w:r>
      <w:r w:rsidR="00DB5A3E" w:rsidRPr="00621F78">
        <w:rPr>
          <w:b/>
          <w:lang w:val="en-AU"/>
        </w:rPr>
        <w:t xml:space="preserve">for working-age people </w:t>
      </w:r>
      <w:r w:rsidRPr="00621F78">
        <w:rPr>
          <w:b/>
          <w:lang w:val="en-AU"/>
        </w:rPr>
        <w:t xml:space="preserve">do not </w:t>
      </w:r>
      <w:r w:rsidR="00A82D9D" w:rsidRPr="00621F78">
        <w:rPr>
          <w:b/>
          <w:lang w:val="en-AU"/>
        </w:rPr>
        <w:t>return to</w:t>
      </w:r>
      <w:r w:rsidR="00BD42CD" w:rsidRPr="00621F78">
        <w:rPr>
          <w:b/>
          <w:lang w:val="en-AU"/>
        </w:rPr>
        <w:t xml:space="preserve"> below-</w:t>
      </w:r>
      <w:r w:rsidR="00A82D9D" w:rsidRPr="00621F78">
        <w:rPr>
          <w:b/>
          <w:lang w:val="en-AU"/>
        </w:rPr>
        <w:t>poverty levels again</w:t>
      </w:r>
      <w:r w:rsidR="00A82D9D" w:rsidRPr="00621F78">
        <w:rPr>
          <w:lang w:val="en-AU"/>
        </w:rPr>
        <w:t xml:space="preserve">. </w:t>
      </w:r>
      <w:r w:rsidR="00B43BA0" w:rsidRPr="00621F78">
        <w:rPr>
          <w:lang w:val="en-AU"/>
        </w:rPr>
        <w:t xml:space="preserve">We also urge the government to </w:t>
      </w:r>
      <w:r w:rsidR="00B43BA0" w:rsidRPr="00621F78">
        <w:rPr>
          <w:b/>
          <w:lang w:val="en-AU"/>
        </w:rPr>
        <w:t>retain important improvements in the system that wil</w:t>
      </w:r>
      <w:r w:rsidR="00A44B91" w:rsidRPr="00621F78">
        <w:rPr>
          <w:b/>
          <w:lang w:val="en-AU"/>
        </w:rPr>
        <w:t>l help people access income support</w:t>
      </w:r>
      <w:r w:rsidR="00BA36D7" w:rsidRPr="00621F78">
        <w:rPr>
          <w:b/>
          <w:lang w:val="en-AU"/>
        </w:rPr>
        <w:t xml:space="preserve"> quickly</w:t>
      </w:r>
      <w:r w:rsidR="00A44B91" w:rsidRPr="00621F78">
        <w:rPr>
          <w:lang w:val="en-AU"/>
        </w:rPr>
        <w:t xml:space="preserve"> when they need it. </w:t>
      </w:r>
    </w:p>
    <w:p w14:paraId="0585BEB8" w14:textId="0CA9AC77" w:rsidR="00A30E38" w:rsidRPr="00621F78" w:rsidRDefault="0011342E" w:rsidP="00EC0658">
      <w:pPr>
        <w:pStyle w:val="Heading3"/>
        <w:rPr>
          <w:b/>
          <w:lang w:val="en-AU"/>
        </w:rPr>
      </w:pPr>
      <w:r w:rsidRPr="00621F78">
        <w:rPr>
          <w:b/>
          <w:lang w:val="en-AU"/>
        </w:rPr>
        <w:t xml:space="preserve">Key </w:t>
      </w:r>
      <w:r w:rsidR="00A76E35" w:rsidRPr="00621F78">
        <w:rPr>
          <w:b/>
          <w:lang w:val="en-AU"/>
        </w:rPr>
        <w:t>Recommendations</w:t>
      </w:r>
      <w:r w:rsidR="00EC0658" w:rsidRPr="00621F78">
        <w:rPr>
          <w:b/>
          <w:lang w:val="en-AU"/>
        </w:rPr>
        <w:br/>
      </w:r>
    </w:p>
    <w:p w14:paraId="73A7758F" w14:textId="7A8434D3" w:rsidR="00A30E38" w:rsidRPr="00621F78" w:rsidRDefault="00A30E38" w:rsidP="00A30E38">
      <w:pPr>
        <w:rPr>
          <w:lang w:val="en-AU"/>
        </w:rPr>
      </w:pPr>
      <w:r w:rsidRPr="00621F78">
        <w:rPr>
          <w:lang w:val="en-AU"/>
        </w:rPr>
        <w:t xml:space="preserve">ACOSS recommends that </w:t>
      </w:r>
      <w:r w:rsidR="00D11FA9" w:rsidRPr="00621F78">
        <w:rPr>
          <w:lang w:val="en-AU"/>
        </w:rPr>
        <w:t xml:space="preserve">the following be implemented </w:t>
      </w:r>
      <w:r w:rsidR="004A4059">
        <w:rPr>
          <w:lang w:val="en-AU"/>
        </w:rPr>
        <w:t>as soon as possible:</w:t>
      </w:r>
      <w:r w:rsidR="00D11FA9" w:rsidRPr="00621F78">
        <w:rPr>
          <w:lang w:val="en-AU"/>
        </w:rPr>
        <w:t xml:space="preserve"> </w:t>
      </w:r>
    </w:p>
    <w:p w14:paraId="6381C594" w14:textId="183E75D0" w:rsidR="00B45CAB" w:rsidRPr="00621F78" w:rsidRDefault="00B45CAB" w:rsidP="007A3ACF">
      <w:pPr>
        <w:ind w:firstLine="360"/>
        <w:rPr>
          <w:b/>
          <w:i/>
          <w:lang w:val="en-AU"/>
        </w:rPr>
      </w:pPr>
      <w:r w:rsidRPr="00621F78">
        <w:rPr>
          <w:b/>
          <w:i/>
          <w:lang w:val="en-AU"/>
        </w:rPr>
        <w:t>Adequate and fair payment rates</w:t>
      </w:r>
    </w:p>
    <w:p w14:paraId="022316AE" w14:textId="3A57AB63" w:rsidR="005C2AA7" w:rsidRPr="00621F78" w:rsidRDefault="005C2AA7" w:rsidP="00A30E38">
      <w:pPr>
        <w:pStyle w:val="ListParagraph"/>
        <w:numPr>
          <w:ilvl w:val="0"/>
          <w:numId w:val="42"/>
        </w:numPr>
        <w:rPr>
          <w:rFonts w:ascii="Verdana" w:hAnsi="Verdana"/>
        </w:rPr>
      </w:pPr>
      <w:r w:rsidRPr="00621F78">
        <w:rPr>
          <w:rFonts w:ascii="Verdana" w:hAnsi="Verdana"/>
        </w:rPr>
        <w:t xml:space="preserve">Set a minimum income floor across the working age payments system set at the current pension rate (including the Pension Supplement). This is currently $472 per week for a single person. </w:t>
      </w:r>
    </w:p>
    <w:p w14:paraId="7A55EEA0" w14:textId="099C4796" w:rsidR="00A30E38" w:rsidRPr="00621F78" w:rsidRDefault="00B45CAB" w:rsidP="00A30E38">
      <w:pPr>
        <w:pStyle w:val="ListParagraph"/>
        <w:numPr>
          <w:ilvl w:val="0"/>
          <w:numId w:val="42"/>
        </w:numPr>
        <w:rPr>
          <w:rFonts w:ascii="Verdana" w:hAnsi="Verdana"/>
        </w:rPr>
      </w:pPr>
      <w:r w:rsidRPr="00621F78">
        <w:rPr>
          <w:rFonts w:ascii="Verdana" w:hAnsi="Verdana"/>
        </w:rPr>
        <w:t xml:space="preserve">Increase </w:t>
      </w:r>
      <w:r w:rsidR="0012233B" w:rsidRPr="00621F78">
        <w:rPr>
          <w:rFonts w:ascii="Verdana" w:hAnsi="Verdana"/>
        </w:rPr>
        <w:t>base rates of allowances to</w:t>
      </w:r>
      <w:r w:rsidR="00EA170B" w:rsidRPr="00621F78">
        <w:rPr>
          <w:rFonts w:ascii="Verdana" w:hAnsi="Verdana"/>
        </w:rPr>
        <w:t xml:space="preserve"> </w:t>
      </w:r>
      <w:r w:rsidR="005C2AA7" w:rsidRPr="00621F78">
        <w:rPr>
          <w:rFonts w:ascii="Verdana" w:hAnsi="Verdana"/>
        </w:rPr>
        <w:t>this income floor</w:t>
      </w:r>
      <w:r w:rsidR="00A30E38" w:rsidRPr="00621F78">
        <w:rPr>
          <w:rFonts w:ascii="Verdana" w:hAnsi="Verdana"/>
        </w:rPr>
        <w:t>. This would require an increase of</w:t>
      </w:r>
      <w:r w:rsidR="005C2AA7" w:rsidRPr="00621F78">
        <w:rPr>
          <w:rFonts w:ascii="Verdana" w:hAnsi="Verdana"/>
        </w:rPr>
        <w:t xml:space="preserve"> </w:t>
      </w:r>
      <w:r w:rsidR="00A30E38" w:rsidRPr="00621F78">
        <w:rPr>
          <w:rFonts w:ascii="Verdana" w:hAnsi="Verdana"/>
        </w:rPr>
        <w:t xml:space="preserve">$185pw to the single </w:t>
      </w:r>
      <w:r w:rsidR="009A4D90" w:rsidRPr="00621F78">
        <w:rPr>
          <w:rFonts w:ascii="Verdana" w:hAnsi="Verdana"/>
        </w:rPr>
        <w:t xml:space="preserve">maximum rate of </w:t>
      </w:r>
      <w:r w:rsidR="00A30E38" w:rsidRPr="00621F78">
        <w:rPr>
          <w:rFonts w:ascii="Verdana" w:hAnsi="Verdana"/>
        </w:rPr>
        <w:t>JobSeeker Payment</w:t>
      </w:r>
      <w:r w:rsidRPr="00621F78">
        <w:rPr>
          <w:rFonts w:ascii="Verdana" w:hAnsi="Verdana"/>
        </w:rPr>
        <w:t xml:space="preserve"> </w:t>
      </w:r>
      <w:r w:rsidR="005D79FA" w:rsidRPr="00621F78">
        <w:rPr>
          <w:rFonts w:ascii="Verdana" w:hAnsi="Verdana"/>
        </w:rPr>
        <w:t xml:space="preserve">and </w:t>
      </w:r>
      <w:r w:rsidR="008F42F4" w:rsidRPr="00621F78">
        <w:rPr>
          <w:rFonts w:ascii="Verdana" w:hAnsi="Verdana"/>
        </w:rPr>
        <w:t xml:space="preserve">$235 per week for </w:t>
      </w:r>
      <w:r w:rsidR="009A4D90" w:rsidRPr="00621F78">
        <w:rPr>
          <w:rFonts w:ascii="Verdana" w:hAnsi="Verdana"/>
        </w:rPr>
        <w:t xml:space="preserve">single, </w:t>
      </w:r>
      <w:r w:rsidR="008F42F4" w:rsidRPr="00621F78">
        <w:rPr>
          <w:rFonts w:ascii="Verdana" w:hAnsi="Verdana"/>
        </w:rPr>
        <w:t>maximum rate o</w:t>
      </w:r>
      <w:r w:rsidR="00A03137" w:rsidRPr="00621F78">
        <w:rPr>
          <w:rFonts w:ascii="Verdana" w:hAnsi="Verdana"/>
        </w:rPr>
        <w:t>f Youth Allowance</w:t>
      </w:r>
      <w:r w:rsidR="00D11FA9" w:rsidRPr="00621F78">
        <w:rPr>
          <w:rFonts w:ascii="Verdana" w:hAnsi="Verdana"/>
        </w:rPr>
        <w:t>.</w:t>
      </w:r>
      <w:r w:rsidR="009A4D90" w:rsidRPr="00621F78">
        <w:rPr>
          <w:rFonts w:ascii="Verdana" w:hAnsi="Verdana"/>
        </w:rPr>
        <w:t xml:space="preserve"> </w:t>
      </w:r>
      <w:r w:rsidR="00D11FA9" w:rsidRPr="00621F78">
        <w:rPr>
          <w:rFonts w:ascii="Verdana" w:hAnsi="Verdana"/>
        </w:rPr>
        <w:t xml:space="preserve">This </w:t>
      </w:r>
      <w:r w:rsidRPr="00621F78">
        <w:rPr>
          <w:rFonts w:ascii="Verdana" w:hAnsi="Verdana"/>
        </w:rPr>
        <w:t>would simplify the income support system, while securing fairness</w:t>
      </w:r>
      <w:r w:rsidR="005D79FA" w:rsidRPr="00621F78">
        <w:rPr>
          <w:rFonts w:ascii="Verdana" w:hAnsi="Verdana"/>
        </w:rPr>
        <w:t>.</w:t>
      </w:r>
      <w:r w:rsidR="009A4D90" w:rsidRPr="00621F78">
        <w:rPr>
          <w:rFonts w:ascii="Verdana" w:hAnsi="Verdana"/>
        </w:rPr>
        <w:t xml:space="preserve"> (Note. These increases would apply to all allowance payments, including Austudy and Abstudy). </w:t>
      </w:r>
      <w:r w:rsidR="005D79FA" w:rsidRPr="00621F78">
        <w:rPr>
          <w:rFonts w:ascii="Verdana" w:hAnsi="Verdana"/>
        </w:rPr>
        <w:t xml:space="preserve"> </w:t>
      </w:r>
    </w:p>
    <w:p w14:paraId="308462F8" w14:textId="4B730C26" w:rsidR="008F42F4" w:rsidRPr="00621F78" w:rsidRDefault="008F42F4" w:rsidP="00A30E38">
      <w:pPr>
        <w:pStyle w:val="ListParagraph"/>
        <w:numPr>
          <w:ilvl w:val="0"/>
          <w:numId w:val="42"/>
        </w:numPr>
        <w:rPr>
          <w:rFonts w:ascii="Verdana" w:hAnsi="Verdana"/>
        </w:rPr>
      </w:pPr>
      <w:r w:rsidRPr="00621F78">
        <w:rPr>
          <w:rFonts w:ascii="Verdana" w:hAnsi="Verdana"/>
        </w:rPr>
        <w:t xml:space="preserve">In addition, depending on circumstances of need, people would also receive one or more of the following </w:t>
      </w:r>
      <w:r w:rsidR="009A4D90" w:rsidRPr="00621F78">
        <w:rPr>
          <w:rFonts w:ascii="Verdana" w:hAnsi="Verdana"/>
        </w:rPr>
        <w:t>s</w:t>
      </w:r>
      <w:r w:rsidRPr="00621F78">
        <w:rPr>
          <w:rFonts w:ascii="Verdana" w:hAnsi="Verdana"/>
        </w:rPr>
        <w:t>upplements</w:t>
      </w:r>
      <w:r w:rsidR="003379E1" w:rsidRPr="00621F78">
        <w:rPr>
          <w:rFonts w:ascii="Verdana" w:hAnsi="Verdana"/>
        </w:rPr>
        <w:t>:</w:t>
      </w:r>
    </w:p>
    <w:p w14:paraId="3A0C8F74" w14:textId="5B57F618" w:rsidR="0022085E" w:rsidRPr="00621F78" w:rsidRDefault="008F42F4" w:rsidP="0022085E">
      <w:pPr>
        <w:pStyle w:val="ListParagraph"/>
        <w:numPr>
          <w:ilvl w:val="1"/>
          <w:numId w:val="42"/>
        </w:numPr>
        <w:rPr>
          <w:rFonts w:ascii="Verdana" w:hAnsi="Verdana"/>
        </w:rPr>
      </w:pPr>
      <w:r w:rsidRPr="00621F78">
        <w:rPr>
          <w:rFonts w:ascii="Verdana" w:hAnsi="Verdana"/>
          <w:i/>
        </w:rPr>
        <w:lastRenderedPageBreak/>
        <w:t>Housing Supplement</w:t>
      </w:r>
      <w:r w:rsidR="0022085E" w:rsidRPr="00621F78">
        <w:rPr>
          <w:rFonts w:ascii="Verdana" w:hAnsi="Verdana"/>
        </w:rPr>
        <w:t xml:space="preserve">: </w:t>
      </w:r>
      <w:r w:rsidR="00A30E38" w:rsidRPr="00621F78">
        <w:rPr>
          <w:rFonts w:ascii="Verdana" w:hAnsi="Verdana"/>
        </w:rPr>
        <w:t>Increase the maximum rate of C</w:t>
      </w:r>
      <w:r w:rsidR="00DA4E12" w:rsidRPr="00621F78">
        <w:rPr>
          <w:rFonts w:ascii="Verdana" w:hAnsi="Verdana"/>
        </w:rPr>
        <w:t>ommonwealth Rent Assistance by 5</w:t>
      </w:r>
      <w:r w:rsidR="00A30E38" w:rsidRPr="00621F78">
        <w:rPr>
          <w:rFonts w:ascii="Verdana" w:hAnsi="Verdana"/>
        </w:rPr>
        <w:t>0%</w:t>
      </w:r>
      <w:r w:rsidR="004A7B93" w:rsidRPr="00621F78">
        <w:rPr>
          <w:rFonts w:ascii="Verdana" w:hAnsi="Verdana"/>
        </w:rPr>
        <w:t xml:space="preserve"> </w:t>
      </w:r>
      <w:r w:rsidR="00B45CAB" w:rsidRPr="00621F78">
        <w:rPr>
          <w:rFonts w:ascii="Verdana" w:hAnsi="Verdana"/>
        </w:rPr>
        <w:t>to more adequately subsidise private rental costs for low</w:t>
      </w:r>
      <w:r w:rsidR="00DD4691" w:rsidRPr="00621F78">
        <w:rPr>
          <w:rFonts w:ascii="Verdana" w:hAnsi="Verdana"/>
        </w:rPr>
        <w:t>-</w:t>
      </w:r>
      <w:r w:rsidR="00B45CAB" w:rsidRPr="00621F78">
        <w:rPr>
          <w:rFonts w:ascii="Verdana" w:hAnsi="Verdana"/>
        </w:rPr>
        <w:t>income tenants</w:t>
      </w:r>
      <w:r w:rsidR="00A30E38" w:rsidRPr="00621F78">
        <w:rPr>
          <w:rFonts w:ascii="Verdana" w:hAnsi="Verdana"/>
        </w:rPr>
        <w:t>.</w:t>
      </w:r>
      <w:r w:rsidR="0022085E" w:rsidRPr="00621F78">
        <w:rPr>
          <w:rStyle w:val="FootnoteReference"/>
          <w:rFonts w:ascii="Verdana" w:hAnsi="Verdana"/>
        </w:rPr>
        <w:footnoteReference w:id="1"/>
      </w:r>
    </w:p>
    <w:p w14:paraId="0D0A0D45" w14:textId="643DB876" w:rsidR="0022085E" w:rsidRPr="00621F78" w:rsidRDefault="008F42F4" w:rsidP="0022085E">
      <w:pPr>
        <w:pStyle w:val="ListParagraph"/>
        <w:numPr>
          <w:ilvl w:val="1"/>
          <w:numId w:val="42"/>
        </w:numPr>
        <w:rPr>
          <w:rFonts w:ascii="Verdana" w:hAnsi="Verdana"/>
        </w:rPr>
      </w:pPr>
      <w:r w:rsidRPr="00621F78">
        <w:rPr>
          <w:rFonts w:ascii="Verdana" w:hAnsi="Verdana"/>
          <w:i/>
        </w:rPr>
        <w:t>Disability and Illness Supplement</w:t>
      </w:r>
      <w:r w:rsidR="0022085E" w:rsidRPr="00621F78">
        <w:rPr>
          <w:rFonts w:ascii="Verdana" w:hAnsi="Verdana"/>
        </w:rPr>
        <w:t xml:space="preserve">: </w:t>
      </w:r>
      <w:r w:rsidR="00A30E38" w:rsidRPr="00621F78">
        <w:rPr>
          <w:rFonts w:ascii="Verdana" w:hAnsi="Verdana"/>
        </w:rPr>
        <w:t>Introduce a Cost of Disability and Illness Supplement that recognises the additional costs faced by people with disability.</w:t>
      </w:r>
      <w:r w:rsidR="00A03137" w:rsidRPr="00621F78">
        <w:rPr>
          <w:rFonts w:ascii="Verdana" w:hAnsi="Verdana"/>
        </w:rPr>
        <w:t xml:space="preserve"> This Supplement </w:t>
      </w:r>
      <w:r w:rsidR="00B5202F" w:rsidRPr="00621F78">
        <w:rPr>
          <w:rFonts w:ascii="Verdana" w:hAnsi="Verdana"/>
        </w:rPr>
        <w:t xml:space="preserve">should be at least </w:t>
      </w:r>
      <w:r w:rsidR="004A7B93" w:rsidRPr="00621F78">
        <w:rPr>
          <w:rFonts w:ascii="Verdana" w:hAnsi="Verdana"/>
        </w:rPr>
        <w:t>$</w:t>
      </w:r>
      <w:r w:rsidR="00D11FA9" w:rsidRPr="00621F78">
        <w:rPr>
          <w:rFonts w:ascii="Verdana" w:hAnsi="Verdana"/>
        </w:rPr>
        <w:t>50</w:t>
      </w:r>
      <w:r w:rsidR="004A7B93" w:rsidRPr="00621F78">
        <w:rPr>
          <w:rFonts w:ascii="Verdana" w:hAnsi="Verdana"/>
        </w:rPr>
        <w:t xml:space="preserve"> per week</w:t>
      </w:r>
      <w:r w:rsidR="00D11FA9" w:rsidRPr="00621F78">
        <w:rPr>
          <w:rFonts w:ascii="Verdana" w:hAnsi="Verdana"/>
        </w:rPr>
        <w:t>.</w:t>
      </w:r>
      <w:r w:rsidR="00A30E38" w:rsidRPr="00621F78">
        <w:rPr>
          <w:rStyle w:val="FootnoteReference"/>
          <w:rFonts w:ascii="Verdana" w:hAnsi="Verdana"/>
        </w:rPr>
        <w:footnoteReference w:id="2"/>
      </w:r>
      <w:r w:rsidR="00CC75C5" w:rsidRPr="00621F78">
        <w:rPr>
          <w:rFonts w:ascii="Verdana" w:hAnsi="Verdana"/>
        </w:rPr>
        <w:t xml:space="preserve"> This is in addition to ACOSS’s long-standing call for broader access to the Disability Support Pension to avoid people with disability ending up on JobSeeker Payment.</w:t>
      </w:r>
    </w:p>
    <w:p w14:paraId="36C30DD0" w14:textId="01EF0029" w:rsidR="00A30E38" w:rsidRPr="00621F78" w:rsidRDefault="008F42F4" w:rsidP="0022085E">
      <w:pPr>
        <w:pStyle w:val="ListParagraph"/>
        <w:numPr>
          <w:ilvl w:val="1"/>
          <w:numId w:val="42"/>
        </w:numPr>
        <w:rPr>
          <w:rFonts w:ascii="Verdana" w:hAnsi="Verdana"/>
        </w:rPr>
      </w:pPr>
      <w:r w:rsidRPr="00621F78">
        <w:rPr>
          <w:rFonts w:ascii="Verdana" w:hAnsi="Verdana"/>
          <w:i/>
        </w:rPr>
        <w:t>Single Parenting Supplement</w:t>
      </w:r>
      <w:r w:rsidR="0022085E" w:rsidRPr="00621F78">
        <w:rPr>
          <w:rFonts w:ascii="Verdana" w:hAnsi="Verdana"/>
        </w:rPr>
        <w:t xml:space="preserve">: </w:t>
      </w:r>
      <w:r w:rsidR="00A30E38" w:rsidRPr="00621F78">
        <w:rPr>
          <w:rFonts w:ascii="Verdana" w:hAnsi="Verdana"/>
        </w:rPr>
        <w:t xml:space="preserve">Introduce a Single Parent Supplement that recognises the added costs of single parenthood. </w:t>
      </w:r>
      <w:r w:rsidR="004A7B93" w:rsidRPr="00621F78">
        <w:rPr>
          <w:rFonts w:ascii="Verdana" w:hAnsi="Verdana"/>
        </w:rPr>
        <w:t xml:space="preserve">The Single Parent Supplement </w:t>
      </w:r>
      <w:r w:rsidR="00B5202F" w:rsidRPr="00621F78">
        <w:rPr>
          <w:rFonts w:ascii="Verdana" w:hAnsi="Verdana"/>
        </w:rPr>
        <w:t>should be at least</w:t>
      </w:r>
      <w:r w:rsidR="004A7B93" w:rsidRPr="00621F78">
        <w:rPr>
          <w:rFonts w:ascii="Verdana" w:hAnsi="Verdana"/>
        </w:rPr>
        <w:t xml:space="preserve"> $</w:t>
      </w:r>
      <w:r w:rsidR="00D11FA9" w:rsidRPr="00621F78">
        <w:rPr>
          <w:rFonts w:ascii="Verdana" w:hAnsi="Verdana"/>
        </w:rPr>
        <w:t>200</w:t>
      </w:r>
      <w:r w:rsidR="004A7B93" w:rsidRPr="00621F78">
        <w:rPr>
          <w:rFonts w:ascii="Verdana" w:hAnsi="Verdana"/>
        </w:rPr>
        <w:t xml:space="preserve"> per week</w:t>
      </w:r>
      <w:r w:rsidR="003379E1" w:rsidRPr="00621F78">
        <w:rPr>
          <w:rFonts w:ascii="Verdana" w:hAnsi="Verdana"/>
        </w:rPr>
        <w:t xml:space="preserve"> (</w:t>
      </w:r>
      <w:r w:rsidR="00B5202F" w:rsidRPr="00621F78">
        <w:rPr>
          <w:rFonts w:ascii="Verdana" w:hAnsi="Verdana"/>
        </w:rPr>
        <w:t xml:space="preserve">and </w:t>
      </w:r>
      <w:r w:rsidR="003379E1" w:rsidRPr="00621F78">
        <w:rPr>
          <w:rFonts w:ascii="Verdana" w:hAnsi="Verdana"/>
        </w:rPr>
        <w:t>must reflect number and age of children)</w:t>
      </w:r>
      <w:r w:rsidR="004A7B93" w:rsidRPr="00621F78">
        <w:rPr>
          <w:rFonts w:ascii="Verdana" w:hAnsi="Verdana"/>
        </w:rPr>
        <w:t xml:space="preserve">. </w:t>
      </w:r>
      <w:r w:rsidR="00A30E38" w:rsidRPr="00621F78">
        <w:rPr>
          <w:rFonts w:ascii="Verdana" w:hAnsi="Verdana"/>
        </w:rPr>
        <w:t>This could be paid via Family Tax Benefit Part B.</w:t>
      </w:r>
    </w:p>
    <w:p w14:paraId="2F3A788B" w14:textId="56CD910C" w:rsidR="00B45CAB" w:rsidRPr="00AC1BFF" w:rsidRDefault="00E232F3" w:rsidP="003379E1">
      <w:pPr>
        <w:pStyle w:val="ListParagraph"/>
        <w:numPr>
          <w:ilvl w:val="0"/>
          <w:numId w:val="42"/>
        </w:numPr>
        <w:rPr>
          <w:rFonts w:ascii="Verdana" w:hAnsi="Verdana"/>
        </w:rPr>
      </w:pPr>
      <w:r w:rsidRPr="00621F78">
        <w:rPr>
          <w:rFonts w:ascii="Verdana" w:hAnsi="Verdana"/>
        </w:rPr>
        <w:t>Roll u</w:t>
      </w:r>
      <w:r w:rsidR="00A30E38" w:rsidRPr="00621F78">
        <w:rPr>
          <w:rFonts w:ascii="Verdana" w:hAnsi="Verdana"/>
        </w:rPr>
        <w:t>ni</w:t>
      </w:r>
      <w:r w:rsidR="00A03137" w:rsidRPr="00621F78">
        <w:rPr>
          <w:rFonts w:ascii="Verdana" w:hAnsi="Verdana"/>
        </w:rPr>
        <w:t>versal payments like the Energy</w:t>
      </w:r>
      <w:r w:rsidR="00EC0658" w:rsidRPr="00621F78">
        <w:rPr>
          <w:rFonts w:ascii="Verdana" w:hAnsi="Verdana"/>
        </w:rPr>
        <w:t xml:space="preserve"> </w:t>
      </w:r>
      <w:r w:rsidR="00A30E38" w:rsidRPr="00621F78">
        <w:rPr>
          <w:rFonts w:ascii="Verdana" w:hAnsi="Verdana"/>
        </w:rPr>
        <w:t xml:space="preserve">Supplement into base rates of </w:t>
      </w:r>
      <w:r w:rsidR="00A30E38" w:rsidRPr="00AC1BFF">
        <w:rPr>
          <w:rFonts w:ascii="Verdana" w:hAnsi="Verdana"/>
        </w:rPr>
        <w:t xml:space="preserve">income support to simplify the system, recognising that they are intended to assist with basic household expenses. </w:t>
      </w:r>
    </w:p>
    <w:p w14:paraId="337F57BF" w14:textId="3C8DC9CE" w:rsidR="00AC1BFF" w:rsidRPr="00AC1BFF" w:rsidRDefault="00AC1BFF" w:rsidP="003379E1">
      <w:pPr>
        <w:pStyle w:val="ListParagraph"/>
        <w:numPr>
          <w:ilvl w:val="0"/>
          <w:numId w:val="42"/>
        </w:numPr>
        <w:rPr>
          <w:rFonts w:ascii="Verdana" w:hAnsi="Verdana"/>
        </w:rPr>
      </w:pPr>
      <w:r w:rsidRPr="00AC1BFF">
        <w:rPr>
          <w:rFonts w:ascii="Verdana" w:hAnsi="Verdana" w:cs="Verdana"/>
        </w:rPr>
        <w:t>Index income support payments twice per year to wages as well as prices.</w:t>
      </w:r>
    </w:p>
    <w:p w14:paraId="758E63CF" w14:textId="2E683799" w:rsidR="00D85502" w:rsidRDefault="00D85502" w:rsidP="00621F78">
      <w:pPr>
        <w:pStyle w:val="ListParagraph"/>
        <w:numPr>
          <w:ilvl w:val="0"/>
          <w:numId w:val="42"/>
        </w:numPr>
        <w:rPr>
          <w:rFonts w:ascii="Verdana" w:hAnsi="Verdana"/>
        </w:rPr>
      </w:pPr>
      <w:r w:rsidRPr="00AC1BFF">
        <w:rPr>
          <w:rFonts w:ascii="Verdana" w:hAnsi="Verdana"/>
        </w:rPr>
        <w:t>Income support payments must not be subject to mandatory cashless debit or income management.</w:t>
      </w:r>
    </w:p>
    <w:p w14:paraId="1E0FDBCC" w14:textId="401EE04F" w:rsidR="00016998" w:rsidRPr="00016998" w:rsidRDefault="00016998" w:rsidP="00016998">
      <w:pPr>
        <w:pStyle w:val="ListParagraph"/>
        <w:numPr>
          <w:ilvl w:val="0"/>
          <w:numId w:val="42"/>
        </w:numPr>
        <w:rPr>
          <w:rFonts w:ascii="Verdana" w:eastAsia="Times New Roman" w:hAnsi="Verdana"/>
        </w:rPr>
      </w:pPr>
      <w:r w:rsidRPr="00016998">
        <w:rPr>
          <w:rFonts w:ascii="Verdana" w:eastAsia="Times New Roman" w:hAnsi="Verdana"/>
        </w:rPr>
        <w:t xml:space="preserve">Ensure all parents receiving income support payments are eligible for child care subsidies (including additional, transition to work subsidies). </w:t>
      </w:r>
    </w:p>
    <w:p w14:paraId="7327B929" w14:textId="2B1B2949" w:rsidR="00B45CAB" w:rsidRPr="00621F78" w:rsidRDefault="00B45CAB" w:rsidP="007A3ACF">
      <w:pPr>
        <w:rPr>
          <w:b/>
          <w:i/>
          <w:lang w:val="en-AU"/>
        </w:rPr>
      </w:pPr>
      <w:r w:rsidRPr="00621F78">
        <w:rPr>
          <w:b/>
          <w:i/>
          <w:lang w:val="en-AU"/>
        </w:rPr>
        <w:t>Remove barriers to accessing payments</w:t>
      </w:r>
    </w:p>
    <w:p w14:paraId="368D92F9" w14:textId="48E5CDCE" w:rsidR="00A30E38" w:rsidRPr="00621F78" w:rsidRDefault="00A30E38" w:rsidP="00A30E38">
      <w:pPr>
        <w:pStyle w:val="ListParagraph"/>
        <w:numPr>
          <w:ilvl w:val="0"/>
          <w:numId w:val="42"/>
        </w:numPr>
        <w:rPr>
          <w:rFonts w:ascii="Verdana" w:hAnsi="Verdana"/>
        </w:rPr>
      </w:pPr>
      <w:r w:rsidRPr="00621F78">
        <w:rPr>
          <w:rFonts w:ascii="Verdana" w:hAnsi="Verdana"/>
        </w:rPr>
        <w:t xml:space="preserve">Permanently remove the Liquid Assets Waiting Period, One-Week Waiting Period and the Third Party Verification claim requirement. </w:t>
      </w:r>
    </w:p>
    <w:p w14:paraId="704C21B6" w14:textId="65BAE5B8" w:rsidR="00A30E38" w:rsidRPr="00621F78" w:rsidRDefault="00A30E38" w:rsidP="00A30E38">
      <w:pPr>
        <w:pStyle w:val="ListParagraph"/>
        <w:numPr>
          <w:ilvl w:val="0"/>
          <w:numId w:val="42"/>
        </w:numPr>
        <w:rPr>
          <w:rFonts w:ascii="Verdana" w:hAnsi="Verdana"/>
        </w:rPr>
      </w:pPr>
      <w:r w:rsidRPr="00621F78">
        <w:rPr>
          <w:rFonts w:ascii="Verdana" w:hAnsi="Verdana"/>
        </w:rPr>
        <w:t xml:space="preserve">The Newly Arrived Residents Waiting Period, suspended during the COVID-19 crisis, should be reduced after the pandemic to </w:t>
      </w:r>
      <w:r w:rsidR="00EC3E43">
        <w:rPr>
          <w:rFonts w:ascii="Verdana" w:hAnsi="Verdana"/>
        </w:rPr>
        <w:t xml:space="preserve">a maximum of </w:t>
      </w:r>
      <w:r w:rsidRPr="00621F78">
        <w:rPr>
          <w:rFonts w:ascii="Verdana" w:hAnsi="Verdana"/>
        </w:rPr>
        <w:t xml:space="preserve">six months </w:t>
      </w:r>
      <w:r w:rsidR="00B45CAB" w:rsidRPr="00621F78">
        <w:rPr>
          <w:rFonts w:ascii="Verdana" w:hAnsi="Verdana"/>
        </w:rPr>
        <w:t>(</w:t>
      </w:r>
      <w:r w:rsidRPr="00621F78">
        <w:rPr>
          <w:rFonts w:ascii="Verdana" w:hAnsi="Verdana"/>
        </w:rPr>
        <w:t>as it was when first introduced</w:t>
      </w:r>
      <w:r w:rsidR="00B45CAB" w:rsidRPr="00621F78">
        <w:rPr>
          <w:rFonts w:ascii="Verdana" w:hAnsi="Verdana"/>
        </w:rPr>
        <w:t>)</w:t>
      </w:r>
      <w:r w:rsidRPr="00621F78">
        <w:rPr>
          <w:rFonts w:ascii="Verdana" w:hAnsi="Verdana"/>
        </w:rPr>
        <w:t>.</w:t>
      </w:r>
      <w:r w:rsidR="00EC3E43">
        <w:rPr>
          <w:rFonts w:ascii="Verdana" w:hAnsi="Verdana"/>
        </w:rPr>
        <w:t xml:space="preserve"> Furthermore, anyone who has accessed income support under this suspension should be able to continue to access income support once the suspension is lifted, providing they have financial need (as many may be without paid work).  </w:t>
      </w:r>
      <w:r w:rsidRPr="00621F78">
        <w:rPr>
          <w:rFonts w:ascii="Verdana" w:hAnsi="Verdana"/>
        </w:rPr>
        <w:t xml:space="preserve"> </w:t>
      </w:r>
    </w:p>
    <w:p w14:paraId="33B6395B" w14:textId="3315386C" w:rsidR="00A30E38" w:rsidRPr="00621F78" w:rsidRDefault="00A30E38" w:rsidP="00A30E38">
      <w:pPr>
        <w:pStyle w:val="ListParagraph"/>
        <w:numPr>
          <w:ilvl w:val="0"/>
          <w:numId w:val="42"/>
        </w:numPr>
        <w:rPr>
          <w:rFonts w:ascii="Verdana" w:hAnsi="Verdana"/>
        </w:rPr>
      </w:pPr>
      <w:r w:rsidRPr="00621F78">
        <w:rPr>
          <w:rFonts w:ascii="Verdana" w:hAnsi="Verdana"/>
        </w:rPr>
        <w:t>Increase permanent staff numbers at Centrelink</w:t>
      </w:r>
      <w:r w:rsidR="00B5202F" w:rsidRPr="00621F78">
        <w:rPr>
          <w:rFonts w:ascii="Verdana" w:hAnsi="Verdana"/>
        </w:rPr>
        <w:t>.</w:t>
      </w:r>
    </w:p>
    <w:p w14:paraId="70C323CF" w14:textId="77777777" w:rsidR="00A30E38" w:rsidRPr="00621F78" w:rsidRDefault="00A30E38" w:rsidP="00A30E38">
      <w:pPr>
        <w:pStyle w:val="ListParagraph"/>
        <w:numPr>
          <w:ilvl w:val="0"/>
          <w:numId w:val="42"/>
        </w:numPr>
        <w:rPr>
          <w:rFonts w:ascii="Verdana" w:hAnsi="Verdana"/>
        </w:rPr>
      </w:pPr>
      <w:r w:rsidRPr="00621F78">
        <w:rPr>
          <w:rFonts w:ascii="Verdana" w:hAnsi="Verdana"/>
        </w:rPr>
        <w:lastRenderedPageBreak/>
        <w:t xml:space="preserve">Continue online payment claims as well as Intent to Claim for everyone who needs it. </w:t>
      </w:r>
    </w:p>
    <w:p w14:paraId="4C0BA6D1" w14:textId="20978578" w:rsidR="00B45CAB" w:rsidRPr="00621F78" w:rsidRDefault="00B45CAB" w:rsidP="007A3ACF">
      <w:pPr>
        <w:rPr>
          <w:b/>
          <w:i/>
          <w:lang w:val="en-AU"/>
        </w:rPr>
      </w:pPr>
      <w:r w:rsidRPr="00621F78">
        <w:rPr>
          <w:b/>
          <w:i/>
          <w:lang w:val="en-AU"/>
        </w:rPr>
        <w:t xml:space="preserve">Establish </w:t>
      </w:r>
      <w:r w:rsidR="00B5202F" w:rsidRPr="00621F78">
        <w:rPr>
          <w:b/>
          <w:i/>
          <w:lang w:val="en-AU"/>
        </w:rPr>
        <w:t xml:space="preserve">an </w:t>
      </w:r>
      <w:r w:rsidR="009F33B8" w:rsidRPr="00621F78">
        <w:rPr>
          <w:b/>
          <w:i/>
          <w:lang w:val="en-AU"/>
        </w:rPr>
        <w:t xml:space="preserve">independent </w:t>
      </w:r>
      <w:r w:rsidRPr="00621F78">
        <w:rPr>
          <w:b/>
          <w:i/>
          <w:lang w:val="en-AU"/>
        </w:rPr>
        <w:t xml:space="preserve">mechanism to </w:t>
      </w:r>
      <w:r w:rsidR="009F33B8" w:rsidRPr="00621F78">
        <w:rPr>
          <w:b/>
          <w:i/>
          <w:lang w:val="en-AU"/>
        </w:rPr>
        <w:t>advise on income support payment settings</w:t>
      </w:r>
    </w:p>
    <w:p w14:paraId="0941AE8B" w14:textId="77777777" w:rsidR="00A30E38" w:rsidRPr="00621F78" w:rsidRDefault="00A30E38" w:rsidP="00A30E38">
      <w:pPr>
        <w:pStyle w:val="ListParagraph"/>
        <w:numPr>
          <w:ilvl w:val="0"/>
          <w:numId w:val="42"/>
        </w:numPr>
        <w:rPr>
          <w:rFonts w:ascii="Verdana" w:hAnsi="Verdana"/>
        </w:rPr>
      </w:pPr>
      <w:r w:rsidRPr="00621F78">
        <w:rPr>
          <w:rFonts w:ascii="Verdana" w:hAnsi="Verdana"/>
        </w:rPr>
        <w:t xml:space="preserve">Establish a Social Security Commission to guide the parliament on income support payment adequacy and other settings over time.  </w:t>
      </w:r>
    </w:p>
    <w:p w14:paraId="2DF09BEB" w14:textId="77777777" w:rsidR="007A4EF2" w:rsidRPr="00621F78" w:rsidRDefault="007A4EF2" w:rsidP="007A4EF2">
      <w:pPr>
        <w:rPr>
          <w:lang w:val="en-AU"/>
        </w:rPr>
      </w:pPr>
      <w:r w:rsidRPr="00621F78">
        <w:rPr>
          <w:noProof/>
        </w:rPr>
        <w:drawing>
          <wp:inline distT="0" distB="0" distL="0" distR="0" wp14:anchorId="2D115493" wp14:editId="0CE65B21">
            <wp:extent cx="359664" cy="359664"/>
            <wp:effectExtent l="0" t="0" r="2540" b="2540"/>
            <wp:docPr id="4" name="Picture 4"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664" cy="359664"/>
                    </a:xfrm>
                    <a:prstGeom prst="rect">
                      <a:avLst/>
                    </a:prstGeom>
                  </pic:spPr>
                </pic:pic>
              </a:graphicData>
            </a:graphic>
          </wp:inline>
        </w:drawing>
      </w:r>
    </w:p>
    <w:p w14:paraId="63C2D590" w14:textId="444A4756" w:rsidR="001E5791" w:rsidRPr="00621F78" w:rsidRDefault="008E1E74" w:rsidP="00E62623">
      <w:pPr>
        <w:pStyle w:val="Title"/>
        <w:rPr>
          <w:color w:val="CE2028"/>
          <w:sz w:val="24"/>
          <w:szCs w:val="24"/>
          <w:lang w:val="en-AU"/>
        </w:rPr>
      </w:pPr>
      <w:r w:rsidRPr="00621F78">
        <w:rPr>
          <w:color w:val="CE2028"/>
          <w:sz w:val="32"/>
          <w:szCs w:val="32"/>
          <w:lang w:val="en-AU"/>
        </w:rPr>
        <w:t>Background</w:t>
      </w:r>
      <w:r w:rsidR="00F57EC6" w:rsidRPr="00621F78">
        <w:rPr>
          <w:color w:val="CE2028"/>
          <w:sz w:val="32"/>
          <w:szCs w:val="32"/>
          <w:lang w:val="en-AU"/>
        </w:rPr>
        <w:br/>
      </w:r>
    </w:p>
    <w:p w14:paraId="2C5C2937" w14:textId="1BF5E20C" w:rsidR="007D798E" w:rsidRPr="00621F78" w:rsidRDefault="007D798E" w:rsidP="00296843">
      <w:pPr>
        <w:rPr>
          <w:lang w:val="en-AU"/>
        </w:rPr>
      </w:pPr>
      <w:r w:rsidRPr="00621F78">
        <w:rPr>
          <w:lang w:val="en-AU"/>
        </w:rPr>
        <w:t xml:space="preserve">The COVID-19 pandemic has thrown into stark relief the importance of our income support system. </w:t>
      </w:r>
      <w:r w:rsidR="00C65750" w:rsidRPr="00621F78">
        <w:rPr>
          <w:lang w:val="en-AU"/>
        </w:rPr>
        <w:t xml:space="preserve">Income support has demonstrated its role as a crucial piece of social and economic infrastructure to prevent widespread poverty </w:t>
      </w:r>
      <w:r w:rsidR="00161E01" w:rsidRPr="00621F78">
        <w:rPr>
          <w:lang w:val="en-AU"/>
        </w:rPr>
        <w:t xml:space="preserve">and deprivation, as well as </w:t>
      </w:r>
      <w:r w:rsidR="00BD42CD" w:rsidRPr="00621F78">
        <w:rPr>
          <w:lang w:val="en-AU"/>
        </w:rPr>
        <w:t>strengthening a weakening economy.</w:t>
      </w:r>
      <w:r w:rsidR="00843091" w:rsidRPr="00621F78">
        <w:rPr>
          <w:rStyle w:val="FootnoteReference"/>
          <w:lang w:val="en-AU"/>
        </w:rPr>
        <w:footnoteReference w:id="3"/>
      </w:r>
      <w:r w:rsidR="00BD42CD" w:rsidRPr="00621F78">
        <w:rPr>
          <w:lang w:val="en-AU"/>
        </w:rPr>
        <w:t xml:space="preserve"> </w:t>
      </w:r>
      <w:r w:rsidR="00C65750" w:rsidRPr="00621F78">
        <w:rPr>
          <w:lang w:val="en-AU"/>
        </w:rPr>
        <w:t>The pandemic also revealed tensions in the existing system</w:t>
      </w:r>
      <w:r w:rsidR="00161E01" w:rsidRPr="00621F78">
        <w:rPr>
          <w:lang w:val="en-AU"/>
        </w:rPr>
        <w:t xml:space="preserve">, </w:t>
      </w:r>
      <w:r w:rsidR="00BD42CD" w:rsidRPr="00621F78">
        <w:rPr>
          <w:lang w:val="en-AU"/>
        </w:rPr>
        <w:t xml:space="preserve">the administration of </w:t>
      </w:r>
      <w:r w:rsidR="00161E01" w:rsidRPr="00621F78">
        <w:rPr>
          <w:lang w:val="en-AU"/>
        </w:rPr>
        <w:t xml:space="preserve">which </w:t>
      </w:r>
      <w:r w:rsidR="009F33B8" w:rsidRPr="00621F78">
        <w:rPr>
          <w:lang w:val="en-AU"/>
        </w:rPr>
        <w:t xml:space="preserve">was severely strained </w:t>
      </w:r>
      <w:r w:rsidR="008C23D2" w:rsidRPr="00621F78">
        <w:rPr>
          <w:lang w:val="en-AU"/>
        </w:rPr>
        <w:t>in the immediate aftermath of</w:t>
      </w:r>
      <w:r w:rsidR="00F97DB3" w:rsidRPr="00621F78">
        <w:rPr>
          <w:lang w:val="en-AU"/>
        </w:rPr>
        <w:t xml:space="preserve"> </w:t>
      </w:r>
      <w:r w:rsidR="00161E01" w:rsidRPr="00621F78">
        <w:rPr>
          <w:lang w:val="en-AU"/>
        </w:rPr>
        <w:t xml:space="preserve">mass </w:t>
      </w:r>
      <w:r w:rsidR="00BD42CD" w:rsidRPr="00621F78">
        <w:rPr>
          <w:lang w:val="en-AU"/>
        </w:rPr>
        <w:t xml:space="preserve">job loss, and </w:t>
      </w:r>
      <w:r w:rsidR="00F97DB3" w:rsidRPr="00621F78">
        <w:rPr>
          <w:lang w:val="en-AU"/>
        </w:rPr>
        <w:t>revealed how many components of the system are designed to prevent or delay access to payments</w:t>
      </w:r>
      <w:r w:rsidR="00161E01" w:rsidRPr="00621F78">
        <w:rPr>
          <w:lang w:val="en-AU"/>
        </w:rPr>
        <w:t>.</w:t>
      </w:r>
      <w:r w:rsidR="008C23D2" w:rsidRPr="00621F78">
        <w:rPr>
          <w:lang w:val="en-AU"/>
        </w:rPr>
        <w:t xml:space="preserve"> Thankfully, many of these issues</w:t>
      </w:r>
      <w:r w:rsidR="00BD42CD" w:rsidRPr="00621F78">
        <w:rPr>
          <w:lang w:val="en-AU"/>
        </w:rPr>
        <w:t xml:space="preserve"> and design flaws</w:t>
      </w:r>
      <w:r w:rsidR="008C23D2" w:rsidRPr="00621F78">
        <w:rPr>
          <w:lang w:val="en-AU"/>
        </w:rPr>
        <w:t xml:space="preserve"> were resolved quickly. </w:t>
      </w:r>
      <w:r w:rsidR="00161E01" w:rsidRPr="00621F78">
        <w:rPr>
          <w:lang w:val="en-AU"/>
        </w:rPr>
        <w:t xml:space="preserve"> </w:t>
      </w:r>
      <w:r w:rsidR="00C65750" w:rsidRPr="00621F78">
        <w:rPr>
          <w:lang w:val="en-AU"/>
        </w:rPr>
        <w:t xml:space="preserve"> </w:t>
      </w:r>
    </w:p>
    <w:p w14:paraId="281EFCC3" w14:textId="7712CC24" w:rsidR="00296843" w:rsidRPr="00621F78" w:rsidRDefault="00BD42CD" w:rsidP="00296843">
      <w:pPr>
        <w:rPr>
          <w:lang w:val="en-AU"/>
        </w:rPr>
      </w:pPr>
      <w:r w:rsidRPr="00621F78">
        <w:rPr>
          <w:lang w:val="en-AU"/>
        </w:rPr>
        <w:t>The Federal Government introduced the Coronavirus Supplement, increasing</w:t>
      </w:r>
      <w:r w:rsidR="00296843" w:rsidRPr="00621F78">
        <w:rPr>
          <w:lang w:val="en-AU"/>
        </w:rPr>
        <w:t xml:space="preserve"> JobSeeker Payment, Youth Allowance, Parenting Payment and related payments by $275pw for singles and $550pw for couples for at least five months</w:t>
      </w:r>
      <w:r w:rsidRPr="00621F78">
        <w:rPr>
          <w:lang w:val="en-AU"/>
        </w:rPr>
        <w:t>.</w:t>
      </w:r>
      <w:r w:rsidR="00296843" w:rsidRPr="00621F78">
        <w:rPr>
          <w:rStyle w:val="FootnoteReference"/>
          <w:lang w:val="en-AU"/>
        </w:rPr>
        <w:footnoteReference w:id="4"/>
      </w:r>
      <w:r w:rsidR="00296843" w:rsidRPr="00621F78">
        <w:rPr>
          <w:lang w:val="en-AU"/>
        </w:rPr>
        <w:t xml:space="preserve"> </w:t>
      </w:r>
      <w:r w:rsidR="007D798E" w:rsidRPr="00621F78">
        <w:rPr>
          <w:lang w:val="en-AU"/>
        </w:rPr>
        <w:t xml:space="preserve">The Minister for </w:t>
      </w:r>
      <w:r w:rsidRPr="00621F78">
        <w:rPr>
          <w:lang w:val="en-AU"/>
        </w:rPr>
        <w:t xml:space="preserve">Families and </w:t>
      </w:r>
      <w:r w:rsidR="007D798E" w:rsidRPr="00621F78">
        <w:rPr>
          <w:lang w:val="en-AU"/>
        </w:rPr>
        <w:t xml:space="preserve">Social Services has the power to extend this increase to 31 December 2020. </w:t>
      </w:r>
    </w:p>
    <w:p w14:paraId="1359A297" w14:textId="0D647763" w:rsidR="0090213B" w:rsidRPr="00621F78" w:rsidRDefault="00F97DB3" w:rsidP="00296843">
      <w:pPr>
        <w:rPr>
          <w:lang w:val="en-AU"/>
        </w:rPr>
      </w:pPr>
      <w:r w:rsidRPr="00621F78">
        <w:rPr>
          <w:lang w:val="en-AU"/>
        </w:rPr>
        <w:t xml:space="preserve">This increase is widely </w:t>
      </w:r>
      <w:r w:rsidR="0090213B" w:rsidRPr="00621F78">
        <w:rPr>
          <w:lang w:val="en-AU"/>
        </w:rPr>
        <w:t>considered</w:t>
      </w:r>
      <w:r w:rsidRPr="00621F78">
        <w:rPr>
          <w:lang w:val="en-AU"/>
        </w:rPr>
        <w:t xml:space="preserve"> </w:t>
      </w:r>
      <w:r w:rsidR="00BD42CD" w:rsidRPr="00621F78">
        <w:rPr>
          <w:lang w:val="en-AU"/>
        </w:rPr>
        <w:t>an</w:t>
      </w:r>
      <w:r w:rsidR="001B0B1E" w:rsidRPr="00621F78">
        <w:rPr>
          <w:lang w:val="en-AU"/>
        </w:rPr>
        <w:t xml:space="preserve"> </w:t>
      </w:r>
      <w:r w:rsidR="00ED4721" w:rsidRPr="00621F78">
        <w:rPr>
          <w:lang w:val="en-AU"/>
        </w:rPr>
        <w:t>acknowledgement</w:t>
      </w:r>
      <w:r w:rsidRPr="00621F78">
        <w:rPr>
          <w:lang w:val="en-AU"/>
        </w:rPr>
        <w:t xml:space="preserve"> by the Federal Government that the old Newstart rate of $40 a day was </w:t>
      </w:r>
      <w:r w:rsidR="00BD42CD" w:rsidRPr="00621F78">
        <w:rPr>
          <w:lang w:val="en-AU"/>
        </w:rPr>
        <w:t xml:space="preserve">grossly </w:t>
      </w:r>
      <w:r w:rsidRPr="00621F78">
        <w:rPr>
          <w:lang w:val="en-AU"/>
        </w:rPr>
        <w:t>inadequate to</w:t>
      </w:r>
      <w:r w:rsidR="00ED4721" w:rsidRPr="00621F78">
        <w:rPr>
          <w:lang w:val="en-AU"/>
        </w:rPr>
        <w:t xml:space="preserve"> meet living</w:t>
      </w:r>
      <w:r w:rsidR="00BD42CD" w:rsidRPr="00621F78">
        <w:rPr>
          <w:lang w:val="en-AU"/>
        </w:rPr>
        <w:t xml:space="preserve"> costs</w:t>
      </w:r>
      <w:r w:rsidRPr="00621F78">
        <w:rPr>
          <w:lang w:val="en-AU"/>
        </w:rPr>
        <w:t xml:space="preserve">. The government doubled these payments </w:t>
      </w:r>
      <w:r w:rsidR="0090213B" w:rsidRPr="00621F78">
        <w:rPr>
          <w:lang w:val="en-AU"/>
        </w:rPr>
        <w:t>(</w:t>
      </w:r>
      <w:r w:rsidRPr="00621F78">
        <w:rPr>
          <w:lang w:val="en-AU"/>
        </w:rPr>
        <w:t>and in the case of couples and Youth Allowance, more than doubled)</w:t>
      </w:r>
      <w:r w:rsidR="001B0B1E" w:rsidRPr="00621F78">
        <w:rPr>
          <w:lang w:val="en-AU"/>
        </w:rPr>
        <w:t xml:space="preserve"> for all who receive them, currently tota</w:t>
      </w:r>
      <w:r w:rsidR="00C2453E" w:rsidRPr="00621F78">
        <w:rPr>
          <w:lang w:val="en-AU"/>
        </w:rPr>
        <w:t>l</w:t>
      </w:r>
      <w:r w:rsidR="001B0B1E" w:rsidRPr="00621F78">
        <w:rPr>
          <w:lang w:val="en-AU"/>
        </w:rPr>
        <w:t>ling more than</w:t>
      </w:r>
      <w:r w:rsidR="00A03CE2" w:rsidRPr="00621F78">
        <w:rPr>
          <w:lang w:val="en-AU"/>
        </w:rPr>
        <w:t xml:space="preserve"> 1.6</w:t>
      </w:r>
      <w:r w:rsidRPr="00621F78">
        <w:rPr>
          <w:lang w:val="en-AU"/>
        </w:rPr>
        <w:t xml:space="preserve"> million people.</w:t>
      </w:r>
      <w:r w:rsidR="001E41EC" w:rsidRPr="00621F78">
        <w:rPr>
          <w:rStyle w:val="FootnoteReference"/>
          <w:lang w:val="en-AU"/>
        </w:rPr>
        <w:footnoteReference w:id="5"/>
      </w:r>
      <w:r w:rsidR="008D0FEB" w:rsidRPr="00621F78">
        <w:rPr>
          <w:lang w:val="en-AU"/>
        </w:rPr>
        <w:t xml:space="preserve"> The government estimates that 2.3 million people will be receiving these payments</w:t>
      </w:r>
      <w:r w:rsidR="00017F87" w:rsidRPr="00621F78">
        <w:rPr>
          <w:lang w:val="en-AU"/>
        </w:rPr>
        <w:t xml:space="preserve"> (as well as Parenting Payment)</w:t>
      </w:r>
      <w:r w:rsidR="008D0FEB" w:rsidRPr="00621F78">
        <w:rPr>
          <w:lang w:val="en-AU"/>
        </w:rPr>
        <w:t xml:space="preserve"> by September</w:t>
      </w:r>
      <w:r w:rsidR="00017F87" w:rsidRPr="00621F78">
        <w:rPr>
          <w:lang w:val="en-AU"/>
        </w:rPr>
        <w:t xml:space="preserve"> 2020</w:t>
      </w:r>
      <w:r w:rsidR="008D0FEB" w:rsidRPr="00621F78">
        <w:rPr>
          <w:lang w:val="en-AU"/>
        </w:rPr>
        <w:t>.</w:t>
      </w:r>
      <w:r w:rsidR="008D0FEB" w:rsidRPr="00621F78">
        <w:rPr>
          <w:rStyle w:val="FootnoteReference"/>
          <w:lang w:val="en-AU"/>
        </w:rPr>
        <w:footnoteReference w:id="6"/>
      </w:r>
      <w:r w:rsidR="008D0FEB" w:rsidRPr="00621F78">
        <w:rPr>
          <w:lang w:val="en-AU"/>
        </w:rPr>
        <w:t xml:space="preserve"> </w:t>
      </w:r>
      <w:r w:rsidR="0090213B" w:rsidRPr="00621F78">
        <w:rPr>
          <w:lang w:val="en-AU"/>
        </w:rPr>
        <w:t xml:space="preserve"> </w:t>
      </w:r>
    </w:p>
    <w:p w14:paraId="151FB36A" w14:textId="709F7CC4" w:rsidR="000B30AB" w:rsidRPr="00621F78" w:rsidRDefault="000B30AB" w:rsidP="00296843">
      <w:pPr>
        <w:rPr>
          <w:lang w:val="en-AU"/>
        </w:rPr>
      </w:pPr>
      <w:r w:rsidRPr="00621F78">
        <w:rPr>
          <w:lang w:val="en-AU"/>
        </w:rPr>
        <w:t xml:space="preserve">The effect of the increase cannot be overstated. People are telling us that they can replace a broken fridge, fill their cupboards with groceries, and enrol in training courses that will help them get paid work. People are reporting that for the first </w:t>
      </w:r>
      <w:r w:rsidRPr="00621F78">
        <w:rPr>
          <w:lang w:val="en-AU"/>
        </w:rPr>
        <w:lastRenderedPageBreak/>
        <w:t xml:space="preserve">time in a long time, they do not feel anxiety and stress each week because they have enough money to pay bills </w:t>
      </w:r>
      <w:r w:rsidRPr="00621F78">
        <w:rPr>
          <w:i/>
          <w:lang w:val="en-AU"/>
        </w:rPr>
        <w:t>and</w:t>
      </w:r>
      <w:r w:rsidRPr="00621F78">
        <w:rPr>
          <w:lang w:val="en-AU"/>
        </w:rPr>
        <w:t xml:space="preserve"> buy food.  </w:t>
      </w:r>
    </w:p>
    <w:p w14:paraId="770C54D6" w14:textId="1C93DBCB" w:rsidR="00DB5A3E" w:rsidRPr="00621F78" w:rsidRDefault="001B0B1E" w:rsidP="00296843">
      <w:pPr>
        <w:rPr>
          <w:lang w:val="en-AU"/>
        </w:rPr>
      </w:pPr>
      <w:r w:rsidRPr="00621F78">
        <w:rPr>
          <w:lang w:val="en-AU"/>
        </w:rPr>
        <w:t>Economists, business</w:t>
      </w:r>
      <w:r w:rsidR="00BD42CD" w:rsidRPr="00621F78">
        <w:rPr>
          <w:lang w:val="en-AU"/>
        </w:rPr>
        <w:t xml:space="preserve"> leaders and other experts </w:t>
      </w:r>
      <w:r w:rsidRPr="00621F78">
        <w:rPr>
          <w:lang w:val="en-AU"/>
        </w:rPr>
        <w:t>agree that recovery</w:t>
      </w:r>
      <w:r w:rsidR="008C23D2" w:rsidRPr="00621F78">
        <w:rPr>
          <w:lang w:val="en-AU"/>
        </w:rPr>
        <w:t xml:space="preserve"> from this pandemic will take time,</w:t>
      </w:r>
      <w:r w:rsidRPr="00621F78">
        <w:rPr>
          <w:lang w:val="en-AU"/>
        </w:rPr>
        <w:t xml:space="preserve"> and </w:t>
      </w:r>
      <w:r w:rsidR="001E41EC" w:rsidRPr="00621F78">
        <w:rPr>
          <w:lang w:val="en-AU"/>
        </w:rPr>
        <w:t xml:space="preserve">that </w:t>
      </w:r>
      <w:r w:rsidRPr="00621F78">
        <w:rPr>
          <w:lang w:val="en-AU"/>
        </w:rPr>
        <w:t>supports put in place for households and business should not be quickly withdrawn.</w:t>
      </w:r>
      <w:r w:rsidRPr="00621F78">
        <w:rPr>
          <w:rStyle w:val="FootnoteReference"/>
          <w:lang w:val="en-AU"/>
        </w:rPr>
        <w:footnoteReference w:id="7"/>
      </w:r>
      <w:r w:rsidRPr="00621F78">
        <w:rPr>
          <w:lang w:val="en-AU"/>
        </w:rPr>
        <w:t xml:space="preserve"> A crucial part of the recovery will be ensuring people without paid work or with insufficient paid work </w:t>
      </w:r>
      <w:r w:rsidR="008C23D2" w:rsidRPr="00621F78">
        <w:rPr>
          <w:lang w:val="en-AU"/>
        </w:rPr>
        <w:t xml:space="preserve">have enough income to cover basic </w:t>
      </w:r>
      <w:r w:rsidRPr="00621F78">
        <w:rPr>
          <w:lang w:val="en-AU"/>
        </w:rPr>
        <w:t>cost</w:t>
      </w:r>
      <w:r w:rsidR="008C23D2" w:rsidRPr="00621F78">
        <w:rPr>
          <w:lang w:val="en-AU"/>
        </w:rPr>
        <w:t>s</w:t>
      </w:r>
      <w:r w:rsidRPr="00621F78">
        <w:rPr>
          <w:lang w:val="en-AU"/>
        </w:rPr>
        <w:t xml:space="preserve"> like keeping a roof over their head and putting food on the table.</w:t>
      </w:r>
      <w:r w:rsidR="002F28F6" w:rsidRPr="00621F78">
        <w:rPr>
          <w:lang w:val="en-AU"/>
        </w:rPr>
        <w:t xml:space="preserve"> </w:t>
      </w:r>
    </w:p>
    <w:p w14:paraId="752E45AA" w14:textId="6F63B0EB" w:rsidR="001B0B1E" w:rsidRPr="00621F78" w:rsidRDefault="00DB5A3E" w:rsidP="00296843">
      <w:pPr>
        <w:rPr>
          <w:lang w:val="en-AU"/>
        </w:rPr>
      </w:pPr>
      <w:r w:rsidRPr="00621F78">
        <w:rPr>
          <w:lang w:val="en-AU"/>
        </w:rPr>
        <w:t>It</w:t>
      </w:r>
      <w:r w:rsidR="002F28F6" w:rsidRPr="00621F78">
        <w:rPr>
          <w:lang w:val="en-AU"/>
        </w:rPr>
        <w:t xml:space="preserve"> will be critical </w:t>
      </w:r>
      <w:r w:rsidR="008C23D2" w:rsidRPr="00621F78">
        <w:rPr>
          <w:lang w:val="en-AU"/>
        </w:rPr>
        <w:t>that people are not thrown into poverty as Australia recover</w:t>
      </w:r>
      <w:r w:rsidR="00BD42CD" w:rsidRPr="00621F78">
        <w:rPr>
          <w:lang w:val="en-AU"/>
        </w:rPr>
        <w:t>s</w:t>
      </w:r>
      <w:r w:rsidR="008C23D2" w:rsidRPr="00621F78">
        <w:rPr>
          <w:lang w:val="en-AU"/>
        </w:rPr>
        <w:t xml:space="preserve"> from the biggest</w:t>
      </w:r>
      <w:r w:rsidRPr="00621F78">
        <w:rPr>
          <w:lang w:val="en-AU"/>
        </w:rPr>
        <w:t xml:space="preserve"> economic and health shock in </w:t>
      </w:r>
      <w:r w:rsidR="00FD3C91" w:rsidRPr="00621F78">
        <w:rPr>
          <w:lang w:val="en-AU"/>
        </w:rPr>
        <w:t xml:space="preserve">almost </w:t>
      </w:r>
      <w:r w:rsidRPr="00621F78">
        <w:rPr>
          <w:lang w:val="en-AU"/>
        </w:rPr>
        <w:t>100 years</w:t>
      </w:r>
      <w:r w:rsidR="008C23D2" w:rsidRPr="00621F78">
        <w:rPr>
          <w:lang w:val="en-AU"/>
        </w:rPr>
        <w:t xml:space="preserve">. </w:t>
      </w:r>
      <w:r w:rsidR="001E0D97" w:rsidRPr="00621F78">
        <w:rPr>
          <w:lang w:val="en-AU"/>
        </w:rPr>
        <w:t xml:space="preserve">As </w:t>
      </w:r>
      <w:r w:rsidR="004B39D0" w:rsidRPr="00621F78">
        <w:rPr>
          <w:lang w:val="en-AU"/>
        </w:rPr>
        <w:t xml:space="preserve">ANU’s Professor </w:t>
      </w:r>
      <w:r w:rsidR="001E0D97" w:rsidRPr="00621F78">
        <w:rPr>
          <w:lang w:val="en-AU"/>
        </w:rPr>
        <w:t>Peter Whiteford points out, returning unemployment and student payments to their pre-</w:t>
      </w:r>
      <w:r w:rsidR="009F33B8" w:rsidRPr="00621F78">
        <w:rPr>
          <w:lang w:val="en-AU"/>
        </w:rPr>
        <w:t xml:space="preserve">COVID </w:t>
      </w:r>
      <w:r w:rsidR="001E0D97" w:rsidRPr="00621F78">
        <w:rPr>
          <w:lang w:val="en-AU"/>
        </w:rPr>
        <w:t xml:space="preserve">levels </w:t>
      </w:r>
      <w:r w:rsidR="005824AF" w:rsidRPr="00621F78">
        <w:rPr>
          <w:lang w:val="en-AU"/>
        </w:rPr>
        <w:t>would result in</w:t>
      </w:r>
      <w:r w:rsidR="00B21318" w:rsidRPr="00621F78">
        <w:rPr>
          <w:lang w:val="en-AU"/>
        </w:rPr>
        <w:t xml:space="preserve"> a</w:t>
      </w:r>
      <w:r w:rsidR="005824AF" w:rsidRPr="00621F78">
        <w:rPr>
          <w:lang w:val="en-AU"/>
        </w:rPr>
        <w:t xml:space="preserve"> “deep increase in poverty among millions of Australian households and the likelihood of a double dip recession”.</w:t>
      </w:r>
      <w:r w:rsidR="00507FB5" w:rsidRPr="00621F78">
        <w:rPr>
          <w:rStyle w:val="FootnoteReference"/>
          <w:lang w:val="en-AU"/>
        </w:rPr>
        <w:footnoteReference w:id="8"/>
      </w:r>
    </w:p>
    <w:p w14:paraId="788BCBA8" w14:textId="77777777" w:rsidR="00154325" w:rsidRPr="00621F78" w:rsidRDefault="00154325" w:rsidP="00154325">
      <w:pPr>
        <w:pStyle w:val="Heading1"/>
        <w:rPr>
          <w:lang w:val="en-AU"/>
        </w:rPr>
      </w:pPr>
      <w:r w:rsidRPr="00621F78">
        <w:rPr>
          <w:lang w:val="en-AU"/>
        </w:rPr>
        <w:t xml:space="preserve">Key reform principles </w:t>
      </w:r>
    </w:p>
    <w:p w14:paraId="2B094B70" w14:textId="77777777" w:rsidR="00652392" w:rsidRPr="00621F78" w:rsidRDefault="00A30E38" w:rsidP="00154325">
      <w:pPr>
        <w:rPr>
          <w:lang w:val="en-AU"/>
        </w:rPr>
      </w:pPr>
      <w:r w:rsidRPr="00621F78">
        <w:rPr>
          <w:lang w:val="en-AU"/>
        </w:rPr>
        <w:t xml:space="preserve">The </w:t>
      </w:r>
      <w:r w:rsidR="00652392" w:rsidRPr="00621F78">
        <w:rPr>
          <w:lang w:val="en-AU"/>
        </w:rPr>
        <w:t xml:space="preserve">Government’s </w:t>
      </w:r>
      <w:r w:rsidRPr="00621F78">
        <w:rPr>
          <w:lang w:val="en-AU"/>
        </w:rPr>
        <w:t>COVID</w:t>
      </w:r>
      <w:r w:rsidR="00652392" w:rsidRPr="00621F78">
        <w:rPr>
          <w:lang w:val="en-AU"/>
        </w:rPr>
        <w:t>19</w:t>
      </w:r>
      <w:r w:rsidRPr="00621F78">
        <w:rPr>
          <w:lang w:val="en-AU"/>
        </w:rPr>
        <w:t xml:space="preserve"> </w:t>
      </w:r>
      <w:r w:rsidR="00652392" w:rsidRPr="00621F78">
        <w:rPr>
          <w:lang w:val="en-AU"/>
        </w:rPr>
        <w:t xml:space="preserve">response effected major changes to our income support system. The transition from crisis to recovery presents us with an opportunity to reset the payment system by building on these reforms to create a fairer, simpler system for all. </w:t>
      </w:r>
    </w:p>
    <w:p w14:paraId="2610D7DB" w14:textId="1E9FDAA3" w:rsidR="00154325" w:rsidRPr="00621F78" w:rsidRDefault="00154325" w:rsidP="00154325">
      <w:pPr>
        <w:rPr>
          <w:lang w:val="en-AU"/>
        </w:rPr>
      </w:pPr>
      <w:r w:rsidRPr="00621F78">
        <w:rPr>
          <w:lang w:val="en-AU"/>
        </w:rPr>
        <w:t xml:space="preserve">Key principles for permanently increasing and reforming working-age income support payments must include: </w:t>
      </w:r>
    </w:p>
    <w:p w14:paraId="6F35AEB8" w14:textId="1FC3E6FF" w:rsidR="00154325" w:rsidRPr="00621F78" w:rsidRDefault="00702906" w:rsidP="00154325">
      <w:pPr>
        <w:pStyle w:val="ListParagraph"/>
        <w:numPr>
          <w:ilvl w:val="0"/>
          <w:numId w:val="40"/>
        </w:numPr>
        <w:rPr>
          <w:rFonts w:ascii="Verdana" w:hAnsi="Verdana"/>
        </w:rPr>
      </w:pPr>
      <w:r w:rsidRPr="00621F78">
        <w:rPr>
          <w:rFonts w:ascii="Verdana" w:hAnsi="Verdana"/>
        </w:rPr>
        <w:t>Rates of income support</w:t>
      </w:r>
      <w:r w:rsidR="00154325" w:rsidRPr="00621F78">
        <w:rPr>
          <w:rFonts w:ascii="Verdana" w:hAnsi="Verdana"/>
        </w:rPr>
        <w:t xml:space="preserve"> </w:t>
      </w:r>
      <w:r w:rsidR="00652392" w:rsidRPr="00621F78">
        <w:rPr>
          <w:rFonts w:ascii="Verdana" w:hAnsi="Verdana"/>
        </w:rPr>
        <w:t xml:space="preserve">should </w:t>
      </w:r>
      <w:r w:rsidR="00154325" w:rsidRPr="00621F78">
        <w:rPr>
          <w:rFonts w:ascii="Verdana" w:hAnsi="Verdana"/>
        </w:rPr>
        <w:t xml:space="preserve">be based on </w:t>
      </w:r>
      <w:r w:rsidR="006A2D08" w:rsidRPr="00621F78">
        <w:rPr>
          <w:rFonts w:ascii="Verdana" w:hAnsi="Verdana"/>
        </w:rPr>
        <w:t xml:space="preserve">need (household </w:t>
      </w:r>
      <w:r w:rsidRPr="00621F78">
        <w:rPr>
          <w:rFonts w:ascii="Verdana" w:hAnsi="Verdana"/>
        </w:rPr>
        <w:t xml:space="preserve">cost of </w:t>
      </w:r>
      <w:proofErr w:type="gramStart"/>
      <w:r w:rsidRPr="00621F78">
        <w:rPr>
          <w:rFonts w:ascii="Verdana" w:hAnsi="Verdana"/>
        </w:rPr>
        <w:t>living</w:t>
      </w:r>
      <w:r w:rsidR="006A2D08" w:rsidRPr="00621F78">
        <w:rPr>
          <w:rFonts w:ascii="Verdana" w:hAnsi="Verdana"/>
        </w:rPr>
        <w:t>)</w:t>
      </w:r>
      <w:r w:rsidRPr="00621F78">
        <w:rPr>
          <w:rFonts w:ascii="Verdana" w:hAnsi="Verdana"/>
        </w:rPr>
        <w:t>and</w:t>
      </w:r>
      <w:proofErr w:type="gramEnd"/>
      <w:r w:rsidRPr="00621F78">
        <w:rPr>
          <w:rFonts w:ascii="Verdana" w:hAnsi="Verdana"/>
        </w:rPr>
        <w:t xml:space="preserve"> how much paid work or other income is being received, </w:t>
      </w:r>
      <w:r w:rsidR="00154325" w:rsidRPr="00621F78">
        <w:rPr>
          <w:rFonts w:ascii="Verdana" w:hAnsi="Verdana"/>
        </w:rPr>
        <w:t xml:space="preserve">not </w:t>
      </w:r>
      <w:r w:rsidRPr="00621F78">
        <w:rPr>
          <w:rFonts w:ascii="Verdana" w:hAnsi="Verdana"/>
        </w:rPr>
        <w:t xml:space="preserve">a person’s </w:t>
      </w:r>
      <w:r w:rsidR="00154325" w:rsidRPr="00621F78">
        <w:rPr>
          <w:rFonts w:ascii="Verdana" w:hAnsi="Verdana"/>
        </w:rPr>
        <w:t>previous income</w:t>
      </w:r>
      <w:r w:rsidRPr="00621F78">
        <w:rPr>
          <w:rFonts w:ascii="Verdana" w:hAnsi="Verdana"/>
        </w:rPr>
        <w:t>, notions of who is more deserving, how old a person</w:t>
      </w:r>
      <w:r w:rsidR="00D11FA9" w:rsidRPr="00621F78">
        <w:rPr>
          <w:rFonts w:ascii="Verdana" w:hAnsi="Verdana"/>
        </w:rPr>
        <w:t xml:space="preserve"> is</w:t>
      </w:r>
      <w:r w:rsidRPr="00621F78">
        <w:rPr>
          <w:rFonts w:ascii="Verdana" w:hAnsi="Verdana"/>
        </w:rPr>
        <w:t xml:space="preserve"> or their </w:t>
      </w:r>
      <w:r w:rsidR="00DD3DD2" w:rsidRPr="00621F78">
        <w:rPr>
          <w:rFonts w:ascii="Verdana" w:hAnsi="Verdana"/>
        </w:rPr>
        <w:t>dependent</w:t>
      </w:r>
      <w:r w:rsidRPr="00621F78">
        <w:rPr>
          <w:rFonts w:ascii="Verdana" w:hAnsi="Verdana"/>
        </w:rPr>
        <w:t xml:space="preserve"> children are</w:t>
      </w:r>
      <w:r w:rsidR="003379E1" w:rsidRPr="00621F78">
        <w:rPr>
          <w:rFonts w:ascii="Verdana" w:hAnsi="Verdana"/>
        </w:rPr>
        <w:t xml:space="preserve">, </w:t>
      </w:r>
      <w:r w:rsidR="00154325" w:rsidRPr="00621F78">
        <w:rPr>
          <w:rFonts w:ascii="Verdana" w:hAnsi="Verdana"/>
        </w:rPr>
        <w:t xml:space="preserve">or </w:t>
      </w:r>
      <w:r w:rsidRPr="00621F78">
        <w:rPr>
          <w:rFonts w:ascii="Verdana" w:hAnsi="Verdana"/>
        </w:rPr>
        <w:t>their assessed “</w:t>
      </w:r>
      <w:r w:rsidR="00154325" w:rsidRPr="00621F78">
        <w:rPr>
          <w:rFonts w:ascii="Verdana" w:hAnsi="Verdana"/>
        </w:rPr>
        <w:t>capacity</w:t>
      </w:r>
      <w:r w:rsidRPr="00621F78">
        <w:rPr>
          <w:rFonts w:ascii="Verdana" w:hAnsi="Verdana"/>
        </w:rPr>
        <w:t xml:space="preserve"> to work”</w:t>
      </w:r>
      <w:r w:rsidR="00154325" w:rsidRPr="00621F78">
        <w:rPr>
          <w:rFonts w:ascii="Verdana" w:hAnsi="Verdana"/>
        </w:rPr>
        <w:t>.</w:t>
      </w:r>
    </w:p>
    <w:p w14:paraId="797CB197" w14:textId="33BAB53A" w:rsidR="00154325" w:rsidRPr="00621F78" w:rsidRDefault="00154325" w:rsidP="00154325">
      <w:pPr>
        <w:pStyle w:val="ListParagraph"/>
        <w:numPr>
          <w:ilvl w:val="0"/>
          <w:numId w:val="40"/>
        </w:numPr>
        <w:rPr>
          <w:rFonts w:ascii="Verdana" w:hAnsi="Verdana"/>
        </w:rPr>
      </w:pPr>
      <w:r w:rsidRPr="00621F78">
        <w:rPr>
          <w:rFonts w:ascii="Verdana" w:hAnsi="Verdana"/>
        </w:rPr>
        <w:t xml:space="preserve">Assessment of current need </w:t>
      </w:r>
      <w:r w:rsidR="00652392" w:rsidRPr="00621F78">
        <w:rPr>
          <w:rFonts w:ascii="Verdana" w:hAnsi="Verdana"/>
        </w:rPr>
        <w:t xml:space="preserve">should </w:t>
      </w:r>
      <w:r w:rsidRPr="00621F78">
        <w:rPr>
          <w:rFonts w:ascii="Verdana" w:hAnsi="Verdana"/>
        </w:rPr>
        <w:t>be based on minimum costs for each household type, with supplements for major variable expenses (e.g. rent, costs of disability, illness or single parenthood).</w:t>
      </w:r>
    </w:p>
    <w:p w14:paraId="3FB5EBA9" w14:textId="2A86E8D4" w:rsidR="00154325" w:rsidRPr="00621F78" w:rsidRDefault="00652392" w:rsidP="00154325">
      <w:pPr>
        <w:pStyle w:val="ListParagraph"/>
        <w:numPr>
          <w:ilvl w:val="0"/>
          <w:numId w:val="40"/>
        </w:numPr>
        <w:rPr>
          <w:rFonts w:ascii="Verdana" w:hAnsi="Verdana"/>
        </w:rPr>
      </w:pPr>
      <w:r w:rsidRPr="00621F78">
        <w:rPr>
          <w:rFonts w:ascii="Verdana" w:hAnsi="Verdana"/>
        </w:rPr>
        <w:t>The e</w:t>
      </w:r>
      <w:r w:rsidR="00154325" w:rsidRPr="00621F78">
        <w:rPr>
          <w:rFonts w:ascii="Verdana" w:hAnsi="Verdana"/>
        </w:rPr>
        <w:t>stablishment of an income floor under which no one falls</w:t>
      </w:r>
      <w:r w:rsidR="00702906" w:rsidRPr="00621F78">
        <w:rPr>
          <w:rFonts w:ascii="Verdana" w:hAnsi="Verdana"/>
        </w:rPr>
        <w:t xml:space="preserve"> to protect people from homelessness, hunger, poverty and chronic social </w:t>
      </w:r>
      <w:r w:rsidR="0012233B" w:rsidRPr="00621F78">
        <w:rPr>
          <w:rFonts w:ascii="Verdana" w:hAnsi="Verdana"/>
        </w:rPr>
        <w:t xml:space="preserve">isolation. </w:t>
      </w:r>
      <w:r w:rsidR="00702906" w:rsidRPr="00621F78">
        <w:rPr>
          <w:rFonts w:ascii="Verdana" w:hAnsi="Verdana"/>
        </w:rPr>
        <w:t xml:space="preserve">The income floor </w:t>
      </w:r>
      <w:r w:rsidR="00154325" w:rsidRPr="00621F78">
        <w:rPr>
          <w:rFonts w:ascii="Verdana" w:hAnsi="Verdana"/>
        </w:rPr>
        <w:t xml:space="preserve">should be set above the poverty line (50% of median income) and also prevent material deprivation. </w:t>
      </w:r>
    </w:p>
    <w:p w14:paraId="411E8B56" w14:textId="6FB070F2" w:rsidR="00154325" w:rsidRPr="00621F78" w:rsidRDefault="00154325" w:rsidP="00154325">
      <w:pPr>
        <w:rPr>
          <w:lang w:val="en-AU"/>
        </w:rPr>
      </w:pPr>
      <w:r w:rsidRPr="00621F78">
        <w:rPr>
          <w:lang w:val="en-AU"/>
        </w:rPr>
        <w:t xml:space="preserve">There must also be recognition of the major flaws in the system before the Coronavirus Supplement that will continue without permanent reform: </w:t>
      </w:r>
    </w:p>
    <w:p w14:paraId="4BD42D05" w14:textId="77777777" w:rsidR="00154325" w:rsidRPr="00621F78" w:rsidRDefault="00154325" w:rsidP="00154325">
      <w:pPr>
        <w:pStyle w:val="ListParagraph"/>
        <w:numPr>
          <w:ilvl w:val="0"/>
          <w:numId w:val="40"/>
        </w:numPr>
        <w:rPr>
          <w:rFonts w:ascii="Verdana" w:hAnsi="Verdana"/>
        </w:rPr>
      </w:pPr>
      <w:r w:rsidRPr="00621F78">
        <w:rPr>
          <w:rFonts w:ascii="Verdana" w:hAnsi="Verdana"/>
        </w:rPr>
        <w:lastRenderedPageBreak/>
        <w:t>Income support for people who were unemployed, studying or caring for children was too low to meet common essential costs.</w:t>
      </w:r>
    </w:p>
    <w:p w14:paraId="25CFFD4C" w14:textId="77777777" w:rsidR="00154325" w:rsidRPr="00621F78" w:rsidRDefault="00154325" w:rsidP="00154325">
      <w:pPr>
        <w:pStyle w:val="ListParagraph"/>
        <w:numPr>
          <w:ilvl w:val="0"/>
          <w:numId w:val="40"/>
        </w:numPr>
        <w:rPr>
          <w:rFonts w:ascii="Verdana" w:hAnsi="Verdana"/>
        </w:rPr>
      </w:pPr>
      <w:r w:rsidRPr="00621F78">
        <w:rPr>
          <w:rFonts w:ascii="Verdana" w:hAnsi="Verdana"/>
        </w:rPr>
        <w:t>There was insufficient support for major variable costs, especially private rent and the cost of disability.</w:t>
      </w:r>
    </w:p>
    <w:p w14:paraId="37351657" w14:textId="08563DA2" w:rsidR="00154325" w:rsidRPr="00621F78" w:rsidRDefault="00154325" w:rsidP="00154325">
      <w:pPr>
        <w:pStyle w:val="ListParagraph"/>
        <w:numPr>
          <w:ilvl w:val="0"/>
          <w:numId w:val="40"/>
        </w:numPr>
        <w:rPr>
          <w:rFonts w:ascii="Verdana" w:hAnsi="Verdana"/>
        </w:rPr>
      </w:pPr>
      <w:r w:rsidRPr="00621F78">
        <w:rPr>
          <w:rFonts w:ascii="Verdana" w:hAnsi="Verdana"/>
        </w:rPr>
        <w:t xml:space="preserve">There were large inequities, with Youth Allowance and JobSeeker Payment paid at well below pension rates ($185pw), despite similar </w:t>
      </w:r>
      <w:r w:rsidR="001516C5" w:rsidRPr="00621F78">
        <w:rPr>
          <w:rFonts w:ascii="Verdana" w:hAnsi="Verdana"/>
        </w:rPr>
        <w:t>costs of living. These inequities were particularly stark between people with disability with similar needs receiving the higher Disability Support Pension and those receiving the Jobseeker payment; between relative rates of payments for singles (grossly inadequate) and couples</w:t>
      </w:r>
      <w:r w:rsidR="00017F87" w:rsidRPr="00621F78">
        <w:rPr>
          <w:rFonts w:ascii="Verdana" w:hAnsi="Verdana"/>
        </w:rPr>
        <w:t>,</w:t>
      </w:r>
      <w:r w:rsidR="001516C5" w:rsidRPr="00621F78">
        <w:rPr>
          <w:rFonts w:ascii="Verdana" w:hAnsi="Verdana"/>
        </w:rPr>
        <w:t xml:space="preserve"> and between over 55s on Jobseeker and those eligible for the much higher Age Pension. </w:t>
      </w:r>
    </w:p>
    <w:p w14:paraId="352ACBCF" w14:textId="2E9668AD" w:rsidR="00B370D9" w:rsidRPr="00621F78" w:rsidRDefault="00154325" w:rsidP="0012233B">
      <w:pPr>
        <w:pStyle w:val="ListParagraph"/>
        <w:numPr>
          <w:ilvl w:val="0"/>
          <w:numId w:val="40"/>
        </w:numPr>
        <w:rPr>
          <w:rFonts w:ascii="Verdana" w:hAnsi="Verdana"/>
        </w:rPr>
      </w:pPr>
      <w:r w:rsidRPr="00621F78">
        <w:rPr>
          <w:rFonts w:ascii="Verdana" w:hAnsi="Verdana"/>
        </w:rPr>
        <w:t xml:space="preserve">There were arbitrary </w:t>
      </w:r>
      <w:r w:rsidR="001516C5" w:rsidRPr="00621F78">
        <w:rPr>
          <w:rFonts w:ascii="Verdana" w:hAnsi="Verdana"/>
        </w:rPr>
        <w:t xml:space="preserve">changes </w:t>
      </w:r>
      <w:r w:rsidRPr="00621F78">
        <w:rPr>
          <w:rFonts w:ascii="Verdana" w:hAnsi="Verdana"/>
        </w:rPr>
        <w:t>in income support despite no change in need (for example, single parents moving from Parenting Payment Single to JobSeeker Payment when their youngest child turns eight lost $90pw</w:t>
      </w:r>
      <w:r w:rsidR="00702906" w:rsidRPr="00621F78">
        <w:rPr>
          <w:rFonts w:ascii="Verdana" w:hAnsi="Verdana"/>
        </w:rPr>
        <w:t>, changes in eligibility for the DSP due to a shift in a medical opinion about how long someone will have a disability,</w:t>
      </w:r>
      <w:r w:rsidR="001516C5" w:rsidRPr="00621F78">
        <w:rPr>
          <w:rFonts w:ascii="Verdana" w:hAnsi="Verdana"/>
        </w:rPr>
        <w:t xml:space="preserve"> or</w:t>
      </w:r>
      <w:r w:rsidR="00702906" w:rsidRPr="00621F78">
        <w:rPr>
          <w:rFonts w:ascii="Verdana" w:hAnsi="Verdana"/>
        </w:rPr>
        <w:t xml:space="preserve"> the </w:t>
      </w:r>
      <w:r w:rsidR="001516C5" w:rsidRPr="00621F78">
        <w:rPr>
          <w:rFonts w:ascii="Verdana" w:hAnsi="Verdana"/>
        </w:rPr>
        <w:t xml:space="preserve">different </w:t>
      </w:r>
      <w:r w:rsidR="00702906" w:rsidRPr="00621F78">
        <w:rPr>
          <w:rFonts w:ascii="Verdana" w:hAnsi="Verdana"/>
        </w:rPr>
        <w:t xml:space="preserve">treatment of people who are </w:t>
      </w:r>
      <w:r w:rsidR="001516C5" w:rsidRPr="00621F78">
        <w:rPr>
          <w:rFonts w:ascii="Verdana" w:hAnsi="Verdana"/>
        </w:rPr>
        <w:t>in their early or late sixties, before and after pension age</w:t>
      </w:r>
      <w:r w:rsidRPr="00621F78">
        <w:rPr>
          <w:rFonts w:ascii="Verdana" w:hAnsi="Verdana"/>
        </w:rPr>
        <w:t>).</w:t>
      </w:r>
    </w:p>
    <w:p w14:paraId="61DA58DA" w14:textId="45D30B82" w:rsidR="00697BE4" w:rsidRPr="00621F78" w:rsidRDefault="007E7B3D" w:rsidP="00697BE4">
      <w:pPr>
        <w:pStyle w:val="Heading1"/>
        <w:rPr>
          <w:lang w:val="en-AU"/>
        </w:rPr>
      </w:pPr>
      <w:r w:rsidRPr="00621F78">
        <w:rPr>
          <w:lang w:val="en-AU"/>
        </w:rPr>
        <w:t>Reform proposal c</w:t>
      </w:r>
      <w:r w:rsidR="00697BE4" w:rsidRPr="00621F78">
        <w:rPr>
          <w:lang w:val="en-AU"/>
        </w:rPr>
        <w:t xml:space="preserve">ontext </w:t>
      </w:r>
    </w:p>
    <w:p w14:paraId="161C63D1" w14:textId="03714CA6" w:rsidR="00283EDA" w:rsidRPr="00621F78" w:rsidRDefault="00697BE4" w:rsidP="00697BE4">
      <w:pPr>
        <w:rPr>
          <w:lang w:val="en-AU"/>
        </w:rPr>
      </w:pPr>
      <w:r w:rsidRPr="00621F78">
        <w:rPr>
          <w:lang w:val="en-AU"/>
        </w:rPr>
        <w:t xml:space="preserve">Prior to COVID-19 and the government response to it, </w:t>
      </w:r>
      <w:hyperlink r:id="rId9" w:history="1">
        <w:r w:rsidRPr="00621F78">
          <w:rPr>
            <w:rStyle w:val="Hyperlink"/>
            <w:lang w:val="en-AU"/>
          </w:rPr>
          <w:t>ACOSS had called for a minimum increase of $95pw</w:t>
        </w:r>
      </w:hyperlink>
      <w:r w:rsidRPr="00621F78">
        <w:rPr>
          <w:lang w:val="en-AU"/>
        </w:rPr>
        <w:t xml:space="preserve"> to the single rate of what is now JobSeeker Payment, Youth Allowance and related payments. </w:t>
      </w:r>
      <w:r w:rsidR="00283EDA" w:rsidRPr="00621F78">
        <w:rPr>
          <w:lang w:val="en-AU"/>
        </w:rPr>
        <w:t>This call was always a</w:t>
      </w:r>
      <w:r w:rsidR="00CC61AE" w:rsidRPr="00621F78">
        <w:rPr>
          <w:lang w:val="en-AU"/>
        </w:rPr>
        <w:t xml:space="preserve">n absolute minimum ask, an urgent down payment, after over 25 years of inaction. This urgent ask was pursued in the face of relentless refusals by successive governments to increase Newstart, and indeed successive attempts to cut social security, particularly post the GFC. </w:t>
      </w:r>
      <w:r w:rsidR="00283EDA" w:rsidRPr="00621F78">
        <w:rPr>
          <w:lang w:val="en-AU"/>
        </w:rPr>
        <w:t xml:space="preserve"> </w:t>
      </w:r>
    </w:p>
    <w:p w14:paraId="6ED15359" w14:textId="62E55444" w:rsidR="00697BE4" w:rsidRPr="00621F78" w:rsidRDefault="00697BE4" w:rsidP="00697BE4">
      <w:pPr>
        <w:rPr>
          <w:lang w:val="en-AU"/>
        </w:rPr>
      </w:pPr>
      <w:r w:rsidRPr="00621F78">
        <w:rPr>
          <w:lang w:val="en-AU"/>
        </w:rPr>
        <w:t xml:space="preserve">The </w:t>
      </w:r>
      <w:r w:rsidR="008B65F3" w:rsidRPr="00621F78">
        <w:rPr>
          <w:lang w:val="en-AU"/>
        </w:rPr>
        <w:t>coronavirus supplement</w:t>
      </w:r>
      <w:r w:rsidR="00B21318" w:rsidRPr="00621F78">
        <w:rPr>
          <w:lang w:val="en-AU"/>
        </w:rPr>
        <w:t xml:space="preserve">, which has </w:t>
      </w:r>
      <w:r w:rsidR="00652392" w:rsidRPr="00621F78">
        <w:rPr>
          <w:lang w:val="en-AU"/>
        </w:rPr>
        <w:t xml:space="preserve">largely </w:t>
      </w:r>
      <w:r w:rsidR="00B21318" w:rsidRPr="00621F78">
        <w:rPr>
          <w:lang w:val="en-AU"/>
        </w:rPr>
        <w:t>closed the gap between pensions and allowances,</w:t>
      </w:r>
      <w:r w:rsidRPr="00621F78">
        <w:rPr>
          <w:lang w:val="en-AU"/>
        </w:rPr>
        <w:t xml:space="preserve"> provides the opportunity for Australia to establish an income fl</w:t>
      </w:r>
      <w:r w:rsidR="00283EDA" w:rsidRPr="00621F78">
        <w:rPr>
          <w:lang w:val="en-AU"/>
        </w:rPr>
        <w:t xml:space="preserve">oor which </w:t>
      </w:r>
      <w:r w:rsidRPr="00621F78">
        <w:rPr>
          <w:lang w:val="en-AU"/>
        </w:rPr>
        <w:t>prevents poverty</w:t>
      </w:r>
      <w:r w:rsidR="00B21318" w:rsidRPr="00621F78">
        <w:rPr>
          <w:lang w:val="en-AU"/>
        </w:rPr>
        <w:t>, to simplify the payment system</w:t>
      </w:r>
      <w:r w:rsidR="00DD4691" w:rsidRPr="00621F78">
        <w:rPr>
          <w:lang w:val="en-AU"/>
        </w:rPr>
        <w:t xml:space="preserve">, </w:t>
      </w:r>
      <w:r w:rsidR="00B21318" w:rsidRPr="00621F78">
        <w:rPr>
          <w:lang w:val="en-AU"/>
        </w:rPr>
        <w:t xml:space="preserve">to set payment rates based on </w:t>
      </w:r>
      <w:r w:rsidR="005D79FA" w:rsidRPr="00621F78">
        <w:rPr>
          <w:lang w:val="en-AU"/>
        </w:rPr>
        <w:t xml:space="preserve">individual and family </w:t>
      </w:r>
      <w:r w:rsidR="00B21318" w:rsidRPr="00621F78">
        <w:rPr>
          <w:lang w:val="en-AU"/>
        </w:rPr>
        <w:t>need</w:t>
      </w:r>
      <w:r w:rsidR="008B65F3" w:rsidRPr="00621F78">
        <w:rPr>
          <w:lang w:val="en-AU"/>
        </w:rPr>
        <w:t xml:space="preserve"> and to support consumer demand through the economic recovery and beyond</w:t>
      </w:r>
      <w:r w:rsidRPr="00621F78">
        <w:rPr>
          <w:lang w:val="en-AU"/>
        </w:rPr>
        <w:t xml:space="preserve">. </w:t>
      </w:r>
    </w:p>
    <w:p w14:paraId="2ECED2EE" w14:textId="77848EFE" w:rsidR="00F62DE4" w:rsidRPr="00621F78" w:rsidRDefault="00F62DE4" w:rsidP="00F62DE4">
      <w:pPr>
        <w:pStyle w:val="Heading3"/>
        <w:rPr>
          <w:b/>
          <w:lang w:val="en-AU"/>
        </w:rPr>
      </w:pPr>
      <w:r w:rsidRPr="00621F78">
        <w:rPr>
          <w:b/>
          <w:lang w:val="en-AU"/>
        </w:rPr>
        <w:t xml:space="preserve">Our consultation process </w:t>
      </w:r>
    </w:p>
    <w:p w14:paraId="212AC370" w14:textId="2692D75A" w:rsidR="00F62DE4" w:rsidRPr="00621F78" w:rsidRDefault="00F62DE4" w:rsidP="00F62DE4">
      <w:pPr>
        <w:rPr>
          <w:lang w:val="en-AU"/>
        </w:rPr>
      </w:pPr>
      <w:r w:rsidRPr="00621F78">
        <w:rPr>
          <w:lang w:val="en-AU"/>
        </w:rPr>
        <w:t xml:space="preserve">ACOSS has consulted with its membership and other relevant stakeholders on this proposal. This proposal has broad, but not universal support, with some organisations calling for the Coronavirus Supplement to continue indefinitely. However, across the membership, there is a shared commitment to ensuring that everyone has enough income to put food on the table and a roof over one’s head, which this proposal aims to achieve. </w:t>
      </w:r>
    </w:p>
    <w:p w14:paraId="5AC0A839" w14:textId="5CA18FF5" w:rsidR="00D324E8" w:rsidRPr="00621F78" w:rsidRDefault="00D324E8" w:rsidP="00475716">
      <w:pPr>
        <w:pStyle w:val="Heading4"/>
        <w:rPr>
          <w:sz w:val="22"/>
          <w:lang w:val="en-AU"/>
        </w:rPr>
      </w:pPr>
      <w:r w:rsidRPr="00621F78">
        <w:rPr>
          <w:sz w:val="22"/>
          <w:lang w:val="en-AU"/>
        </w:rPr>
        <w:lastRenderedPageBreak/>
        <w:t>ACOSS Proposal for reform of Jobseeker: b</w:t>
      </w:r>
      <w:r w:rsidR="0012233B" w:rsidRPr="00621F78">
        <w:rPr>
          <w:sz w:val="22"/>
          <w:lang w:val="en-AU"/>
        </w:rPr>
        <w:t>ackground and detail</w:t>
      </w:r>
    </w:p>
    <w:p w14:paraId="76A30AA7" w14:textId="77777777" w:rsidR="00D324E8" w:rsidRPr="00621F78" w:rsidRDefault="00D324E8" w:rsidP="00475716">
      <w:pPr>
        <w:pStyle w:val="Heading4"/>
        <w:rPr>
          <w:sz w:val="22"/>
          <w:lang w:val="en-AU"/>
        </w:rPr>
      </w:pPr>
    </w:p>
    <w:p w14:paraId="3A3FD353" w14:textId="1F2169B7" w:rsidR="00475716" w:rsidRPr="00621F78" w:rsidRDefault="00D324E8" w:rsidP="00475716">
      <w:pPr>
        <w:rPr>
          <w:lang w:val="en-AU"/>
        </w:rPr>
      </w:pPr>
      <w:r w:rsidRPr="00621F78">
        <w:rPr>
          <w:rStyle w:val="Strong"/>
          <w:b w:val="0"/>
          <w:lang w:val="en-AU"/>
        </w:rPr>
        <w:t xml:space="preserve">As stated above, ACOSS recommends that </w:t>
      </w:r>
      <w:r w:rsidR="00154325" w:rsidRPr="00621F78">
        <w:rPr>
          <w:rStyle w:val="Strong"/>
          <w:lang w:val="en-AU"/>
        </w:rPr>
        <w:t xml:space="preserve">the maximum rate of Jobseeker and other allowances </w:t>
      </w:r>
      <w:r w:rsidRPr="00621F78">
        <w:rPr>
          <w:rStyle w:val="Strong"/>
          <w:b w:val="0"/>
          <w:lang w:val="en-AU"/>
        </w:rPr>
        <w:t xml:space="preserve">be increased </w:t>
      </w:r>
      <w:r w:rsidR="00154325" w:rsidRPr="00621F78">
        <w:rPr>
          <w:rStyle w:val="Strong"/>
          <w:lang w:val="en-AU"/>
        </w:rPr>
        <w:t>to cur</w:t>
      </w:r>
      <w:r w:rsidR="00B60A70" w:rsidRPr="00621F78">
        <w:rPr>
          <w:rStyle w:val="Strong"/>
          <w:lang w:val="en-AU"/>
        </w:rPr>
        <w:t>rent pension rates, and index</w:t>
      </w:r>
      <w:r w:rsidRPr="00621F78">
        <w:rPr>
          <w:rStyle w:val="Strong"/>
          <w:b w:val="0"/>
          <w:lang w:val="en-AU"/>
        </w:rPr>
        <w:t>ed</w:t>
      </w:r>
      <w:r w:rsidR="00154325" w:rsidRPr="00621F78">
        <w:rPr>
          <w:rStyle w:val="Strong"/>
          <w:lang w:val="en-AU"/>
        </w:rPr>
        <w:t xml:space="preserve"> to wages and prices, whichever is higher.</w:t>
      </w:r>
      <w:r w:rsidR="00652392" w:rsidRPr="00621F78">
        <w:rPr>
          <w:rStyle w:val="Strong"/>
          <w:lang w:val="en-AU"/>
        </w:rPr>
        <w:t xml:space="preserve"> </w:t>
      </w:r>
      <w:r w:rsidRPr="00621F78">
        <w:rPr>
          <w:rStyle w:val="Strong"/>
          <w:b w:val="0"/>
          <w:lang w:val="en-AU"/>
        </w:rPr>
        <w:t>This should</w:t>
      </w:r>
      <w:r w:rsidR="00017F87" w:rsidRPr="00621F78">
        <w:rPr>
          <w:rStyle w:val="Strong"/>
          <w:b w:val="0"/>
          <w:lang w:val="en-AU"/>
        </w:rPr>
        <w:t xml:space="preserve"> be</w:t>
      </w:r>
      <w:r w:rsidRPr="00621F78">
        <w:rPr>
          <w:rStyle w:val="Strong"/>
          <w:b w:val="0"/>
          <w:lang w:val="en-AU"/>
        </w:rPr>
        <w:t xml:space="preserve"> complemented by a 50% increase in Rent Assistance and additional supplements to meet the specific costs of disability and single parenthood. </w:t>
      </w:r>
    </w:p>
    <w:p w14:paraId="5228A89D" w14:textId="6981D74C" w:rsidR="00A30E38" w:rsidRPr="00621F78" w:rsidRDefault="00154325" w:rsidP="00FA2186">
      <w:pPr>
        <w:rPr>
          <w:lang w:val="en-AU"/>
        </w:rPr>
      </w:pPr>
      <w:r w:rsidRPr="00621F78">
        <w:rPr>
          <w:lang w:val="en-AU"/>
        </w:rPr>
        <w:t xml:space="preserve">The benefits of this </w:t>
      </w:r>
      <w:r w:rsidR="00D324E8" w:rsidRPr="00621F78">
        <w:rPr>
          <w:lang w:val="en-AU"/>
        </w:rPr>
        <w:t xml:space="preserve">proposal </w:t>
      </w:r>
      <w:r w:rsidRPr="00621F78">
        <w:rPr>
          <w:lang w:val="en-AU"/>
        </w:rPr>
        <w:t>are that it would</w:t>
      </w:r>
      <w:r w:rsidR="00A30E38" w:rsidRPr="00621F78">
        <w:rPr>
          <w:lang w:val="en-AU"/>
        </w:rPr>
        <w:t>:</w:t>
      </w:r>
    </w:p>
    <w:p w14:paraId="5D778231" w14:textId="352D62A4" w:rsidR="00154325" w:rsidRPr="00621F78" w:rsidRDefault="00154325" w:rsidP="000F71F8">
      <w:pPr>
        <w:pStyle w:val="ListParagraph"/>
        <w:numPr>
          <w:ilvl w:val="0"/>
          <w:numId w:val="46"/>
        </w:numPr>
        <w:rPr>
          <w:rFonts w:ascii="Verdana" w:hAnsi="Verdana"/>
        </w:rPr>
      </w:pPr>
      <w:r w:rsidRPr="00621F78">
        <w:rPr>
          <w:rFonts w:ascii="Verdana" w:hAnsi="Verdana"/>
        </w:rPr>
        <w:t>lift people out of poverty and simplify the income support system by establishing one base payment level across different cohorts, recognising basic costs faced by all</w:t>
      </w:r>
      <w:r w:rsidR="00D324E8" w:rsidRPr="00621F78">
        <w:rPr>
          <w:rFonts w:ascii="Verdana" w:hAnsi="Verdana"/>
        </w:rPr>
        <w:t xml:space="preserve"> (see graph 2 below)</w:t>
      </w:r>
      <w:r w:rsidR="00B60A70" w:rsidRPr="00621F78">
        <w:rPr>
          <w:rFonts w:ascii="Verdana" w:hAnsi="Verdana"/>
        </w:rPr>
        <w:t>, while</w:t>
      </w:r>
      <w:r w:rsidR="00652392" w:rsidRPr="00621F78">
        <w:rPr>
          <w:rFonts w:ascii="Verdana" w:hAnsi="Verdana"/>
        </w:rPr>
        <w:t xml:space="preserve"> still allowing different conditions </w:t>
      </w:r>
      <w:r w:rsidR="008B65F3" w:rsidRPr="00621F78">
        <w:rPr>
          <w:rFonts w:ascii="Verdana" w:hAnsi="Verdana"/>
        </w:rPr>
        <w:t xml:space="preserve">(e.g. job search) </w:t>
      </w:r>
      <w:r w:rsidR="00652392" w:rsidRPr="00621F78">
        <w:rPr>
          <w:rFonts w:ascii="Verdana" w:hAnsi="Verdana"/>
        </w:rPr>
        <w:t>to be attached to payments depending on circumstances</w:t>
      </w:r>
      <w:r w:rsidR="00A30E38" w:rsidRPr="00621F78">
        <w:rPr>
          <w:rFonts w:ascii="Verdana" w:hAnsi="Verdana"/>
        </w:rPr>
        <w:t>;</w:t>
      </w:r>
    </w:p>
    <w:p w14:paraId="08FE6A2E" w14:textId="292DF3DD" w:rsidR="00AD515B" w:rsidRPr="00621F78" w:rsidRDefault="00AD515B" w:rsidP="000F71F8">
      <w:pPr>
        <w:pStyle w:val="ListParagraph"/>
        <w:numPr>
          <w:ilvl w:val="0"/>
          <w:numId w:val="46"/>
        </w:numPr>
        <w:rPr>
          <w:rFonts w:ascii="Verdana" w:hAnsi="Verdana"/>
        </w:rPr>
      </w:pPr>
      <w:r w:rsidRPr="00621F78">
        <w:rPr>
          <w:rFonts w:ascii="Verdana" w:hAnsi="Verdana"/>
        </w:rPr>
        <w:t>be simple to implement because the payment infrastructure is already in place</w:t>
      </w:r>
      <w:r w:rsidR="00D324E8" w:rsidRPr="00621F78">
        <w:rPr>
          <w:rFonts w:ascii="Verdana" w:hAnsi="Verdana"/>
        </w:rPr>
        <w:t>;</w:t>
      </w:r>
      <w:r w:rsidRPr="00621F78">
        <w:rPr>
          <w:rFonts w:ascii="Verdana" w:hAnsi="Verdana"/>
        </w:rPr>
        <w:t xml:space="preserve"> </w:t>
      </w:r>
    </w:p>
    <w:p w14:paraId="6298318B" w14:textId="58215B0C" w:rsidR="00A30E38" w:rsidRPr="00621F78" w:rsidRDefault="008B65F3" w:rsidP="000F71F8">
      <w:pPr>
        <w:pStyle w:val="ListParagraph"/>
        <w:numPr>
          <w:ilvl w:val="0"/>
          <w:numId w:val="46"/>
        </w:numPr>
        <w:rPr>
          <w:rFonts w:ascii="Verdana" w:hAnsi="Verdana"/>
        </w:rPr>
      </w:pPr>
      <w:r w:rsidRPr="00621F78">
        <w:rPr>
          <w:rFonts w:ascii="Verdana" w:hAnsi="Verdana"/>
        </w:rPr>
        <w:t>e</w:t>
      </w:r>
      <w:r w:rsidR="00D90CD6" w:rsidRPr="00621F78">
        <w:rPr>
          <w:rFonts w:ascii="Verdana" w:hAnsi="Verdana"/>
        </w:rPr>
        <w:t>stablish couple</w:t>
      </w:r>
      <w:r w:rsidR="00A30E38" w:rsidRPr="00621F78">
        <w:rPr>
          <w:rFonts w:ascii="Verdana" w:hAnsi="Verdana"/>
        </w:rPr>
        <w:t xml:space="preserve"> rates of payment across the system at 150%</w:t>
      </w:r>
      <w:r w:rsidR="00B60A70" w:rsidRPr="00621F78">
        <w:rPr>
          <w:rFonts w:ascii="Verdana" w:hAnsi="Verdana"/>
        </w:rPr>
        <w:t xml:space="preserve"> of single payment rates, reflecting</w:t>
      </w:r>
      <w:r w:rsidR="00A30E38" w:rsidRPr="00621F78">
        <w:rPr>
          <w:rFonts w:ascii="Verdana" w:hAnsi="Verdana"/>
        </w:rPr>
        <w:t xml:space="preserve"> economies of scale experienced by couples over singles;</w:t>
      </w:r>
    </w:p>
    <w:p w14:paraId="7701100E" w14:textId="074E6344" w:rsidR="00A30E38" w:rsidRPr="00621F78" w:rsidRDefault="00A30E38" w:rsidP="000F71F8">
      <w:pPr>
        <w:pStyle w:val="ListParagraph"/>
        <w:numPr>
          <w:ilvl w:val="0"/>
          <w:numId w:val="46"/>
        </w:numPr>
        <w:rPr>
          <w:rFonts w:ascii="Verdana" w:hAnsi="Verdana"/>
        </w:rPr>
      </w:pPr>
      <w:r w:rsidRPr="00621F78">
        <w:rPr>
          <w:rFonts w:ascii="Verdana" w:hAnsi="Verdana"/>
        </w:rPr>
        <w:t>bring</w:t>
      </w:r>
      <w:r w:rsidR="00717C8B" w:rsidRPr="00621F78">
        <w:rPr>
          <w:rFonts w:ascii="Verdana" w:hAnsi="Verdana"/>
        </w:rPr>
        <w:t xml:space="preserve"> payment levels </w:t>
      </w:r>
      <w:r w:rsidR="00225E85" w:rsidRPr="00621F78">
        <w:rPr>
          <w:rFonts w:ascii="Verdana" w:hAnsi="Verdana"/>
        </w:rPr>
        <w:t>in line with poverty</w:t>
      </w:r>
      <w:r w:rsidRPr="00621F78">
        <w:rPr>
          <w:rFonts w:ascii="Verdana" w:hAnsi="Verdana"/>
        </w:rPr>
        <w:t xml:space="preserve"> line levels (with </w:t>
      </w:r>
      <w:r w:rsidR="00652392" w:rsidRPr="00621F78">
        <w:rPr>
          <w:rFonts w:ascii="Verdana" w:hAnsi="Verdana"/>
        </w:rPr>
        <w:t xml:space="preserve">the current </w:t>
      </w:r>
      <w:r w:rsidRPr="00621F78">
        <w:rPr>
          <w:rFonts w:ascii="Verdana" w:hAnsi="Verdana"/>
        </w:rPr>
        <w:t xml:space="preserve">poverty line being </w:t>
      </w:r>
      <w:r w:rsidR="00A7267E" w:rsidRPr="00621F78">
        <w:rPr>
          <w:rFonts w:ascii="Verdana" w:hAnsi="Verdana"/>
        </w:rPr>
        <w:t>between $46</w:t>
      </w:r>
      <w:r w:rsidR="004E6184">
        <w:rPr>
          <w:rFonts w:ascii="Verdana" w:hAnsi="Verdana"/>
        </w:rPr>
        <w:t>6</w:t>
      </w:r>
      <w:r w:rsidR="00A7267E" w:rsidRPr="00621F78">
        <w:rPr>
          <w:rStyle w:val="FootnoteReference"/>
          <w:rFonts w:ascii="Verdana" w:hAnsi="Verdana"/>
        </w:rPr>
        <w:footnoteReference w:id="9"/>
      </w:r>
      <w:r w:rsidRPr="00621F78">
        <w:rPr>
          <w:rFonts w:ascii="Verdana" w:hAnsi="Verdana"/>
        </w:rPr>
        <w:t xml:space="preserve"> </w:t>
      </w:r>
      <w:r w:rsidR="00A7267E" w:rsidRPr="00621F78">
        <w:rPr>
          <w:rFonts w:ascii="Verdana" w:hAnsi="Verdana"/>
        </w:rPr>
        <w:t xml:space="preserve">and </w:t>
      </w:r>
      <w:r w:rsidRPr="00621F78">
        <w:rPr>
          <w:rFonts w:ascii="Verdana" w:hAnsi="Verdana"/>
        </w:rPr>
        <w:t>$500pw</w:t>
      </w:r>
      <w:r w:rsidR="00225E85" w:rsidRPr="00621F78">
        <w:rPr>
          <w:rStyle w:val="FootnoteReference"/>
          <w:rFonts w:ascii="Verdana" w:hAnsi="Verdana"/>
        </w:rPr>
        <w:footnoteReference w:id="10"/>
      </w:r>
      <w:r w:rsidRPr="00621F78">
        <w:rPr>
          <w:rFonts w:ascii="Verdana" w:hAnsi="Verdana"/>
        </w:rPr>
        <w:t xml:space="preserve"> for a single person without children);</w:t>
      </w:r>
    </w:p>
    <w:p w14:paraId="44B43A34" w14:textId="2A5661B7" w:rsidR="00A30E38" w:rsidRPr="00621F78" w:rsidRDefault="00B60A70" w:rsidP="00717C8B">
      <w:pPr>
        <w:pStyle w:val="ListParagraph"/>
        <w:numPr>
          <w:ilvl w:val="0"/>
          <w:numId w:val="46"/>
        </w:numPr>
        <w:rPr>
          <w:rFonts w:ascii="Verdana" w:hAnsi="Verdana"/>
        </w:rPr>
      </w:pPr>
      <w:r w:rsidRPr="00621F78">
        <w:rPr>
          <w:rFonts w:ascii="Verdana" w:hAnsi="Verdana" w:cstheme="minorHAnsi"/>
        </w:rPr>
        <w:t>app</w:t>
      </w:r>
      <w:r w:rsidR="00D90CD6" w:rsidRPr="00621F78">
        <w:rPr>
          <w:rFonts w:ascii="Verdana" w:hAnsi="Verdana" w:cstheme="minorHAnsi"/>
        </w:rPr>
        <w:t>ly</w:t>
      </w:r>
      <w:r w:rsidR="00A30E38" w:rsidRPr="00621F78">
        <w:rPr>
          <w:rFonts w:ascii="Verdana" w:hAnsi="Verdana" w:cstheme="minorHAnsi"/>
        </w:rPr>
        <w:t xml:space="preserve"> a consistent approach to indexation </w:t>
      </w:r>
      <w:r w:rsidR="00652392" w:rsidRPr="00621F78">
        <w:rPr>
          <w:rFonts w:ascii="Verdana" w:hAnsi="Verdana" w:cstheme="minorHAnsi"/>
        </w:rPr>
        <w:t>across payment types</w:t>
      </w:r>
      <w:r w:rsidR="00A30E38" w:rsidRPr="00621F78">
        <w:rPr>
          <w:rFonts w:ascii="Verdana" w:hAnsi="Verdana" w:cstheme="minorHAnsi"/>
        </w:rPr>
        <w:t xml:space="preserve"> (all payments would be indexed at least twice per year in line </w:t>
      </w:r>
      <w:r w:rsidR="00A92206">
        <w:rPr>
          <w:rFonts w:ascii="Verdana" w:hAnsi="Verdana" w:cstheme="minorHAnsi"/>
        </w:rPr>
        <w:t>with wages and prices, whichever is higher)</w:t>
      </w:r>
      <w:r w:rsidR="00A30E38" w:rsidRPr="00621F78">
        <w:rPr>
          <w:rFonts w:ascii="Verdana" w:hAnsi="Verdana" w:cstheme="minorHAnsi"/>
        </w:rPr>
        <w:t xml:space="preserve">. </w:t>
      </w:r>
    </w:p>
    <w:p w14:paraId="1D139A37" w14:textId="5B81B469" w:rsidR="00A21ACA" w:rsidRPr="00621F78" w:rsidRDefault="008B65F3" w:rsidP="00717C8B">
      <w:pPr>
        <w:pStyle w:val="ListParagraph"/>
        <w:numPr>
          <w:ilvl w:val="0"/>
          <w:numId w:val="46"/>
        </w:numPr>
        <w:rPr>
          <w:rFonts w:ascii="Verdana" w:hAnsi="Verdana"/>
        </w:rPr>
      </w:pPr>
      <w:r w:rsidRPr="00621F78">
        <w:rPr>
          <w:rFonts w:ascii="Verdana" w:hAnsi="Verdana" w:cstheme="minorHAnsi"/>
        </w:rPr>
        <w:t>t</w:t>
      </w:r>
      <w:r w:rsidR="00A21ACA" w:rsidRPr="00621F78">
        <w:rPr>
          <w:rFonts w:ascii="Verdana" w:hAnsi="Verdana" w:cstheme="minorHAnsi"/>
        </w:rPr>
        <w:t xml:space="preserve">arget assistance at those most in need, including people </w:t>
      </w:r>
      <w:r w:rsidRPr="00621F78">
        <w:rPr>
          <w:rFonts w:ascii="Verdana" w:hAnsi="Verdana" w:cstheme="minorHAnsi"/>
        </w:rPr>
        <w:t>who are unemployed</w:t>
      </w:r>
      <w:r w:rsidR="00D324E8" w:rsidRPr="00621F78">
        <w:rPr>
          <w:rFonts w:ascii="Verdana" w:hAnsi="Verdana" w:cstheme="minorHAnsi"/>
        </w:rPr>
        <w:t xml:space="preserve">, </w:t>
      </w:r>
      <w:r w:rsidR="00A21ACA" w:rsidRPr="00621F78">
        <w:rPr>
          <w:rFonts w:ascii="Verdana" w:hAnsi="Verdana" w:cstheme="minorHAnsi"/>
        </w:rPr>
        <w:t>private renters</w:t>
      </w:r>
      <w:r w:rsidR="00D324E8" w:rsidRPr="00621F78">
        <w:rPr>
          <w:rFonts w:ascii="Verdana" w:hAnsi="Verdana" w:cstheme="minorHAnsi"/>
        </w:rPr>
        <w:t xml:space="preserve"> (</w:t>
      </w:r>
      <w:r w:rsidRPr="00621F78">
        <w:rPr>
          <w:rFonts w:ascii="Verdana" w:hAnsi="Verdana" w:cstheme="minorHAnsi"/>
        </w:rPr>
        <w:t>including older people</w:t>
      </w:r>
      <w:r w:rsidR="00D324E8" w:rsidRPr="00621F78">
        <w:rPr>
          <w:rFonts w:ascii="Verdana" w:hAnsi="Verdana" w:cstheme="minorHAnsi"/>
        </w:rPr>
        <w:t>)</w:t>
      </w:r>
      <w:r w:rsidR="00621F78">
        <w:rPr>
          <w:rFonts w:ascii="Verdana" w:hAnsi="Verdana" w:cstheme="minorHAnsi"/>
        </w:rPr>
        <w:t xml:space="preserve"> </w:t>
      </w:r>
      <w:r w:rsidR="00D324E8" w:rsidRPr="00621F78">
        <w:rPr>
          <w:rFonts w:ascii="Verdana" w:hAnsi="Verdana" w:cstheme="minorHAnsi"/>
        </w:rPr>
        <w:t>people with disability</w:t>
      </w:r>
      <w:r w:rsidR="00621F78">
        <w:rPr>
          <w:rFonts w:ascii="Verdana" w:hAnsi="Verdana" w:cstheme="minorHAnsi"/>
        </w:rPr>
        <w:t xml:space="preserve"> and single parents caring for children</w:t>
      </w:r>
      <w:r w:rsidR="00D324E8" w:rsidRPr="00621F78">
        <w:rPr>
          <w:rFonts w:ascii="Verdana" w:hAnsi="Verdana" w:cstheme="minorHAnsi"/>
        </w:rPr>
        <w:t xml:space="preserve">. </w:t>
      </w:r>
      <w:r w:rsidR="000B7D0B" w:rsidRPr="00621F78">
        <w:rPr>
          <w:rFonts w:ascii="Verdana" w:hAnsi="Verdana" w:cstheme="minorHAnsi"/>
        </w:rPr>
        <w:t xml:space="preserve"> </w:t>
      </w:r>
    </w:p>
    <w:p w14:paraId="2360B444" w14:textId="0340041F" w:rsidR="00FA2186" w:rsidRPr="00621F78" w:rsidRDefault="00FA2186" w:rsidP="00FA2186">
      <w:pPr>
        <w:rPr>
          <w:lang w:val="en-AU"/>
        </w:rPr>
      </w:pPr>
      <w:r w:rsidRPr="00621F78">
        <w:rPr>
          <w:lang w:val="en-AU"/>
        </w:rPr>
        <w:t xml:space="preserve">This </w:t>
      </w:r>
      <w:r w:rsidR="00A30E38" w:rsidRPr="00621F78">
        <w:rPr>
          <w:lang w:val="en-AU"/>
        </w:rPr>
        <w:t xml:space="preserve">reform would result in </w:t>
      </w:r>
      <w:r w:rsidRPr="00621F78">
        <w:rPr>
          <w:lang w:val="en-AU"/>
        </w:rPr>
        <w:t xml:space="preserve">a base rate increase of </w:t>
      </w:r>
      <w:r w:rsidRPr="00621F78">
        <w:rPr>
          <w:b/>
          <w:lang w:val="en-AU"/>
        </w:rPr>
        <w:t>$185pw</w:t>
      </w:r>
      <w:r w:rsidRPr="00621F78">
        <w:rPr>
          <w:lang w:val="en-AU"/>
        </w:rPr>
        <w:t xml:space="preserve"> for a single person receiving JobSeeker Payment. Other payments would increase between </w:t>
      </w:r>
      <w:r w:rsidRPr="00621F78">
        <w:rPr>
          <w:b/>
          <w:lang w:val="en-AU"/>
        </w:rPr>
        <w:t>$71pw</w:t>
      </w:r>
      <w:r w:rsidRPr="00621F78">
        <w:rPr>
          <w:lang w:val="en-AU"/>
        </w:rPr>
        <w:t xml:space="preserve"> for Parenting Payment Single and </w:t>
      </w:r>
      <w:r w:rsidRPr="00621F78">
        <w:rPr>
          <w:b/>
          <w:lang w:val="en-AU"/>
        </w:rPr>
        <w:t>$237pw</w:t>
      </w:r>
      <w:r w:rsidRPr="00621F78">
        <w:rPr>
          <w:lang w:val="en-AU"/>
        </w:rPr>
        <w:t xml:space="preserve"> for Youth Allowance. Single rates of payment would be brought up to the single pension rate of </w:t>
      </w:r>
      <w:r w:rsidRPr="00621F78">
        <w:rPr>
          <w:b/>
          <w:lang w:val="en-AU"/>
        </w:rPr>
        <w:t>$472pw.</w:t>
      </w:r>
      <w:r w:rsidRPr="00621F78">
        <w:rPr>
          <w:lang w:val="en-AU"/>
        </w:rPr>
        <w:t xml:space="preserve">  </w:t>
      </w:r>
    </w:p>
    <w:p w14:paraId="3C40F76C" w14:textId="6A4256A9" w:rsidR="00FA2186" w:rsidRPr="00621F78" w:rsidRDefault="00420683" w:rsidP="00621F78">
      <w:pPr>
        <w:pStyle w:val="Heading3"/>
        <w:ind w:left="426"/>
        <w:rPr>
          <w:lang w:val="en-AU"/>
        </w:rPr>
      </w:pPr>
      <w:r w:rsidRPr="00621F78">
        <w:rPr>
          <w:lang w:val="en-AU"/>
        </w:rPr>
        <w:lastRenderedPageBreak/>
        <w:t xml:space="preserve">Figure 1. </w:t>
      </w:r>
      <w:r w:rsidR="000954EB" w:rsidRPr="00621F78">
        <w:rPr>
          <w:lang w:val="en-AU"/>
        </w:rPr>
        <w:t>Lifting payments to the level of the pension</w:t>
      </w:r>
    </w:p>
    <w:p w14:paraId="07F08C5D" w14:textId="41449B09" w:rsidR="009B75F9" w:rsidRPr="00621F78" w:rsidRDefault="009B75F9" w:rsidP="00697BE4">
      <w:pPr>
        <w:rPr>
          <w:noProof/>
          <w:lang w:val="en-AU" w:eastAsia="en-AU"/>
        </w:rPr>
      </w:pPr>
      <w:r w:rsidRPr="00621F78">
        <w:rPr>
          <w:noProof/>
        </w:rPr>
        <w:drawing>
          <wp:inline distT="0" distB="0" distL="0" distR="0" wp14:anchorId="2EE5FB07" wp14:editId="01A97B24">
            <wp:extent cx="5943600" cy="29908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56FCB5" w14:textId="0FBFEF3B" w:rsidR="00FA2186" w:rsidRPr="00621F78" w:rsidRDefault="00DA4E12" w:rsidP="00FA2186">
      <w:pPr>
        <w:rPr>
          <w:lang w:val="en-AU"/>
        </w:rPr>
      </w:pPr>
      <w:r w:rsidRPr="00621F78">
        <w:rPr>
          <w:lang w:val="en-AU"/>
        </w:rPr>
        <w:t>Combined with a 50</w:t>
      </w:r>
      <w:r w:rsidR="00FA2186" w:rsidRPr="00621F78">
        <w:rPr>
          <w:lang w:val="en-AU"/>
        </w:rPr>
        <w:t xml:space="preserve">% Commonwealth Rent Assistance increase, a single person receiving </w:t>
      </w:r>
      <w:r w:rsidR="00FA2186" w:rsidRPr="00621F78">
        <w:rPr>
          <w:b/>
          <w:lang w:val="en-AU"/>
        </w:rPr>
        <w:t>JobSeeker</w:t>
      </w:r>
      <w:r w:rsidR="00FA2186" w:rsidRPr="00621F78">
        <w:rPr>
          <w:lang w:val="en-AU"/>
        </w:rPr>
        <w:t xml:space="preserve"> renting privately would receive a total increase of </w:t>
      </w:r>
      <w:r w:rsidRPr="00621F78">
        <w:rPr>
          <w:b/>
          <w:lang w:val="en-AU"/>
        </w:rPr>
        <w:t>$220</w:t>
      </w:r>
      <w:r w:rsidR="00FA2186" w:rsidRPr="00621F78">
        <w:rPr>
          <w:b/>
          <w:lang w:val="en-AU"/>
        </w:rPr>
        <w:t>pw.</w:t>
      </w:r>
      <w:r w:rsidR="00FA2186" w:rsidRPr="00621F78">
        <w:rPr>
          <w:lang w:val="en-AU"/>
        </w:rPr>
        <w:t xml:space="preserve"> </w:t>
      </w:r>
    </w:p>
    <w:p w14:paraId="43FEE6DE" w14:textId="05D58EA2" w:rsidR="00FA2186" w:rsidRPr="00621F78" w:rsidRDefault="00FA2186" w:rsidP="00A30E38">
      <w:pPr>
        <w:rPr>
          <w:lang w:val="en-AU"/>
        </w:rPr>
      </w:pPr>
      <w:r w:rsidRPr="00621F78">
        <w:rPr>
          <w:lang w:val="en-AU"/>
        </w:rPr>
        <w:t xml:space="preserve">A single person receiving </w:t>
      </w:r>
      <w:r w:rsidRPr="00621F78">
        <w:rPr>
          <w:b/>
          <w:lang w:val="en-AU"/>
        </w:rPr>
        <w:t>Youth Allowance</w:t>
      </w:r>
      <w:r w:rsidRPr="00621F78">
        <w:rPr>
          <w:lang w:val="en-AU"/>
        </w:rPr>
        <w:t xml:space="preserve"> renting privately would receive a total increase of </w:t>
      </w:r>
      <w:r w:rsidR="00DA4E12" w:rsidRPr="00621F78">
        <w:rPr>
          <w:b/>
          <w:lang w:val="en-AU"/>
        </w:rPr>
        <w:t>$272</w:t>
      </w:r>
      <w:r w:rsidRPr="00621F78">
        <w:rPr>
          <w:b/>
          <w:lang w:val="en-AU"/>
        </w:rPr>
        <w:t>pw.</w:t>
      </w:r>
      <w:r w:rsidRPr="00621F78">
        <w:rPr>
          <w:lang w:val="en-AU"/>
        </w:rPr>
        <w:t xml:space="preserve"> </w:t>
      </w:r>
    </w:p>
    <w:p w14:paraId="013C3DF7" w14:textId="21BB4B78" w:rsidR="00FA2186" w:rsidRPr="00621F78" w:rsidRDefault="00A30E38" w:rsidP="000F71F8">
      <w:pPr>
        <w:pStyle w:val="NoSpacing"/>
        <w:rPr>
          <w:lang w:val="en-AU"/>
        </w:rPr>
      </w:pPr>
      <w:r w:rsidRPr="00621F78">
        <w:rPr>
          <w:lang w:val="en-AU"/>
        </w:rPr>
        <w:t>The following payments would be affected</w:t>
      </w:r>
      <w:r w:rsidR="00FA2186" w:rsidRPr="00621F78">
        <w:rPr>
          <w:rStyle w:val="Heading2Char"/>
          <w:lang w:val="en-AU"/>
        </w:rPr>
        <w:t>:</w:t>
      </w:r>
      <w:r w:rsidR="00FA2186" w:rsidRPr="00621F78">
        <w:rPr>
          <w:lang w:val="en-AU"/>
        </w:rPr>
        <w:t xml:space="preserve"> </w:t>
      </w:r>
    </w:p>
    <w:p w14:paraId="7F21D69D" w14:textId="77777777" w:rsidR="00FA2186" w:rsidRPr="00621F78" w:rsidRDefault="00FA2186" w:rsidP="00FA2186">
      <w:pPr>
        <w:pStyle w:val="ListParagraph"/>
        <w:numPr>
          <w:ilvl w:val="0"/>
          <w:numId w:val="40"/>
        </w:numPr>
        <w:rPr>
          <w:rFonts w:ascii="Verdana" w:hAnsi="Verdana"/>
        </w:rPr>
      </w:pPr>
      <w:r w:rsidRPr="00621F78">
        <w:rPr>
          <w:rFonts w:ascii="Verdana" w:hAnsi="Verdana"/>
        </w:rPr>
        <w:t>JobSeeker Payment</w:t>
      </w:r>
    </w:p>
    <w:p w14:paraId="5033337B" w14:textId="77777777" w:rsidR="00FA2186" w:rsidRPr="00621F78" w:rsidRDefault="00FA2186" w:rsidP="00FA2186">
      <w:pPr>
        <w:pStyle w:val="ListParagraph"/>
        <w:numPr>
          <w:ilvl w:val="0"/>
          <w:numId w:val="40"/>
        </w:numPr>
        <w:rPr>
          <w:rFonts w:ascii="Verdana" w:hAnsi="Verdana"/>
        </w:rPr>
      </w:pPr>
      <w:r w:rsidRPr="00621F78">
        <w:rPr>
          <w:rFonts w:ascii="Verdana" w:hAnsi="Verdana"/>
        </w:rPr>
        <w:t>Youth Allowance</w:t>
      </w:r>
    </w:p>
    <w:p w14:paraId="574AD105" w14:textId="77777777" w:rsidR="00FA2186" w:rsidRPr="00621F78" w:rsidRDefault="00FA2186" w:rsidP="00FA2186">
      <w:pPr>
        <w:pStyle w:val="ListParagraph"/>
        <w:numPr>
          <w:ilvl w:val="0"/>
          <w:numId w:val="40"/>
        </w:numPr>
        <w:rPr>
          <w:rFonts w:ascii="Verdana" w:hAnsi="Verdana"/>
        </w:rPr>
      </w:pPr>
      <w:r w:rsidRPr="00621F78">
        <w:rPr>
          <w:rFonts w:ascii="Verdana" w:hAnsi="Verdana"/>
        </w:rPr>
        <w:t>Austudy</w:t>
      </w:r>
    </w:p>
    <w:p w14:paraId="6C4196C3" w14:textId="77777777" w:rsidR="00FA2186" w:rsidRPr="00621F78" w:rsidRDefault="00FA2186" w:rsidP="00FA2186">
      <w:pPr>
        <w:pStyle w:val="ListParagraph"/>
        <w:numPr>
          <w:ilvl w:val="0"/>
          <w:numId w:val="40"/>
        </w:numPr>
        <w:rPr>
          <w:rFonts w:ascii="Verdana" w:hAnsi="Verdana"/>
        </w:rPr>
      </w:pPr>
      <w:r w:rsidRPr="00621F78">
        <w:rPr>
          <w:rFonts w:ascii="Verdana" w:hAnsi="Verdana"/>
        </w:rPr>
        <w:t>Abstudy</w:t>
      </w:r>
    </w:p>
    <w:p w14:paraId="2B41B0E6" w14:textId="77777777" w:rsidR="00FA2186" w:rsidRPr="00621F78" w:rsidRDefault="00FA2186" w:rsidP="00FA2186">
      <w:pPr>
        <w:pStyle w:val="ListParagraph"/>
        <w:numPr>
          <w:ilvl w:val="0"/>
          <w:numId w:val="40"/>
        </w:numPr>
        <w:rPr>
          <w:rFonts w:ascii="Verdana" w:hAnsi="Verdana"/>
        </w:rPr>
      </w:pPr>
      <w:r w:rsidRPr="00621F78">
        <w:rPr>
          <w:rFonts w:ascii="Verdana" w:hAnsi="Verdana"/>
        </w:rPr>
        <w:t>Special Benefit</w:t>
      </w:r>
    </w:p>
    <w:p w14:paraId="122C3D5A" w14:textId="77777777" w:rsidR="00FA2186" w:rsidRPr="00621F78" w:rsidRDefault="00FA2186" w:rsidP="00FA2186">
      <w:pPr>
        <w:pStyle w:val="ListParagraph"/>
        <w:numPr>
          <w:ilvl w:val="0"/>
          <w:numId w:val="40"/>
        </w:numPr>
        <w:rPr>
          <w:rFonts w:ascii="Verdana" w:hAnsi="Verdana"/>
        </w:rPr>
      </w:pPr>
      <w:r w:rsidRPr="00621F78">
        <w:rPr>
          <w:rFonts w:ascii="Verdana" w:hAnsi="Verdana"/>
        </w:rPr>
        <w:t>Crisis Payment</w:t>
      </w:r>
    </w:p>
    <w:p w14:paraId="463A5859" w14:textId="77777777" w:rsidR="00FA2186" w:rsidRPr="00621F78" w:rsidRDefault="00FA2186" w:rsidP="00FA2186">
      <w:pPr>
        <w:pStyle w:val="ListParagraph"/>
        <w:numPr>
          <w:ilvl w:val="0"/>
          <w:numId w:val="40"/>
        </w:numPr>
        <w:rPr>
          <w:rFonts w:ascii="Verdana" w:hAnsi="Verdana"/>
        </w:rPr>
      </w:pPr>
      <w:r w:rsidRPr="00621F78">
        <w:rPr>
          <w:rFonts w:ascii="Verdana" w:hAnsi="Verdana"/>
        </w:rPr>
        <w:t>Parenting Payment</w:t>
      </w:r>
    </w:p>
    <w:p w14:paraId="7A6E94DD" w14:textId="13D0F1BE" w:rsidR="009D0855" w:rsidRPr="00621F78" w:rsidRDefault="00BC5242" w:rsidP="009D0855">
      <w:pPr>
        <w:pStyle w:val="ListParagraph"/>
        <w:numPr>
          <w:ilvl w:val="0"/>
          <w:numId w:val="40"/>
        </w:numPr>
        <w:rPr>
          <w:rFonts w:ascii="Verdana" w:hAnsi="Verdana"/>
        </w:rPr>
      </w:pPr>
      <w:r w:rsidRPr="00621F78">
        <w:rPr>
          <w:rFonts w:ascii="Verdana" w:hAnsi="Verdana"/>
        </w:rPr>
        <w:t>Commonwealth Rent Assistance</w:t>
      </w:r>
    </w:p>
    <w:p w14:paraId="5D86CDAD" w14:textId="07313946" w:rsidR="00225E85" w:rsidRPr="004B1503" w:rsidRDefault="009D0855" w:rsidP="00334B48">
      <w:pPr>
        <w:rPr>
          <w:b/>
          <w:lang w:val="en-AU"/>
        </w:rPr>
      </w:pPr>
      <w:r w:rsidRPr="00621F78">
        <w:rPr>
          <w:lang w:val="en-AU"/>
        </w:rPr>
        <w:t>In addition to aligning allowance and pension rates, supplements should be introduced to recognise the cost of disability and single parenthood and thereby ensure the basic living costs faced by these households are factored into payments.</w:t>
      </w:r>
      <w:r w:rsidR="00225E85" w:rsidRPr="00621F78">
        <w:rPr>
          <w:lang w:val="en-AU"/>
        </w:rPr>
        <w:t xml:space="preserve"> </w:t>
      </w:r>
    </w:p>
    <w:p w14:paraId="7751F194" w14:textId="17DA03F2" w:rsidR="00A7268C" w:rsidRPr="00621F78" w:rsidRDefault="00A7268C" w:rsidP="00621F78">
      <w:pPr>
        <w:pStyle w:val="Heading3"/>
        <w:rPr>
          <w:b/>
          <w:lang w:val="en-AU"/>
        </w:rPr>
      </w:pPr>
      <w:r w:rsidRPr="00621F78">
        <w:rPr>
          <w:b/>
          <w:lang w:val="en-AU"/>
        </w:rPr>
        <w:t>Lift Commonwealth Rent Assistance by 50%</w:t>
      </w:r>
    </w:p>
    <w:p w14:paraId="7F0F5E66" w14:textId="5FB35BFC" w:rsidR="008E54DE" w:rsidRPr="00621F78" w:rsidRDefault="00225E85" w:rsidP="00621F78">
      <w:pPr>
        <w:rPr>
          <w:lang w:val="en-AU"/>
        </w:rPr>
      </w:pPr>
      <w:r w:rsidRPr="00621F78">
        <w:rPr>
          <w:lang w:val="en-AU"/>
        </w:rPr>
        <w:t>We propose that maximum rates of Commonwealth Rent Assistance be increased by 50% so that</w:t>
      </w:r>
      <w:r w:rsidR="00A7268C" w:rsidRPr="00621F78">
        <w:rPr>
          <w:lang w:val="en-AU"/>
        </w:rPr>
        <w:t xml:space="preserve"> </w:t>
      </w:r>
      <w:r w:rsidR="00D85502" w:rsidRPr="00621F78">
        <w:rPr>
          <w:lang w:val="en-AU"/>
        </w:rPr>
        <w:t>they better reflect</w:t>
      </w:r>
      <w:r w:rsidR="00A7268C" w:rsidRPr="00621F78">
        <w:rPr>
          <w:lang w:val="en-AU"/>
        </w:rPr>
        <w:t xml:space="preserve"> minimum rents paid by people on low incomes. Current rates of </w:t>
      </w:r>
      <w:r w:rsidR="00D85502">
        <w:rPr>
          <w:lang w:val="en-AU"/>
        </w:rPr>
        <w:t>CRA</w:t>
      </w:r>
      <w:r w:rsidR="00A7268C" w:rsidRPr="00621F78">
        <w:rPr>
          <w:lang w:val="en-AU"/>
        </w:rPr>
        <w:t xml:space="preserve"> offer little help to people with low incomes facing the highest rents, especially in our larger capital cities.</w:t>
      </w:r>
      <w:r w:rsidR="00C46221" w:rsidRPr="00621F78">
        <w:rPr>
          <w:lang w:val="en-AU"/>
        </w:rPr>
        <w:t xml:space="preserve"> </w:t>
      </w:r>
      <w:r w:rsidR="00A7268C" w:rsidRPr="00621F78">
        <w:rPr>
          <w:lang w:val="en-AU"/>
        </w:rPr>
        <w:t xml:space="preserve">This is freezing people with low incomes out of places where employment opportunities have grown the strongest, and forcing those who remain there to live with family (often with parents long after </w:t>
      </w:r>
      <w:r w:rsidR="00A7268C" w:rsidRPr="00621F78">
        <w:rPr>
          <w:lang w:val="en-AU"/>
        </w:rPr>
        <w:lastRenderedPageBreak/>
        <w:t>people reach adulthood) or in sub-standard accommodation in the ‘informal’ rental sector.</w:t>
      </w:r>
    </w:p>
    <w:p w14:paraId="0BA55AF4" w14:textId="7EDCBC7E" w:rsidR="008E54DE" w:rsidRPr="00621F78" w:rsidRDefault="008E54DE" w:rsidP="00621F78">
      <w:pPr>
        <w:rPr>
          <w:lang w:val="en-AU"/>
        </w:rPr>
      </w:pPr>
      <w:r w:rsidRPr="00621F78">
        <w:rPr>
          <w:lang w:val="en-AU"/>
        </w:rPr>
        <w:t>Rather than an arbitrary one-off increase, we propo</w:t>
      </w:r>
      <w:r w:rsidR="00A05A5A" w:rsidRPr="00621F78">
        <w:rPr>
          <w:lang w:val="en-AU"/>
        </w:rPr>
        <w:t>se that maximum rates of CRA be</w:t>
      </w:r>
      <w:r w:rsidRPr="00621F78">
        <w:rPr>
          <w:lang w:val="en-AU"/>
        </w:rPr>
        <w:t xml:space="preserve"> benchmarked to minimum rents, for dwellings of appropriate size, available in the formal rental market in Sydney, Melbourne and Brisbane. In recognition that many other parts of Australia have high median rents, the higher maximum rates would not be restricted to residents in those cities. Rather, rents in those three cities (which together comprise the majority of rental dwellings across the country) would be used for benchmarking purposes.</w:t>
      </w:r>
    </w:p>
    <w:p w14:paraId="6723B495" w14:textId="753827D4" w:rsidR="008E54DE" w:rsidRPr="00621F78" w:rsidRDefault="008E54DE" w:rsidP="00621F78">
      <w:pPr>
        <w:rPr>
          <w:lang w:val="en-AU"/>
        </w:rPr>
      </w:pPr>
      <w:r w:rsidRPr="00621F78">
        <w:rPr>
          <w:lang w:val="en-AU"/>
        </w:rPr>
        <w:t>This benchmarking shows that a 50% increase to the maximum rates is the minimum required to bring CRA up to a more acceptable</w:t>
      </w:r>
      <w:r w:rsidR="00D85502">
        <w:rPr>
          <w:lang w:val="en-AU"/>
        </w:rPr>
        <w:t xml:space="preserve"> level</w:t>
      </w:r>
      <w:r w:rsidR="00195153" w:rsidRPr="00621F78">
        <w:rPr>
          <w:lang w:val="en-AU"/>
        </w:rPr>
        <w:t xml:space="preserve"> (see tabl</w:t>
      </w:r>
      <w:r w:rsidR="00A05A5A" w:rsidRPr="00621F78">
        <w:rPr>
          <w:lang w:val="en-AU"/>
        </w:rPr>
        <w:t>e below).</w:t>
      </w:r>
    </w:p>
    <w:p w14:paraId="046CA387" w14:textId="4F565CE2" w:rsidR="002D206F" w:rsidRPr="00621F78" w:rsidRDefault="002D206F" w:rsidP="00621F78">
      <w:pPr>
        <w:pStyle w:val="Heading3"/>
        <w:rPr>
          <w:b/>
          <w:lang w:val="en-AU"/>
        </w:rPr>
      </w:pPr>
      <w:r w:rsidRPr="00621F78">
        <w:rPr>
          <w:b/>
          <w:lang w:val="en-AU"/>
        </w:rPr>
        <w:t>Budget standards estimates for rents for unemployed (Mar 2016 -$pw)</w:t>
      </w:r>
    </w:p>
    <w:tbl>
      <w:tblPr>
        <w:tblpPr w:leftFromText="181" w:rightFromText="181" w:vertAnchor="text" w:tblpY="1"/>
        <w:tblOverlap w:val="never"/>
        <w:tblW w:w="991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10"/>
        <w:gridCol w:w="1069"/>
        <w:gridCol w:w="1201"/>
        <w:gridCol w:w="1097"/>
        <w:gridCol w:w="1559"/>
        <w:gridCol w:w="1559"/>
        <w:gridCol w:w="1418"/>
      </w:tblGrid>
      <w:tr w:rsidR="00D0538F" w:rsidRPr="004B1503" w14:paraId="460A6339" w14:textId="77777777" w:rsidTr="00D0538F">
        <w:trPr>
          <w:trHeight w:val="662"/>
        </w:trPr>
        <w:tc>
          <w:tcPr>
            <w:tcW w:w="2010" w:type="dxa"/>
            <w:tcMar>
              <w:top w:w="0" w:type="dxa"/>
              <w:left w:w="108" w:type="dxa"/>
              <w:bottom w:w="0" w:type="dxa"/>
              <w:right w:w="108" w:type="dxa"/>
            </w:tcMar>
            <w:hideMark/>
          </w:tcPr>
          <w:p w14:paraId="543F56C3" w14:textId="35DD2D13" w:rsidR="002D206F" w:rsidRPr="004B1503" w:rsidRDefault="00D85502" w:rsidP="004B1503">
            <w:pPr>
              <w:pStyle w:val="NoSpacing"/>
              <w:rPr>
                <w:sz w:val="20"/>
                <w:szCs w:val="20"/>
                <w:lang w:val="en-AU"/>
              </w:rPr>
            </w:pPr>
            <w:r w:rsidRPr="004B1503">
              <w:rPr>
                <w:sz w:val="20"/>
                <w:szCs w:val="20"/>
                <w:lang w:val="en-AU"/>
              </w:rPr>
              <w:t>Household</w:t>
            </w:r>
            <w:r w:rsidR="002D206F" w:rsidRPr="004B1503">
              <w:rPr>
                <w:sz w:val="20"/>
                <w:szCs w:val="20"/>
                <w:lang w:val="en-AU"/>
              </w:rPr>
              <w:t xml:space="preserve"> size</w:t>
            </w:r>
          </w:p>
        </w:tc>
        <w:tc>
          <w:tcPr>
            <w:tcW w:w="1069" w:type="dxa"/>
            <w:tcMar>
              <w:top w:w="0" w:type="dxa"/>
              <w:left w:w="108" w:type="dxa"/>
              <w:bottom w:w="0" w:type="dxa"/>
              <w:right w:w="108" w:type="dxa"/>
            </w:tcMar>
            <w:hideMark/>
          </w:tcPr>
          <w:p w14:paraId="1CF063A3" w14:textId="77777777" w:rsidR="002D206F" w:rsidRPr="004B1503" w:rsidRDefault="002D206F" w:rsidP="004B1503">
            <w:pPr>
              <w:pStyle w:val="NoSpacing"/>
              <w:rPr>
                <w:sz w:val="20"/>
                <w:szCs w:val="20"/>
                <w:lang w:val="en-AU"/>
              </w:rPr>
            </w:pPr>
            <w:r w:rsidRPr="004B1503">
              <w:rPr>
                <w:sz w:val="20"/>
                <w:szCs w:val="20"/>
                <w:lang w:val="en-AU"/>
              </w:rPr>
              <w:t>Dwelling size</w:t>
            </w:r>
          </w:p>
        </w:tc>
        <w:tc>
          <w:tcPr>
            <w:tcW w:w="1201" w:type="dxa"/>
            <w:tcMar>
              <w:top w:w="0" w:type="dxa"/>
              <w:left w:w="108" w:type="dxa"/>
              <w:bottom w:w="0" w:type="dxa"/>
              <w:right w:w="108" w:type="dxa"/>
            </w:tcMar>
            <w:hideMark/>
          </w:tcPr>
          <w:p w14:paraId="4D2B342A" w14:textId="77777777" w:rsidR="002D206F" w:rsidRPr="004B1503" w:rsidRDefault="002D206F" w:rsidP="004B1503">
            <w:pPr>
              <w:pStyle w:val="NoSpacing"/>
              <w:rPr>
                <w:sz w:val="20"/>
                <w:szCs w:val="20"/>
                <w:lang w:val="en-AU"/>
              </w:rPr>
            </w:pPr>
            <w:r w:rsidRPr="004B1503">
              <w:rPr>
                <w:sz w:val="20"/>
                <w:szCs w:val="20"/>
                <w:lang w:val="en-AU"/>
              </w:rPr>
              <w:t>Weekly rent*</w:t>
            </w:r>
          </w:p>
        </w:tc>
        <w:tc>
          <w:tcPr>
            <w:tcW w:w="1097" w:type="dxa"/>
            <w:tcMar>
              <w:top w:w="0" w:type="dxa"/>
              <w:left w:w="108" w:type="dxa"/>
              <w:bottom w:w="0" w:type="dxa"/>
              <w:right w:w="108" w:type="dxa"/>
            </w:tcMar>
            <w:hideMark/>
          </w:tcPr>
          <w:p w14:paraId="0D7D01D5" w14:textId="77777777" w:rsidR="002D206F" w:rsidRPr="004B1503" w:rsidRDefault="002D206F" w:rsidP="004B1503">
            <w:pPr>
              <w:pStyle w:val="NoSpacing"/>
              <w:rPr>
                <w:sz w:val="20"/>
                <w:szCs w:val="20"/>
                <w:lang w:val="en-AU"/>
              </w:rPr>
            </w:pPr>
            <w:r w:rsidRPr="004B1503">
              <w:rPr>
                <w:sz w:val="20"/>
                <w:szCs w:val="20"/>
                <w:lang w:val="en-AU"/>
              </w:rPr>
              <w:t>Weekly rent*</w:t>
            </w:r>
          </w:p>
          <w:p w14:paraId="0FBC024D" w14:textId="77777777" w:rsidR="002D206F" w:rsidRPr="004B1503" w:rsidRDefault="002D206F" w:rsidP="004B1503">
            <w:pPr>
              <w:pStyle w:val="NoSpacing"/>
              <w:rPr>
                <w:sz w:val="20"/>
                <w:szCs w:val="20"/>
                <w:lang w:val="en-AU"/>
              </w:rPr>
            </w:pPr>
            <w:r w:rsidRPr="004B1503">
              <w:rPr>
                <w:sz w:val="20"/>
                <w:szCs w:val="20"/>
                <w:lang w:val="en-AU"/>
              </w:rPr>
              <w:t>(2020)#</w:t>
            </w:r>
          </w:p>
        </w:tc>
        <w:tc>
          <w:tcPr>
            <w:tcW w:w="1559" w:type="dxa"/>
            <w:tcMar>
              <w:top w:w="0" w:type="dxa"/>
              <w:left w:w="108" w:type="dxa"/>
              <w:bottom w:w="0" w:type="dxa"/>
              <w:right w:w="108" w:type="dxa"/>
            </w:tcMar>
            <w:hideMark/>
          </w:tcPr>
          <w:p w14:paraId="3AB1071C" w14:textId="77777777" w:rsidR="002D206F" w:rsidRPr="004B1503" w:rsidRDefault="002D206F" w:rsidP="004B1503">
            <w:pPr>
              <w:pStyle w:val="NoSpacing"/>
              <w:rPr>
                <w:sz w:val="20"/>
                <w:szCs w:val="20"/>
                <w:lang w:val="en-AU"/>
              </w:rPr>
            </w:pPr>
            <w:r w:rsidRPr="004B1503">
              <w:rPr>
                <w:sz w:val="20"/>
                <w:szCs w:val="20"/>
                <w:lang w:val="en-AU"/>
              </w:rPr>
              <w:t>CRA max  weekly rent (2020)</w:t>
            </w:r>
          </w:p>
        </w:tc>
        <w:tc>
          <w:tcPr>
            <w:tcW w:w="1559" w:type="dxa"/>
            <w:tcMar>
              <w:top w:w="0" w:type="dxa"/>
              <w:left w:w="108" w:type="dxa"/>
              <w:bottom w:w="0" w:type="dxa"/>
              <w:right w:w="108" w:type="dxa"/>
            </w:tcMar>
            <w:hideMark/>
          </w:tcPr>
          <w:p w14:paraId="346A8D6C" w14:textId="77777777" w:rsidR="002D206F" w:rsidRPr="004B1503" w:rsidRDefault="002D206F" w:rsidP="004B1503">
            <w:pPr>
              <w:pStyle w:val="NoSpacing"/>
              <w:rPr>
                <w:sz w:val="20"/>
                <w:szCs w:val="20"/>
                <w:lang w:val="en-AU"/>
              </w:rPr>
            </w:pPr>
            <w:r w:rsidRPr="004B1503">
              <w:rPr>
                <w:sz w:val="20"/>
                <w:szCs w:val="20"/>
                <w:lang w:val="en-AU"/>
              </w:rPr>
              <w:t>Increase (%) in max CRA rent (2020)</w:t>
            </w:r>
          </w:p>
        </w:tc>
        <w:tc>
          <w:tcPr>
            <w:tcW w:w="1418" w:type="dxa"/>
            <w:tcMar>
              <w:top w:w="0" w:type="dxa"/>
              <w:left w:w="108" w:type="dxa"/>
              <w:bottom w:w="0" w:type="dxa"/>
              <w:right w:w="108" w:type="dxa"/>
            </w:tcMar>
            <w:hideMark/>
          </w:tcPr>
          <w:p w14:paraId="76C03050" w14:textId="77777777" w:rsidR="002D206F" w:rsidRPr="004B1503" w:rsidRDefault="002D206F" w:rsidP="004B1503">
            <w:pPr>
              <w:pStyle w:val="NoSpacing"/>
              <w:rPr>
                <w:sz w:val="20"/>
                <w:szCs w:val="20"/>
                <w:lang w:val="en-AU"/>
              </w:rPr>
            </w:pPr>
            <w:r w:rsidRPr="004B1503">
              <w:rPr>
                <w:sz w:val="20"/>
                <w:szCs w:val="20"/>
                <w:lang w:val="en-AU"/>
              </w:rPr>
              <w:t>Increase in max weekly CRA (2020)^</w:t>
            </w:r>
          </w:p>
        </w:tc>
      </w:tr>
      <w:tr w:rsidR="00D0538F" w:rsidRPr="004B1503" w14:paraId="17FCDD62" w14:textId="77777777" w:rsidTr="00D0538F">
        <w:trPr>
          <w:trHeight w:val="442"/>
        </w:trPr>
        <w:tc>
          <w:tcPr>
            <w:tcW w:w="2010" w:type="dxa"/>
            <w:tcMar>
              <w:top w:w="0" w:type="dxa"/>
              <w:left w:w="108" w:type="dxa"/>
              <w:bottom w:w="0" w:type="dxa"/>
              <w:right w:w="108" w:type="dxa"/>
            </w:tcMar>
            <w:hideMark/>
          </w:tcPr>
          <w:p w14:paraId="178D6CC8" w14:textId="77777777" w:rsidR="002D206F" w:rsidRPr="004B1503" w:rsidRDefault="002D206F" w:rsidP="004B1503">
            <w:pPr>
              <w:pStyle w:val="NoSpacing"/>
              <w:rPr>
                <w:sz w:val="20"/>
                <w:szCs w:val="20"/>
                <w:lang w:val="en-AU"/>
              </w:rPr>
            </w:pPr>
            <w:r w:rsidRPr="004B1503">
              <w:rPr>
                <w:sz w:val="20"/>
                <w:szCs w:val="20"/>
                <w:lang w:val="en-AU"/>
              </w:rPr>
              <w:t>Single</w:t>
            </w:r>
          </w:p>
        </w:tc>
        <w:tc>
          <w:tcPr>
            <w:tcW w:w="1069" w:type="dxa"/>
            <w:tcMar>
              <w:top w:w="0" w:type="dxa"/>
              <w:left w:w="108" w:type="dxa"/>
              <w:bottom w:w="0" w:type="dxa"/>
              <w:right w:w="108" w:type="dxa"/>
            </w:tcMar>
            <w:hideMark/>
          </w:tcPr>
          <w:p w14:paraId="2792FDCA" w14:textId="77777777" w:rsidR="002D206F" w:rsidRPr="004B1503" w:rsidRDefault="002D206F" w:rsidP="004B1503">
            <w:pPr>
              <w:pStyle w:val="NoSpacing"/>
              <w:rPr>
                <w:sz w:val="20"/>
                <w:szCs w:val="20"/>
                <w:lang w:val="en-AU"/>
              </w:rPr>
            </w:pPr>
            <w:r w:rsidRPr="004B1503">
              <w:rPr>
                <w:sz w:val="20"/>
                <w:szCs w:val="20"/>
                <w:lang w:val="en-AU"/>
              </w:rPr>
              <w:t>1brm unit</w:t>
            </w:r>
          </w:p>
        </w:tc>
        <w:tc>
          <w:tcPr>
            <w:tcW w:w="1201" w:type="dxa"/>
            <w:tcMar>
              <w:top w:w="0" w:type="dxa"/>
              <w:left w:w="108" w:type="dxa"/>
              <w:bottom w:w="0" w:type="dxa"/>
              <w:right w:w="108" w:type="dxa"/>
            </w:tcMar>
            <w:hideMark/>
          </w:tcPr>
          <w:p w14:paraId="4D1EECA6" w14:textId="77777777" w:rsidR="002D206F" w:rsidRPr="004B1503" w:rsidRDefault="002D206F" w:rsidP="004B1503">
            <w:pPr>
              <w:pStyle w:val="NoSpacing"/>
              <w:rPr>
                <w:sz w:val="20"/>
                <w:szCs w:val="20"/>
                <w:lang w:val="en-AU"/>
              </w:rPr>
            </w:pPr>
            <w:r w:rsidRPr="004B1503">
              <w:rPr>
                <w:sz w:val="20"/>
                <w:szCs w:val="20"/>
                <w:lang w:val="en-AU"/>
              </w:rPr>
              <w:t>$223</w:t>
            </w:r>
          </w:p>
        </w:tc>
        <w:tc>
          <w:tcPr>
            <w:tcW w:w="1097" w:type="dxa"/>
            <w:tcMar>
              <w:top w:w="0" w:type="dxa"/>
              <w:left w:w="108" w:type="dxa"/>
              <w:bottom w:w="0" w:type="dxa"/>
              <w:right w:w="108" w:type="dxa"/>
            </w:tcMar>
            <w:hideMark/>
          </w:tcPr>
          <w:p w14:paraId="366973F9" w14:textId="77777777" w:rsidR="002D206F" w:rsidRPr="004B1503" w:rsidRDefault="002D206F" w:rsidP="004B1503">
            <w:pPr>
              <w:pStyle w:val="NoSpacing"/>
              <w:rPr>
                <w:sz w:val="20"/>
                <w:szCs w:val="20"/>
                <w:lang w:val="en-AU"/>
              </w:rPr>
            </w:pPr>
            <w:r w:rsidRPr="004B1503">
              <w:rPr>
                <w:sz w:val="20"/>
                <w:szCs w:val="20"/>
                <w:lang w:val="en-AU"/>
              </w:rPr>
              <w:t>$232</w:t>
            </w:r>
          </w:p>
        </w:tc>
        <w:tc>
          <w:tcPr>
            <w:tcW w:w="1559" w:type="dxa"/>
            <w:tcMar>
              <w:top w:w="0" w:type="dxa"/>
              <w:left w:w="108" w:type="dxa"/>
              <w:bottom w:w="0" w:type="dxa"/>
              <w:right w:w="108" w:type="dxa"/>
            </w:tcMar>
            <w:hideMark/>
          </w:tcPr>
          <w:p w14:paraId="0692DEDE" w14:textId="77777777" w:rsidR="002D206F" w:rsidRPr="004B1503" w:rsidRDefault="002D206F" w:rsidP="004B1503">
            <w:pPr>
              <w:pStyle w:val="NoSpacing"/>
              <w:rPr>
                <w:sz w:val="20"/>
                <w:szCs w:val="20"/>
                <w:lang w:val="en-AU"/>
              </w:rPr>
            </w:pPr>
            <w:r w:rsidRPr="004B1503">
              <w:rPr>
                <w:sz w:val="20"/>
                <w:szCs w:val="20"/>
                <w:lang w:val="en-AU"/>
              </w:rPr>
              <w:t>$155</w:t>
            </w:r>
          </w:p>
          <w:p w14:paraId="4B7CA218" w14:textId="77777777" w:rsidR="002D206F" w:rsidRPr="004B1503" w:rsidRDefault="002D206F" w:rsidP="004B1503">
            <w:pPr>
              <w:pStyle w:val="NoSpacing"/>
              <w:rPr>
                <w:sz w:val="20"/>
                <w:szCs w:val="20"/>
                <w:lang w:val="en-AU"/>
              </w:rPr>
            </w:pPr>
            <w:r w:rsidRPr="004B1503">
              <w:rPr>
                <w:sz w:val="20"/>
                <w:szCs w:val="20"/>
                <w:lang w:val="en-AU"/>
              </w:rPr>
              <w:t> </w:t>
            </w:r>
          </w:p>
        </w:tc>
        <w:tc>
          <w:tcPr>
            <w:tcW w:w="1559" w:type="dxa"/>
            <w:tcMar>
              <w:top w:w="0" w:type="dxa"/>
              <w:left w:w="108" w:type="dxa"/>
              <w:bottom w:w="0" w:type="dxa"/>
              <w:right w:w="108" w:type="dxa"/>
            </w:tcMar>
            <w:hideMark/>
          </w:tcPr>
          <w:p w14:paraId="07635C72" w14:textId="77777777" w:rsidR="002D206F" w:rsidRPr="004B1503" w:rsidRDefault="002D206F" w:rsidP="004B1503">
            <w:pPr>
              <w:pStyle w:val="NoSpacing"/>
              <w:rPr>
                <w:sz w:val="20"/>
                <w:szCs w:val="20"/>
                <w:lang w:val="en-AU"/>
              </w:rPr>
            </w:pPr>
            <w:r w:rsidRPr="004B1503">
              <w:rPr>
                <w:sz w:val="20"/>
                <w:szCs w:val="20"/>
                <w:lang w:val="en-AU"/>
              </w:rPr>
              <w:t>1.49</w:t>
            </w:r>
          </w:p>
          <w:p w14:paraId="09DE4035" w14:textId="77777777" w:rsidR="002D206F" w:rsidRPr="004B1503" w:rsidRDefault="002D206F" w:rsidP="004B1503">
            <w:pPr>
              <w:pStyle w:val="NoSpacing"/>
              <w:rPr>
                <w:sz w:val="20"/>
                <w:szCs w:val="20"/>
                <w:lang w:val="en-AU"/>
              </w:rPr>
            </w:pPr>
            <w:r w:rsidRPr="004B1503">
              <w:rPr>
                <w:sz w:val="20"/>
                <w:szCs w:val="20"/>
                <w:lang w:val="en-AU"/>
              </w:rPr>
              <w:t> </w:t>
            </w:r>
          </w:p>
        </w:tc>
        <w:tc>
          <w:tcPr>
            <w:tcW w:w="1418" w:type="dxa"/>
            <w:tcMar>
              <w:top w:w="0" w:type="dxa"/>
              <w:left w:w="108" w:type="dxa"/>
              <w:bottom w:w="0" w:type="dxa"/>
              <w:right w:w="108" w:type="dxa"/>
            </w:tcMar>
            <w:hideMark/>
          </w:tcPr>
          <w:p w14:paraId="2E51ECF9" w14:textId="77777777" w:rsidR="002D206F" w:rsidRPr="004B1503" w:rsidRDefault="002D206F" w:rsidP="004B1503">
            <w:pPr>
              <w:pStyle w:val="NoSpacing"/>
              <w:rPr>
                <w:sz w:val="20"/>
                <w:szCs w:val="20"/>
                <w:lang w:val="en-AU"/>
              </w:rPr>
            </w:pPr>
            <w:r w:rsidRPr="004B1503">
              <w:rPr>
                <w:sz w:val="20"/>
                <w:szCs w:val="20"/>
                <w:lang w:val="en-AU"/>
              </w:rPr>
              <w:t>$59</w:t>
            </w:r>
          </w:p>
        </w:tc>
      </w:tr>
      <w:tr w:rsidR="00D0538F" w:rsidRPr="004B1503" w14:paraId="06E0FE87" w14:textId="77777777" w:rsidTr="00D0538F">
        <w:trPr>
          <w:trHeight w:val="865"/>
        </w:trPr>
        <w:tc>
          <w:tcPr>
            <w:tcW w:w="2010" w:type="dxa"/>
            <w:tcMar>
              <w:top w:w="0" w:type="dxa"/>
              <w:left w:w="108" w:type="dxa"/>
              <w:bottom w:w="0" w:type="dxa"/>
              <w:right w:w="108" w:type="dxa"/>
            </w:tcMar>
            <w:hideMark/>
          </w:tcPr>
          <w:p w14:paraId="5AC5B2AB" w14:textId="77777777" w:rsidR="002D206F" w:rsidRPr="004B1503" w:rsidRDefault="002D206F" w:rsidP="004B1503">
            <w:pPr>
              <w:pStyle w:val="NoSpacing"/>
              <w:rPr>
                <w:sz w:val="20"/>
                <w:szCs w:val="20"/>
                <w:lang w:val="en-AU"/>
              </w:rPr>
            </w:pPr>
            <w:r w:rsidRPr="004B1503">
              <w:rPr>
                <w:sz w:val="20"/>
                <w:szCs w:val="20"/>
                <w:lang w:val="en-AU"/>
              </w:rPr>
              <w:t xml:space="preserve">Couple no </w:t>
            </w:r>
            <w:proofErr w:type="spellStart"/>
            <w:r w:rsidRPr="004B1503">
              <w:rPr>
                <w:sz w:val="20"/>
                <w:szCs w:val="20"/>
                <w:lang w:val="en-AU"/>
              </w:rPr>
              <w:t>chn</w:t>
            </w:r>
            <w:proofErr w:type="spellEnd"/>
            <w:r w:rsidRPr="004B1503">
              <w:rPr>
                <w:sz w:val="20"/>
                <w:szCs w:val="20"/>
                <w:lang w:val="en-AU"/>
              </w:rPr>
              <w:t xml:space="preserve">, SP 1 </w:t>
            </w:r>
            <w:proofErr w:type="spellStart"/>
            <w:r w:rsidRPr="004B1503">
              <w:rPr>
                <w:sz w:val="20"/>
                <w:szCs w:val="20"/>
                <w:lang w:val="en-AU"/>
              </w:rPr>
              <w:t>ch</w:t>
            </w:r>
            <w:proofErr w:type="spellEnd"/>
            <w:r w:rsidRPr="004B1503">
              <w:rPr>
                <w:sz w:val="20"/>
                <w:szCs w:val="20"/>
                <w:lang w:val="en-AU"/>
              </w:rPr>
              <w:t xml:space="preserve">, </w:t>
            </w:r>
            <w:proofErr w:type="spellStart"/>
            <w:r w:rsidRPr="004B1503">
              <w:rPr>
                <w:sz w:val="20"/>
                <w:szCs w:val="20"/>
                <w:lang w:val="en-AU"/>
              </w:rPr>
              <w:t>cpl</w:t>
            </w:r>
            <w:proofErr w:type="spellEnd"/>
            <w:r w:rsidRPr="004B1503">
              <w:rPr>
                <w:sz w:val="20"/>
                <w:szCs w:val="20"/>
                <w:lang w:val="en-AU"/>
              </w:rPr>
              <w:t xml:space="preserve"> 1ch</w:t>
            </w:r>
          </w:p>
        </w:tc>
        <w:tc>
          <w:tcPr>
            <w:tcW w:w="1069" w:type="dxa"/>
            <w:tcMar>
              <w:top w:w="0" w:type="dxa"/>
              <w:left w:w="108" w:type="dxa"/>
              <w:bottom w:w="0" w:type="dxa"/>
              <w:right w:w="108" w:type="dxa"/>
            </w:tcMar>
            <w:hideMark/>
          </w:tcPr>
          <w:p w14:paraId="6D64418E" w14:textId="77777777" w:rsidR="002D206F" w:rsidRPr="004B1503" w:rsidRDefault="002D206F" w:rsidP="004B1503">
            <w:pPr>
              <w:pStyle w:val="NoSpacing"/>
              <w:rPr>
                <w:sz w:val="20"/>
                <w:szCs w:val="20"/>
                <w:lang w:val="en-AU"/>
              </w:rPr>
            </w:pPr>
            <w:r w:rsidRPr="004B1503">
              <w:rPr>
                <w:sz w:val="20"/>
                <w:szCs w:val="20"/>
                <w:lang w:val="en-AU"/>
              </w:rPr>
              <w:t>2brm unit</w:t>
            </w:r>
          </w:p>
        </w:tc>
        <w:tc>
          <w:tcPr>
            <w:tcW w:w="1201" w:type="dxa"/>
            <w:tcMar>
              <w:top w:w="0" w:type="dxa"/>
              <w:left w:w="108" w:type="dxa"/>
              <w:bottom w:w="0" w:type="dxa"/>
              <w:right w:w="108" w:type="dxa"/>
            </w:tcMar>
            <w:hideMark/>
          </w:tcPr>
          <w:p w14:paraId="3A33D2F5" w14:textId="77777777" w:rsidR="002D206F" w:rsidRPr="004B1503" w:rsidRDefault="002D206F" w:rsidP="004B1503">
            <w:pPr>
              <w:pStyle w:val="NoSpacing"/>
              <w:rPr>
                <w:sz w:val="20"/>
                <w:szCs w:val="20"/>
                <w:lang w:val="en-AU"/>
              </w:rPr>
            </w:pPr>
            <w:r w:rsidRPr="004B1503">
              <w:rPr>
                <w:sz w:val="20"/>
                <w:szCs w:val="20"/>
                <w:lang w:val="en-AU"/>
              </w:rPr>
              <w:t>$297</w:t>
            </w:r>
          </w:p>
        </w:tc>
        <w:tc>
          <w:tcPr>
            <w:tcW w:w="1097" w:type="dxa"/>
            <w:tcMar>
              <w:top w:w="0" w:type="dxa"/>
              <w:left w:w="108" w:type="dxa"/>
              <w:bottom w:w="0" w:type="dxa"/>
              <w:right w:w="108" w:type="dxa"/>
            </w:tcMar>
            <w:hideMark/>
          </w:tcPr>
          <w:p w14:paraId="7130C9E8" w14:textId="77777777" w:rsidR="002D206F" w:rsidRPr="004B1503" w:rsidRDefault="002D206F" w:rsidP="004B1503">
            <w:pPr>
              <w:pStyle w:val="NoSpacing"/>
              <w:rPr>
                <w:sz w:val="20"/>
                <w:szCs w:val="20"/>
                <w:lang w:val="en-AU"/>
              </w:rPr>
            </w:pPr>
            <w:r w:rsidRPr="004B1503">
              <w:rPr>
                <w:sz w:val="20"/>
                <w:szCs w:val="20"/>
                <w:lang w:val="en-AU"/>
              </w:rPr>
              <w:t>$309</w:t>
            </w:r>
          </w:p>
        </w:tc>
        <w:tc>
          <w:tcPr>
            <w:tcW w:w="1559" w:type="dxa"/>
            <w:tcMar>
              <w:top w:w="0" w:type="dxa"/>
              <w:left w:w="108" w:type="dxa"/>
              <w:bottom w:w="0" w:type="dxa"/>
              <w:right w:w="108" w:type="dxa"/>
            </w:tcMar>
            <w:hideMark/>
          </w:tcPr>
          <w:p w14:paraId="77BEBF5D" w14:textId="77777777" w:rsidR="002D206F" w:rsidRPr="004B1503" w:rsidRDefault="002D206F" w:rsidP="004B1503">
            <w:pPr>
              <w:pStyle w:val="NoSpacing"/>
              <w:rPr>
                <w:sz w:val="20"/>
                <w:szCs w:val="20"/>
                <w:lang w:val="en-AU"/>
              </w:rPr>
            </w:pPr>
            <w:r w:rsidRPr="004B1503">
              <w:rPr>
                <w:sz w:val="20"/>
                <w:szCs w:val="20"/>
                <w:lang w:val="en-AU"/>
              </w:rPr>
              <w:t>$189+</w:t>
            </w:r>
          </w:p>
          <w:p w14:paraId="6BC05D2D" w14:textId="77777777" w:rsidR="002D206F" w:rsidRPr="004B1503" w:rsidRDefault="002D206F" w:rsidP="004B1503">
            <w:pPr>
              <w:pStyle w:val="NoSpacing"/>
              <w:rPr>
                <w:sz w:val="20"/>
                <w:szCs w:val="20"/>
                <w:lang w:val="en-AU"/>
              </w:rPr>
            </w:pPr>
            <w:r w:rsidRPr="004B1503">
              <w:rPr>
                <w:sz w:val="20"/>
                <w:szCs w:val="20"/>
                <w:lang w:val="en-AU"/>
              </w:rPr>
              <w:t> </w:t>
            </w:r>
          </w:p>
        </w:tc>
        <w:tc>
          <w:tcPr>
            <w:tcW w:w="1559" w:type="dxa"/>
            <w:tcMar>
              <w:top w:w="0" w:type="dxa"/>
              <w:left w:w="108" w:type="dxa"/>
              <w:bottom w:w="0" w:type="dxa"/>
              <w:right w:w="108" w:type="dxa"/>
            </w:tcMar>
            <w:hideMark/>
          </w:tcPr>
          <w:p w14:paraId="4DC37411" w14:textId="77777777" w:rsidR="002D206F" w:rsidRPr="004B1503" w:rsidRDefault="002D206F" w:rsidP="004B1503">
            <w:pPr>
              <w:pStyle w:val="NoSpacing"/>
              <w:rPr>
                <w:sz w:val="20"/>
                <w:szCs w:val="20"/>
                <w:lang w:val="en-AU"/>
              </w:rPr>
            </w:pPr>
            <w:r w:rsidRPr="004B1503">
              <w:rPr>
                <w:sz w:val="20"/>
                <w:szCs w:val="20"/>
                <w:lang w:val="en-AU"/>
              </w:rPr>
              <w:t>1.64</w:t>
            </w:r>
          </w:p>
          <w:p w14:paraId="5E489F98" w14:textId="77777777" w:rsidR="002D206F" w:rsidRPr="004B1503" w:rsidRDefault="002D206F" w:rsidP="004B1503">
            <w:pPr>
              <w:pStyle w:val="NoSpacing"/>
              <w:rPr>
                <w:sz w:val="20"/>
                <w:szCs w:val="20"/>
                <w:lang w:val="en-AU"/>
              </w:rPr>
            </w:pPr>
            <w:r w:rsidRPr="004B1503">
              <w:rPr>
                <w:sz w:val="20"/>
                <w:szCs w:val="20"/>
                <w:lang w:val="en-AU"/>
              </w:rPr>
              <w:t> </w:t>
            </w:r>
          </w:p>
        </w:tc>
        <w:tc>
          <w:tcPr>
            <w:tcW w:w="1418" w:type="dxa"/>
            <w:tcMar>
              <w:top w:w="0" w:type="dxa"/>
              <w:left w:w="108" w:type="dxa"/>
              <w:bottom w:w="0" w:type="dxa"/>
              <w:right w:w="108" w:type="dxa"/>
            </w:tcMar>
            <w:hideMark/>
          </w:tcPr>
          <w:p w14:paraId="231F67E2" w14:textId="77777777" w:rsidR="002D206F" w:rsidRPr="004B1503" w:rsidRDefault="002D206F" w:rsidP="004B1503">
            <w:pPr>
              <w:pStyle w:val="NoSpacing"/>
              <w:rPr>
                <w:sz w:val="20"/>
                <w:szCs w:val="20"/>
                <w:lang w:val="en-AU"/>
              </w:rPr>
            </w:pPr>
            <w:r w:rsidRPr="004B1503">
              <w:rPr>
                <w:sz w:val="20"/>
                <w:szCs w:val="20"/>
                <w:lang w:val="en-AU"/>
              </w:rPr>
              <w:t>$73</w:t>
            </w:r>
          </w:p>
        </w:tc>
      </w:tr>
      <w:tr w:rsidR="00D0538F" w:rsidRPr="004B1503" w14:paraId="0D2F0113" w14:textId="77777777" w:rsidTr="00D0538F">
        <w:trPr>
          <w:trHeight w:val="417"/>
        </w:trPr>
        <w:tc>
          <w:tcPr>
            <w:tcW w:w="2010" w:type="dxa"/>
            <w:tcMar>
              <w:top w:w="0" w:type="dxa"/>
              <w:left w:w="108" w:type="dxa"/>
              <w:bottom w:w="0" w:type="dxa"/>
              <w:right w:w="108" w:type="dxa"/>
            </w:tcMar>
            <w:hideMark/>
          </w:tcPr>
          <w:p w14:paraId="00914814" w14:textId="77777777" w:rsidR="002D206F" w:rsidRPr="004B1503" w:rsidRDefault="002D206F" w:rsidP="004B1503">
            <w:pPr>
              <w:pStyle w:val="NoSpacing"/>
              <w:rPr>
                <w:sz w:val="20"/>
                <w:szCs w:val="20"/>
                <w:lang w:val="en-AU"/>
              </w:rPr>
            </w:pPr>
            <w:r w:rsidRPr="004B1503">
              <w:rPr>
                <w:sz w:val="20"/>
                <w:szCs w:val="20"/>
                <w:lang w:val="en-AU"/>
              </w:rPr>
              <w:t xml:space="preserve">SP 2 </w:t>
            </w:r>
            <w:proofErr w:type="spellStart"/>
            <w:r w:rsidRPr="004B1503">
              <w:rPr>
                <w:sz w:val="20"/>
                <w:szCs w:val="20"/>
                <w:lang w:val="en-AU"/>
              </w:rPr>
              <w:t>ch</w:t>
            </w:r>
            <w:proofErr w:type="spellEnd"/>
            <w:r w:rsidRPr="004B1503">
              <w:rPr>
                <w:sz w:val="20"/>
                <w:szCs w:val="20"/>
                <w:lang w:val="en-AU"/>
              </w:rPr>
              <w:t xml:space="preserve">, Couple 2 </w:t>
            </w:r>
            <w:proofErr w:type="spellStart"/>
            <w:r w:rsidRPr="004B1503">
              <w:rPr>
                <w:sz w:val="20"/>
                <w:szCs w:val="20"/>
                <w:lang w:val="en-AU"/>
              </w:rPr>
              <w:t>chn</w:t>
            </w:r>
            <w:proofErr w:type="spellEnd"/>
            <w:r w:rsidRPr="004B1503">
              <w:rPr>
                <w:sz w:val="20"/>
                <w:szCs w:val="20"/>
                <w:lang w:val="en-AU"/>
              </w:rPr>
              <w:t>,</w:t>
            </w:r>
          </w:p>
        </w:tc>
        <w:tc>
          <w:tcPr>
            <w:tcW w:w="1069" w:type="dxa"/>
            <w:tcMar>
              <w:top w:w="0" w:type="dxa"/>
              <w:left w:w="108" w:type="dxa"/>
              <w:bottom w:w="0" w:type="dxa"/>
              <w:right w:w="108" w:type="dxa"/>
            </w:tcMar>
            <w:hideMark/>
          </w:tcPr>
          <w:p w14:paraId="6086E23C" w14:textId="77777777" w:rsidR="002D206F" w:rsidRPr="004B1503" w:rsidRDefault="002D206F" w:rsidP="004B1503">
            <w:pPr>
              <w:pStyle w:val="NoSpacing"/>
              <w:rPr>
                <w:sz w:val="20"/>
                <w:szCs w:val="20"/>
                <w:lang w:val="en-AU"/>
              </w:rPr>
            </w:pPr>
            <w:r w:rsidRPr="004B1503">
              <w:rPr>
                <w:sz w:val="20"/>
                <w:szCs w:val="20"/>
                <w:lang w:val="en-AU"/>
              </w:rPr>
              <w:t>3br house</w:t>
            </w:r>
          </w:p>
        </w:tc>
        <w:tc>
          <w:tcPr>
            <w:tcW w:w="1201" w:type="dxa"/>
            <w:tcMar>
              <w:top w:w="0" w:type="dxa"/>
              <w:left w:w="108" w:type="dxa"/>
              <w:bottom w:w="0" w:type="dxa"/>
              <w:right w:w="108" w:type="dxa"/>
            </w:tcMar>
            <w:hideMark/>
          </w:tcPr>
          <w:p w14:paraId="31A1EFC4" w14:textId="77777777" w:rsidR="002D206F" w:rsidRPr="004B1503" w:rsidRDefault="002D206F" w:rsidP="004B1503">
            <w:pPr>
              <w:pStyle w:val="NoSpacing"/>
              <w:rPr>
                <w:sz w:val="20"/>
                <w:szCs w:val="20"/>
                <w:lang w:val="en-AU"/>
              </w:rPr>
            </w:pPr>
            <w:r w:rsidRPr="004B1503">
              <w:rPr>
                <w:sz w:val="20"/>
                <w:szCs w:val="20"/>
                <w:lang w:val="en-AU"/>
              </w:rPr>
              <w:t>$340</w:t>
            </w:r>
          </w:p>
        </w:tc>
        <w:tc>
          <w:tcPr>
            <w:tcW w:w="1097" w:type="dxa"/>
            <w:tcMar>
              <w:top w:w="0" w:type="dxa"/>
              <w:left w:w="108" w:type="dxa"/>
              <w:bottom w:w="0" w:type="dxa"/>
              <w:right w:w="108" w:type="dxa"/>
            </w:tcMar>
            <w:hideMark/>
          </w:tcPr>
          <w:p w14:paraId="2C77FA96" w14:textId="77777777" w:rsidR="002D206F" w:rsidRPr="004B1503" w:rsidRDefault="002D206F" w:rsidP="004B1503">
            <w:pPr>
              <w:pStyle w:val="NoSpacing"/>
              <w:rPr>
                <w:sz w:val="20"/>
                <w:szCs w:val="20"/>
                <w:lang w:val="en-AU"/>
              </w:rPr>
            </w:pPr>
            <w:r w:rsidRPr="004B1503">
              <w:rPr>
                <w:sz w:val="20"/>
                <w:szCs w:val="20"/>
                <w:lang w:val="en-AU"/>
              </w:rPr>
              <w:t>$354</w:t>
            </w:r>
          </w:p>
        </w:tc>
        <w:tc>
          <w:tcPr>
            <w:tcW w:w="1559" w:type="dxa"/>
            <w:tcMar>
              <w:top w:w="0" w:type="dxa"/>
              <w:left w:w="108" w:type="dxa"/>
              <w:bottom w:w="0" w:type="dxa"/>
              <w:right w:w="108" w:type="dxa"/>
            </w:tcMar>
            <w:hideMark/>
          </w:tcPr>
          <w:p w14:paraId="11D511CE" w14:textId="77777777" w:rsidR="002D206F" w:rsidRPr="004B1503" w:rsidRDefault="002D206F" w:rsidP="004B1503">
            <w:pPr>
              <w:pStyle w:val="NoSpacing"/>
              <w:rPr>
                <w:sz w:val="20"/>
                <w:szCs w:val="20"/>
                <w:lang w:val="en-AU"/>
              </w:rPr>
            </w:pPr>
            <w:r w:rsidRPr="004B1503">
              <w:rPr>
                <w:sz w:val="20"/>
                <w:szCs w:val="20"/>
                <w:lang w:val="en-AU"/>
              </w:rPr>
              <w:t>$230</w:t>
            </w:r>
          </w:p>
          <w:p w14:paraId="3618BFFD" w14:textId="77777777" w:rsidR="002D206F" w:rsidRPr="004B1503" w:rsidRDefault="002D206F" w:rsidP="004B1503">
            <w:pPr>
              <w:pStyle w:val="NoSpacing"/>
              <w:rPr>
                <w:sz w:val="20"/>
                <w:szCs w:val="20"/>
                <w:lang w:val="en-AU"/>
              </w:rPr>
            </w:pPr>
            <w:r w:rsidRPr="004B1503">
              <w:rPr>
                <w:sz w:val="20"/>
                <w:szCs w:val="20"/>
                <w:lang w:val="en-AU"/>
              </w:rPr>
              <w:t> </w:t>
            </w:r>
          </w:p>
        </w:tc>
        <w:tc>
          <w:tcPr>
            <w:tcW w:w="1559" w:type="dxa"/>
            <w:tcMar>
              <w:top w:w="0" w:type="dxa"/>
              <w:left w:w="108" w:type="dxa"/>
              <w:bottom w:w="0" w:type="dxa"/>
              <w:right w:w="108" w:type="dxa"/>
            </w:tcMar>
            <w:hideMark/>
          </w:tcPr>
          <w:p w14:paraId="6E8A1091" w14:textId="77777777" w:rsidR="002D206F" w:rsidRPr="004B1503" w:rsidRDefault="002D206F" w:rsidP="004B1503">
            <w:pPr>
              <w:pStyle w:val="NoSpacing"/>
              <w:rPr>
                <w:sz w:val="20"/>
                <w:szCs w:val="20"/>
                <w:lang w:val="en-AU"/>
              </w:rPr>
            </w:pPr>
            <w:r w:rsidRPr="004B1503">
              <w:rPr>
                <w:sz w:val="20"/>
                <w:szCs w:val="20"/>
                <w:lang w:val="en-AU"/>
              </w:rPr>
              <w:t>1.34</w:t>
            </w:r>
          </w:p>
          <w:p w14:paraId="41AA8BB4" w14:textId="77777777" w:rsidR="002D206F" w:rsidRPr="004B1503" w:rsidRDefault="002D206F" w:rsidP="004B1503">
            <w:pPr>
              <w:pStyle w:val="NoSpacing"/>
              <w:rPr>
                <w:sz w:val="20"/>
                <w:szCs w:val="20"/>
                <w:lang w:val="en-AU"/>
              </w:rPr>
            </w:pPr>
            <w:r w:rsidRPr="004B1503">
              <w:rPr>
                <w:sz w:val="20"/>
                <w:szCs w:val="20"/>
                <w:lang w:val="en-AU"/>
              </w:rPr>
              <w:t> </w:t>
            </w:r>
          </w:p>
        </w:tc>
        <w:tc>
          <w:tcPr>
            <w:tcW w:w="1418" w:type="dxa"/>
            <w:tcMar>
              <w:top w:w="0" w:type="dxa"/>
              <w:left w:w="108" w:type="dxa"/>
              <w:bottom w:w="0" w:type="dxa"/>
              <w:right w:w="108" w:type="dxa"/>
            </w:tcMar>
            <w:hideMark/>
          </w:tcPr>
          <w:p w14:paraId="46BE4A23" w14:textId="77777777" w:rsidR="002D206F" w:rsidRPr="004B1503" w:rsidRDefault="002D206F" w:rsidP="004B1503">
            <w:pPr>
              <w:pStyle w:val="NoSpacing"/>
              <w:rPr>
                <w:sz w:val="20"/>
                <w:szCs w:val="20"/>
                <w:lang w:val="en-AU"/>
              </w:rPr>
            </w:pPr>
            <w:r w:rsidRPr="004B1503">
              <w:rPr>
                <w:sz w:val="20"/>
                <w:szCs w:val="20"/>
                <w:lang w:val="en-AU"/>
              </w:rPr>
              <w:t>$88</w:t>
            </w:r>
          </w:p>
        </w:tc>
      </w:tr>
    </w:tbl>
    <w:p w14:paraId="071EEF54" w14:textId="5D35E68B" w:rsidR="002D206F" w:rsidRPr="00D0538F" w:rsidRDefault="002D206F" w:rsidP="00621F78">
      <w:pPr>
        <w:rPr>
          <w:sz w:val="18"/>
          <w:szCs w:val="18"/>
          <w:lang w:val="en-AU"/>
        </w:rPr>
      </w:pPr>
      <w:r w:rsidRPr="00D0538F">
        <w:rPr>
          <w:sz w:val="18"/>
          <w:szCs w:val="18"/>
          <w:lang w:val="en-AU"/>
        </w:rPr>
        <w:t xml:space="preserve">Source: Saunders et al (2017) Healthy living budgets for unemployed and low paid workers, Social Policy Research Centre UNSW Sydney. </w:t>
      </w:r>
      <w:r w:rsidR="00D85502" w:rsidRPr="00D0538F">
        <w:rPr>
          <w:sz w:val="18"/>
          <w:szCs w:val="18"/>
          <w:lang w:val="en-AU"/>
        </w:rPr>
        <w:t>*</w:t>
      </w:r>
      <w:r w:rsidRPr="00D0538F">
        <w:rPr>
          <w:sz w:val="18"/>
          <w:szCs w:val="18"/>
          <w:lang w:val="en-AU"/>
        </w:rPr>
        <w:t>lowest quartile, outer Syd/</w:t>
      </w:r>
      <w:proofErr w:type="spellStart"/>
      <w:r w:rsidRPr="00D0538F">
        <w:rPr>
          <w:sz w:val="18"/>
          <w:szCs w:val="18"/>
          <w:lang w:val="en-AU"/>
        </w:rPr>
        <w:t>Melb</w:t>
      </w:r>
      <w:proofErr w:type="spellEnd"/>
      <w:r w:rsidRPr="00D0538F">
        <w:rPr>
          <w:sz w:val="18"/>
          <w:szCs w:val="18"/>
          <w:lang w:val="en-AU"/>
        </w:rPr>
        <w:t>, Bris Note: For comparison, median/middle suburb rent for a 1brm unit: $316+4%=$329</w:t>
      </w:r>
      <w:r w:rsidR="00D85502" w:rsidRPr="00D0538F">
        <w:rPr>
          <w:sz w:val="18"/>
          <w:szCs w:val="18"/>
          <w:lang w:val="en-AU"/>
        </w:rPr>
        <w:t>.</w:t>
      </w:r>
      <w:r w:rsidRPr="00D0538F">
        <w:rPr>
          <w:sz w:val="18"/>
          <w:szCs w:val="18"/>
          <w:lang w:val="en-AU"/>
        </w:rPr>
        <w:t xml:space="preserve"> </w:t>
      </w:r>
      <w:r w:rsidR="00D85502" w:rsidRPr="00D0538F">
        <w:rPr>
          <w:sz w:val="18"/>
          <w:szCs w:val="18"/>
          <w:lang w:val="en-AU"/>
        </w:rPr>
        <w:t>+</w:t>
      </w:r>
      <w:r w:rsidRPr="00D0538F">
        <w:rPr>
          <w:sz w:val="18"/>
          <w:szCs w:val="18"/>
          <w:lang w:val="en-AU"/>
        </w:rPr>
        <w:t>Current maximum rent for a sole parent with 1 child is $191pw</w:t>
      </w:r>
      <w:r w:rsidR="00D85502" w:rsidRPr="00D0538F">
        <w:rPr>
          <w:sz w:val="18"/>
          <w:szCs w:val="18"/>
          <w:lang w:val="en-AU"/>
        </w:rPr>
        <w:t>.</w:t>
      </w:r>
      <w:r w:rsidRPr="00D0538F">
        <w:rPr>
          <w:sz w:val="18"/>
          <w:szCs w:val="18"/>
          <w:lang w:val="en-AU"/>
        </w:rPr>
        <w:t xml:space="preserve"> #Based on an average increase of 4% (increase in CPI for rents in the three cities from 2016-2020)</w:t>
      </w:r>
      <w:r w:rsidR="00D85502" w:rsidRPr="00D0538F">
        <w:rPr>
          <w:sz w:val="18"/>
          <w:szCs w:val="18"/>
          <w:lang w:val="en-AU"/>
        </w:rPr>
        <w:t>.</w:t>
      </w:r>
      <w:r w:rsidRPr="00D0538F">
        <w:rPr>
          <w:sz w:val="18"/>
          <w:szCs w:val="18"/>
          <w:lang w:val="en-AU"/>
        </w:rPr>
        <w:t xml:space="preserve"> </w:t>
      </w:r>
      <w:r w:rsidR="00D85502" w:rsidRPr="00D0538F">
        <w:rPr>
          <w:sz w:val="18"/>
          <w:szCs w:val="18"/>
          <w:lang w:val="en-AU"/>
        </w:rPr>
        <w:t>^</w:t>
      </w:r>
      <w:r w:rsidRPr="00D0538F">
        <w:rPr>
          <w:sz w:val="18"/>
          <w:szCs w:val="18"/>
          <w:lang w:val="en-AU"/>
        </w:rPr>
        <w:t>Based on an across the board 50% increase in maximum CRA rents.</w:t>
      </w:r>
    </w:p>
    <w:p w14:paraId="21A0204C" w14:textId="38608C36" w:rsidR="00344E77" w:rsidRPr="00621F78" w:rsidRDefault="002D206F" w:rsidP="00621F78">
      <w:pPr>
        <w:pStyle w:val="Heading3"/>
        <w:rPr>
          <w:color w:val="000000" w:themeColor="text1"/>
          <w:lang w:val="en-AU"/>
        </w:rPr>
      </w:pPr>
      <w:r w:rsidRPr="00621F78">
        <w:rPr>
          <w:b/>
          <w:lang w:val="en-AU"/>
        </w:rPr>
        <w:t>Disability or Illness Supplement</w:t>
      </w:r>
      <w:r w:rsidR="00B805FE" w:rsidRPr="00621F78">
        <w:rPr>
          <w:b/>
          <w:lang w:val="en-AU"/>
        </w:rPr>
        <w:br/>
      </w:r>
      <w:r w:rsidRPr="00621F78">
        <w:rPr>
          <w:color w:val="000000" w:themeColor="text1"/>
          <w:lang w:val="en-AU"/>
        </w:rPr>
        <w:t xml:space="preserve">We propose that this supplement be set at the rates outlined by the </w:t>
      </w:r>
      <w:r w:rsidR="005514E8" w:rsidRPr="00621F78">
        <w:rPr>
          <w:color w:val="000000" w:themeColor="text1"/>
          <w:lang w:val="en-AU"/>
        </w:rPr>
        <w:t xml:space="preserve">2019 </w:t>
      </w:r>
      <w:r w:rsidRPr="00621F78">
        <w:rPr>
          <w:color w:val="000000" w:themeColor="text1"/>
          <w:lang w:val="en-AU"/>
        </w:rPr>
        <w:t>NATSEM report into the cost of disability.</w:t>
      </w:r>
      <w:r w:rsidR="00D85502">
        <w:rPr>
          <w:rStyle w:val="FootnoteReference"/>
          <w:color w:val="000000" w:themeColor="text1"/>
          <w:lang w:val="en-AU"/>
        </w:rPr>
        <w:footnoteReference w:id="11"/>
      </w:r>
      <w:r w:rsidR="00B805FE" w:rsidRPr="00621F78">
        <w:rPr>
          <w:color w:val="000000" w:themeColor="text1"/>
          <w:lang w:val="en-AU"/>
        </w:rPr>
        <w:t xml:space="preserve"> NATSEM showed that </w:t>
      </w:r>
      <w:r w:rsidR="00DB0A31" w:rsidRPr="00621F78">
        <w:rPr>
          <w:color w:val="000000" w:themeColor="text1"/>
          <w:lang w:val="en-AU"/>
        </w:rPr>
        <w:t xml:space="preserve">for a </w:t>
      </w:r>
      <w:r w:rsidR="00B805FE" w:rsidRPr="00621F78">
        <w:rPr>
          <w:color w:val="000000" w:themeColor="text1"/>
          <w:lang w:val="en-AU"/>
        </w:rPr>
        <w:t>single</w:t>
      </w:r>
      <w:r w:rsidR="00DB0A31" w:rsidRPr="00621F78">
        <w:rPr>
          <w:color w:val="000000" w:themeColor="text1"/>
          <w:lang w:val="en-AU"/>
        </w:rPr>
        <w:t xml:space="preserve"> person with a disability receiving the Disability Support Pension to achieve the same standard of living as a single person without a disability, their income would need to increase by $50 per week.</w:t>
      </w:r>
      <w:r w:rsidR="00DB0A31" w:rsidRPr="00621F78">
        <w:rPr>
          <w:rStyle w:val="FootnoteReference"/>
          <w:color w:val="000000" w:themeColor="text1"/>
          <w:lang w:val="en-AU"/>
        </w:rPr>
        <w:footnoteReference w:id="12"/>
      </w:r>
      <w:r w:rsidR="00344E77">
        <w:rPr>
          <w:color w:val="000000" w:themeColor="text1"/>
          <w:lang w:val="en-AU"/>
        </w:rPr>
        <w:br/>
      </w:r>
    </w:p>
    <w:p w14:paraId="02DFD171" w14:textId="30B6089E" w:rsidR="00DB0A31" w:rsidRPr="00621F78" w:rsidRDefault="00DB0A31" w:rsidP="00334B48">
      <w:pPr>
        <w:rPr>
          <w:lang w:val="en-AU"/>
        </w:rPr>
      </w:pPr>
      <w:r w:rsidRPr="00621F78">
        <w:rPr>
          <w:lang w:val="en-AU"/>
        </w:rPr>
        <w:t xml:space="preserve">We propose that this apply to people with disability, as well as people </w:t>
      </w:r>
      <w:r w:rsidR="00344E77">
        <w:rPr>
          <w:lang w:val="en-AU"/>
        </w:rPr>
        <w:t xml:space="preserve">with </w:t>
      </w:r>
      <w:r w:rsidRPr="00621F78">
        <w:rPr>
          <w:lang w:val="en-AU"/>
        </w:rPr>
        <w:t>an illness that prevents them from undertaking</w:t>
      </w:r>
      <w:r w:rsidR="00344E77">
        <w:rPr>
          <w:lang w:val="en-AU"/>
        </w:rPr>
        <w:t xml:space="preserve"> full-time</w:t>
      </w:r>
      <w:r w:rsidRPr="00621F78">
        <w:rPr>
          <w:lang w:val="en-AU"/>
        </w:rPr>
        <w:t xml:space="preserve"> paid work. </w:t>
      </w:r>
    </w:p>
    <w:p w14:paraId="2AC07327" w14:textId="29454A69" w:rsidR="00DB0A31" w:rsidRPr="00621F78" w:rsidRDefault="00DB0A31" w:rsidP="00621F78">
      <w:pPr>
        <w:pStyle w:val="Heading3"/>
        <w:rPr>
          <w:b/>
          <w:szCs w:val="22"/>
          <w:lang w:val="en-AU"/>
        </w:rPr>
      </w:pPr>
      <w:r w:rsidRPr="00621F78">
        <w:rPr>
          <w:b/>
          <w:szCs w:val="22"/>
          <w:lang w:val="en-AU"/>
        </w:rPr>
        <w:lastRenderedPageBreak/>
        <w:t>Single Parent Supplement</w:t>
      </w:r>
    </w:p>
    <w:p w14:paraId="68EADEE2" w14:textId="433FB046" w:rsidR="00D85502" w:rsidRDefault="00DB0A31" w:rsidP="00621F78">
      <w:pPr>
        <w:pStyle w:val="Heading3"/>
        <w:rPr>
          <w:color w:val="000000" w:themeColor="text1"/>
          <w:szCs w:val="22"/>
          <w:lang w:val="en-AU"/>
        </w:rPr>
      </w:pPr>
      <w:r w:rsidRPr="00621F78">
        <w:rPr>
          <w:color w:val="000000" w:themeColor="text1"/>
          <w:szCs w:val="22"/>
          <w:lang w:val="en-AU"/>
        </w:rPr>
        <w:t>To ensure the added costs of single parenthood are adequately recognised in our income support system, we propose an increase of at least $200pw week for a</w:t>
      </w:r>
      <w:r w:rsidR="000B4C5B" w:rsidRPr="00621F78">
        <w:rPr>
          <w:color w:val="000000" w:themeColor="text1"/>
          <w:szCs w:val="22"/>
          <w:lang w:val="en-AU"/>
        </w:rPr>
        <w:t xml:space="preserve"> single parent with two children, recognising that </w:t>
      </w:r>
      <w:r w:rsidR="00344E77">
        <w:rPr>
          <w:color w:val="000000" w:themeColor="text1"/>
          <w:szCs w:val="22"/>
          <w:lang w:val="en-AU"/>
        </w:rPr>
        <w:t>these</w:t>
      </w:r>
      <w:r w:rsidR="000B4C5B" w:rsidRPr="00621F78">
        <w:rPr>
          <w:color w:val="000000" w:themeColor="text1"/>
          <w:szCs w:val="22"/>
          <w:lang w:val="en-AU"/>
        </w:rPr>
        <w:t xml:space="preserve"> households need at least twice the level of income received by a single person, without children.</w:t>
      </w:r>
      <w:r w:rsidR="001A53F0" w:rsidRPr="00621F78">
        <w:rPr>
          <w:color w:val="000000" w:themeColor="text1"/>
          <w:szCs w:val="22"/>
          <w:lang w:val="en-AU"/>
        </w:rPr>
        <w:t xml:space="preserve"> Single parents with</w:t>
      </w:r>
      <w:r w:rsidR="00D85502">
        <w:rPr>
          <w:color w:val="000000" w:themeColor="text1"/>
          <w:szCs w:val="22"/>
          <w:lang w:val="en-AU"/>
        </w:rPr>
        <w:t xml:space="preserve"> two</w:t>
      </w:r>
      <w:r w:rsidR="001A53F0" w:rsidRPr="00621F78">
        <w:rPr>
          <w:color w:val="000000" w:themeColor="text1"/>
          <w:szCs w:val="22"/>
          <w:lang w:val="en-AU"/>
        </w:rPr>
        <w:t xml:space="preserve"> older children need 2.2 times what a single person without children needs.</w:t>
      </w:r>
      <w:r w:rsidR="000B4C5B" w:rsidRPr="00621F78">
        <w:rPr>
          <w:color w:val="000000" w:themeColor="text1"/>
          <w:szCs w:val="22"/>
          <w:lang w:val="en-AU"/>
        </w:rPr>
        <w:t xml:space="preserve"> </w:t>
      </w:r>
    </w:p>
    <w:p w14:paraId="56A6C9EC" w14:textId="77777777" w:rsidR="00D85502" w:rsidRDefault="00D85502" w:rsidP="00621F78">
      <w:pPr>
        <w:pStyle w:val="Heading3"/>
        <w:rPr>
          <w:color w:val="000000" w:themeColor="text1"/>
          <w:szCs w:val="22"/>
          <w:lang w:val="en-AU"/>
        </w:rPr>
      </w:pPr>
    </w:p>
    <w:p w14:paraId="0DB2EB0C" w14:textId="5F328CE7" w:rsidR="00133542" w:rsidRPr="00621F78" w:rsidRDefault="000B4C5B" w:rsidP="00621F78">
      <w:pPr>
        <w:pStyle w:val="Heading3"/>
        <w:rPr>
          <w:b/>
          <w:szCs w:val="22"/>
          <w:lang w:val="en-AU"/>
        </w:rPr>
      </w:pPr>
      <w:r w:rsidRPr="00621F78">
        <w:rPr>
          <w:color w:val="000000" w:themeColor="text1"/>
          <w:szCs w:val="22"/>
          <w:lang w:val="en-AU"/>
        </w:rPr>
        <w:t>We propose that the Social Security Commission develop further recommendations on the minimum income requi</w:t>
      </w:r>
      <w:r w:rsidR="00D85502" w:rsidRPr="00621F78">
        <w:rPr>
          <w:color w:val="000000" w:themeColor="text1"/>
          <w:szCs w:val="22"/>
          <w:lang w:val="en-AU"/>
        </w:rPr>
        <w:t>red for single parent households</w:t>
      </w:r>
      <w:r w:rsidR="00D85502">
        <w:rPr>
          <w:color w:val="000000" w:themeColor="text1"/>
          <w:szCs w:val="22"/>
          <w:lang w:val="en-AU"/>
        </w:rPr>
        <w:t xml:space="preserve">, including relativities for different family types. </w:t>
      </w:r>
    </w:p>
    <w:p w14:paraId="4837D2C5" w14:textId="77777777" w:rsidR="00796C1D" w:rsidRPr="00621F78" w:rsidRDefault="00796C1D" w:rsidP="008A4E2C">
      <w:pPr>
        <w:rPr>
          <w:lang w:val="en-AU"/>
        </w:rPr>
      </w:pPr>
    </w:p>
    <w:p w14:paraId="5EE3ABA7" w14:textId="7801D1EE" w:rsidR="003974D8" w:rsidRPr="00621F78" w:rsidRDefault="00560B9F" w:rsidP="003974D8">
      <w:pPr>
        <w:pStyle w:val="Heading2"/>
        <w:rPr>
          <w:lang w:val="en-AU"/>
        </w:rPr>
      </w:pPr>
      <w:r w:rsidRPr="00621F78">
        <w:rPr>
          <w:lang w:val="en-AU"/>
        </w:rPr>
        <w:t>Providing adequate payments while maintaining work incentives</w:t>
      </w:r>
      <w:r w:rsidR="003974D8" w:rsidRPr="00621F78">
        <w:rPr>
          <w:lang w:val="en-AU"/>
        </w:rPr>
        <w:t xml:space="preserve"> </w:t>
      </w:r>
    </w:p>
    <w:p w14:paraId="2364C680" w14:textId="790B9BFF" w:rsidR="00E1461B" w:rsidRPr="00621F78" w:rsidRDefault="00560B9F" w:rsidP="003974D8">
      <w:pPr>
        <w:rPr>
          <w:lang w:val="en-AU"/>
        </w:rPr>
      </w:pPr>
      <w:r w:rsidRPr="00621F78">
        <w:rPr>
          <w:lang w:val="en-AU"/>
        </w:rPr>
        <w:t>The model proposed would maintain very strong incentives to obtain paid work, with people generally much better off financially in paid work</w:t>
      </w:r>
      <w:r w:rsidR="00420683" w:rsidRPr="00621F78">
        <w:rPr>
          <w:lang w:val="en-AU"/>
        </w:rPr>
        <w:t>, as Figure 2 demonstrates</w:t>
      </w:r>
      <w:r w:rsidRPr="00621F78">
        <w:rPr>
          <w:lang w:val="en-AU"/>
        </w:rPr>
        <w:t xml:space="preserve">. </w:t>
      </w:r>
    </w:p>
    <w:p w14:paraId="1DD62056" w14:textId="17DBD619" w:rsidR="00E1461B" w:rsidRPr="00621F78" w:rsidRDefault="00E1461B" w:rsidP="003974D8">
      <w:pPr>
        <w:rPr>
          <w:lang w:val="en-AU"/>
        </w:rPr>
      </w:pPr>
      <w:r w:rsidRPr="00621F78">
        <w:rPr>
          <w:lang w:val="en-AU"/>
        </w:rPr>
        <w:t xml:space="preserve">The single pension </w:t>
      </w:r>
      <w:r w:rsidR="005D79FA" w:rsidRPr="00621F78">
        <w:rPr>
          <w:lang w:val="en-AU"/>
        </w:rPr>
        <w:t xml:space="preserve">rate of $472 per week </w:t>
      </w:r>
      <w:r w:rsidRPr="00621F78">
        <w:rPr>
          <w:lang w:val="en-AU"/>
        </w:rPr>
        <w:t xml:space="preserve">is currently 63% of the minimum wage (before tax). </w:t>
      </w:r>
      <w:r w:rsidR="002C5599" w:rsidRPr="00621F78">
        <w:rPr>
          <w:lang w:val="en-AU"/>
        </w:rPr>
        <w:t>If you include our</w:t>
      </w:r>
      <w:r w:rsidRPr="00621F78">
        <w:rPr>
          <w:lang w:val="en-AU"/>
        </w:rPr>
        <w:t xml:space="preserve"> recommended rate of </w:t>
      </w:r>
      <w:r w:rsidR="005D79FA" w:rsidRPr="00621F78">
        <w:rPr>
          <w:lang w:val="en-AU"/>
        </w:rPr>
        <w:t xml:space="preserve">Commonwealth </w:t>
      </w:r>
      <w:r w:rsidRPr="00621F78">
        <w:rPr>
          <w:lang w:val="en-AU"/>
        </w:rPr>
        <w:t>Rent Assistance, the pension plus CRA wo</w:t>
      </w:r>
      <w:r w:rsidR="00576DF4" w:rsidRPr="00621F78">
        <w:rPr>
          <w:lang w:val="en-AU"/>
        </w:rPr>
        <w:t xml:space="preserve">uld be 77% of the minimum wage. It would be just </w:t>
      </w:r>
      <w:r w:rsidR="00576DF4" w:rsidRPr="00621F78">
        <w:rPr>
          <w:b/>
          <w:lang w:val="en-AU"/>
        </w:rPr>
        <w:t>34%</w:t>
      </w:r>
      <w:r w:rsidR="00281932" w:rsidRPr="00621F78">
        <w:rPr>
          <w:b/>
          <w:lang w:val="en-AU"/>
        </w:rPr>
        <w:t xml:space="preserve"> of average wages</w:t>
      </w:r>
      <w:r w:rsidR="00281932" w:rsidRPr="00621F78">
        <w:rPr>
          <w:lang w:val="en-AU"/>
        </w:rPr>
        <w:t xml:space="preserve"> in Australia and </w:t>
      </w:r>
      <w:r w:rsidR="00281932" w:rsidRPr="00621F78">
        <w:rPr>
          <w:b/>
          <w:lang w:val="en-AU"/>
        </w:rPr>
        <w:t>around 52% of median wages</w:t>
      </w:r>
      <w:r w:rsidR="00281932" w:rsidRPr="00621F78">
        <w:rPr>
          <w:lang w:val="en-AU"/>
        </w:rPr>
        <w:t xml:space="preserve">. </w:t>
      </w:r>
    </w:p>
    <w:p w14:paraId="681233CB" w14:textId="7A97A358" w:rsidR="006D2DF5" w:rsidRPr="00621F78" w:rsidRDefault="00E1461B" w:rsidP="003974D8">
      <w:pPr>
        <w:rPr>
          <w:lang w:val="en-AU"/>
        </w:rPr>
      </w:pPr>
      <w:r w:rsidRPr="00621F78">
        <w:rPr>
          <w:lang w:val="en-AU"/>
        </w:rPr>
        <w:t>The base rate of JobSeeker Payment</w:t>
      </w:r>
      <w:r w:rsidR="00560B9F" w:rsidRPr="00621F78">
        <w:rPr>
          <w:lang w:val="en-AU"/>
        </w:rPr>
        <w:t xml:space="preserve"> (without the coronavirus supplement)</w:t>
      </w:r>
      <w:r w:rsidRPr="00621F78">
        <w:rPr>
          <w:lang w:val="en-AU"/>
        </w:rPr>
        <w:t xml:space="preserve"> is currently 38% of the minimum wage (before tax). </w:t>
      </w:r>
      <w:r w:rsidR="00621F78">
        <w:rPr>
          <w:lang w:val="en-AU"/>
        </w:rPr>
        <w:br/>
      </w:r>
    </w:p>
    <w:p w14:paraId="5DAB29ED" w14:textId="0C48FDB4" w:rsidR="000954EB" w:rsidRPr="00621F78" w:rsidRDefault="00420683" w:rsidP="00621F78">
      <w:pPr>
        <w:pStyle w:val="Heading3"/>
        <w:ind w:left="426"/>
        <w:rPr>
          <w:lang w:val="en-AU"/>
        </w:rPr>
      </w:pPr>
      <w:r w:rsidRPr="00621F78">
        <w:rPr>
          <w:lang w:val="en-AU"/>
        </w:rPr>
        <w:lastRenderedPageBreak/>
        <w:t xml:space="preserve">Figure 2. </w:t>
      </w:r>
      <w:r w:rsidR="000954EB" w:rsidRPr="00621F78">
        <w:rPr>
          <w:lang w:val="en-AU"/>
        </w:rPr>
        <w:t xml:space="preserve">Comparison of </w:t>
      </w:r>
      <w:r w:rsidRPr="00621F78">
        <w:rPr>
          <w:lang w:val="en-AU"/>
        </w:rPr>
        <w:t xml:space="preserve">proposed </w:t>
      </w:r>
      <w:r w:rsidR="000954EB" w:rsidRPr="00621F78">
        <w:rPr>
          <w:lang w:val="en-AU"/>
        </w:rPr>
        <w:t>base rate of payment with wages</w:t>
      </w:r>
    </w:p>
    <w:p w14:paraId="01253357" w14:textId="25AC750A" w:rsidR="008D0FEB" w:rsidRPr="00621F78" w:rsidRDefault="008D0FEB" w:rsidP="003974D8">
      <w:pPr>
        <w:rPr>
          <w:lang w:val="en-AU"/>
        </w:rPr>
      </w:pPr>
      <w:r w:rsidRPr="00621F78">
        <w:rPr>
          <w:noProof/>
        </w:rPr>
        <w:drawing>
          <wp:inline distT="0" distB="0" distL="0" distR="0" wp14:anchorId="6412D167" wp14:editId="39D1D5C5">
            <wp:extent cx="5766435" cy="3032981"/>
            <wp:effectExtent l="0" t="0" r="24765"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6764E1" w14:textId="77777777" w:rsidR="00867977" w:rsidRPr="00621F78" w:rsidRDefault="00867977" w:rsidP="00C95B81">
      <w:pPr>
        <w:rPr>
          <w:lang w:val="en-AU"/>
        </w:rPr>
      </w:pPr>
    </w:p>
    <w:p w14:paraId="3F7EB184" w14:textId="33DC78F2" w:rsidR="00867977" w:rsidRPr="00621F78" w:rsidRDefault="00867977" w:rsidP="00C95B81">
      <w:pPr>
        <w:rPr>
          <w:lang w:val="en-AU"/>
        </w:rPr>
      </w:pPr>
      <w:r w:rsidRPr="00621F78">
        <w:rPr>
          <w:lang w:val="en-AU"/>
        </w:rPr>
        <w:t xml:space="preserve">In addition, because income support payments are paid using taper rates, </w:t>
      </w:r>
      <w:r w:rsidR="005D79FA" w:rsidRPr="00621F78">
        <w:rPr>
          <w:lang w:val="en-AU"/>
        </w:rPr>
        <w:t xml:space="preserve">the amount of income support received tapers off as people secure paid employment. </w:t>
      </w:r>
      <w:r w:rsidRPr="00621F78">
        <w:rPr>
          <w:lang w:val="en-AU"/>
        </w:rPr>
        <w:t xml:space="preserve">Therefore, someone working two days per week at the minimum wage whilst receiving JobSeeker would be much better off than someone receiving JobSeeker as their sole source of income. </w:t>
      </w:r>
    </w:p>
    <w:p w14:paraId="4CC7BC95" w14:textId="343ACBCC" w:rsidR="0046406F" w:rsidRPr="00621F78" w:rsidRDefault="00371548" w:rsidP="00C95B81">
      <w:pPr>
        <w:rPr>
          <w:lang w:val="en-AU"/>
        </w:rPr>
      </w:pPr>
      <w:r w:rsidRPr="00621F78">
        <w:rPr>
          <w:lang w:val="en-AU"/>
        </w:rPr>
        <w:t xml:space="preserve">It has been well argued that the low rate of JobSeeker is acting as a barrier to people getting paid work as they </w:t>
      </w:r>
      <w:r w:rsidR="00F871BA" w:rsidRPr="00621F78">
        <w:rPr>
          <w:lang w:val="en-AU"/>
        </w:rPr>
        <w:t>cannot sufficiently sustain their existence</w:t>
      </w:r>
      <w:r w:rsidRPr="00621F78">
        <w:rPr>
          <w:lang w:val="en-AU"/>
        </w:rPr>
        <w:t>.</w:t>
      </w:r>
      <w:r w:rsidRPr="00621F78">
        <w:rPr>
          <w:rStyle w:val="FootnoteReference"/>
          <w:lang w:val="en-AU"/>
        </w:rPr>
        <w:footnoteReference w:id="13"/>
      </w:r>
      <w:r w:rsidR="00C10C69" w:rsidRPr="00621F78">
        <w:rPr>
          <w:lang w:val="en-AU"/>
        </w:rPr>
        <w:t xml:space="preserve"> </w:t>
      </w:r>
      <w:r w:rsidR="00867977" w:rsidRPr="00621F78">
        <w:rPr>
          <w:lang w:val="en-AU"/>
        </w:rPr>
        <w:t xml:space="preserve">The Business Council of Australia and respected economists have clearly stated that the low rate hinders people’s ability to get employment. </w:t>
      </w:r>
      <w:r w:rsidR="00C10C69" w:rsidRPr="00621F78">
        <w:rPr>
          <w:lang w:val="en-AU"/>
        </w:rPr>
        <w:t>If we want people to</w:t>
      </w:r>
      <w:r w:rsidR="00867977" w:rsidRPr="00621F78">
        <w:rPr>
          <w:lang w:val="en-AU"/>
        </w:rPr>
        <w:t xml:space="preserve"> secure</w:t>
      </w:r>
      <w:r w:rsidR="00C10C69" w:rsidRPr="00621F78">
        <w:rPr>
          <w:lang w:val="en-AU"/>
        </w:rPr>
        <w:t xml:space="preserve"> paid work, then we must ensure they can meet their basic needs like food, housing and healthcare. </w:t>
      </w:r>
    </w:p>
    <w:p w14:paraId="358D4B01" w14:textId="420BBD66" w:rsidR="0046406F" w:rsidRPr="00621F78" w:rsidRDefault="00420683" w:rsidP="0046406F">
      <w:pPr>
        <w:rPr>
          <w:lang w:val="en-AU"/>
        </w:rPr>
      </w:pPr>
      <w:r w:rsidRPr="00621F78">
        <w:rPr>
          <w:b/>
          <w:color w:val="C00000"/>
          <w:lang w:val="en-AU"/>
        </w:rPr>
        <w:t xml:space="preserve">The proposed reform </w:t>
      </w:r>
      <w:r w:rsidR="005706A9" w:rsidRPr="00621F78">
        <w:rPr>
          <w:b/>
          <w:color w:val="C00000"/>
          <w:lang w:val="en-AU"/>
        </w:rPr>
        <w:t xml:space="preserve">would </w:t>
      </w:r>
      <w:r w:rsidR="00B9407F" w:rsidRPr="00621F78">
        <w:rPr>
          <w:b/>
          <w:color w:val="C00000"/>
          <w:lang w:val="en-AU"/>
        </w:rPr>
        <w:t>remove inequities that have grown over time</w:t>
      </w:r>
      <w:r w:rsidR="00195153" w:rsidRPr="00621F78">
        <w:rPr>
          <w:b/>
          <w:lang w:val="en-AU"/>
        </w:rPr>
        <w:br/>
      </w:r>
      <w:r w:rsidRPr="00621F78">
        <w:rPr>
          <w:lang w:val="en-AU"/>
        </w:rPr>
        <w:t>As Figure 3 shows, j</w:t>
      </w:r>
      <w:r w:rsidR="0046406F" w:rsidRPr="00621F78">
        <w:rPr>
          <w:lang w:val="en-AU"/>
        </w:rPr>
        <w:t>ust 12 years ago, the rate of JobSeeker Payment (formerly known as Newstart)</w:t>
      </w:r>
      <w:r w:rsidR="0079664C" w:rsidRPr="00621F78">
        <w:rPr>
          <w:lang w:val="en-AU"/>
        </w:rPr>
        <w:t xml:space="preserve"> was just $</w:t>
      </w:r>
      <w:r w:rsidR="008B3824" w:rsidRPr="00621F78">
        <w:rPr>
          <w:lang w:val="en-AU"/>
        </w:rPr>
        <w:t>56</w:t>
      </w:r>
      <w:r w:rsidR="00383A1F" w:rsidRPr="00621F78">
        <w:rPr>
          <w:lang w:val="en-AU"/>
        </w:rPr>
        <w:t xml:space="preserve"> p</w:t>
      </w:r>
      <w:r w:rsidR="005706A9" w:rsidRPr="00621F78">
        <w:rPr>
          <w:lang w:val="en-AU"/>
        </w:rPr>
        <w:t xml:space="preserve">er week below the pension rate. It is now almost four times that ($185pw difference). </w:t>
      </w:r>
    </w:p>
    <w:p w14:paraId="306C4CF1" w14:textId="61B5F5C8" w:rsidR="00E75B23" w:rsidRPr="00621F78" w:rsidRDefault="005706A9" w:rsidP="0046406F">
      <w:pPr>
        <w:rPr>
          <w:lang w:val="en-AU"/>
        </w:rPr>
      </w:pPr>
      <w:r w:rsidRPr="00621F78">
        <w:rPr>
          <w:lang w:val="en-AU"/>
        </w:rPr>
        <w:t xml:space="preserve">The disparity between these payments cannot be justified. Most people receiving unemployment payments receive them for 12 months or more, while people </w:t>
      </w:r>
      <w:r w:rsidR="008B3824" w:rsidRPr="00621F78">
        <w:rPr>
          <w:lang w:val="en-AU"/>
        </w:rPr>
        <w:t>in</w:t>
      </w:r>
      <w:r w:rsidR="00B9407F" w:rsidRPr="00621F78">
        <w:rPr>
          <w:lang w:val="en-AU"/>
        </w:rPr>
        <w:t xml:space="preserve"> otherwise</w:t>
      </w:r>
      <w:r w:rsidR="008B3824" w:rsidRPr="00621F78">
        <w:rPr>
          <w:lang w:val="en-AU"/>
        </w:rPr>
        <w:t xml:space="preserve"> </w:t>
      </w:r>
      <w:r w:rsidRPr="00621F78">
        <w:rPr>
          <w:lang w:val="en-AU"/>
        </w:rPr>
        <w:t xml:space="preserve">very similar circumstances receive </w:t>
      </w:r>
      <w:r w:rsidR="00B9407F" w:rsidRPr="00621F78">
        <w:rPr>
          <w:lang w:val="en-AU"/>
        </w:rPr>
        <w:t>much higher</w:t>
      </w:r>
      <w:r w:rsidRPr="00621F78">
        <w:rPr>
          <w:lang w:val="en-AU"/>
        </w:rPr>
        <w:t xml:space="preserve"> levels of income. </w:t>
      </w:r>
    </w:p>
    <w:p w14:paraId="4A05A604" w14:textId="77777777" w:rsidR="00E75B23" w:rsidRPr="00621F78" w:rsidRDefault="00E75B23" w:rsidP="0046406F">
      <w:pPr>
        <w:rPr>
          <w:lang w:val="en-AU"/>
        </w:rPr>
      </w:pPr>
    </w:p>
    <w:p w14:paraId="1D8B3A27" w14:textId="46621802" w:rsidR="00226A12" w:rsidRPr="00621F78" w:rsidRDefault="00AB2CEB" w:rsidP="00621F78">
      <w:pPr>
        <w:pStyle w:val="Heading3"/>
        <w:rPr>
          <w:lang w:val="en-AU"/>
        </w:rPr>
      </w:pPr>
      <w:r w:rsidRPr="00621F78">
        <w:rPr>
          <w:lang w:val="en-AU"/>
        </w:rPr>
        <w:lastRenderedPageBreak/>
        <w:br/>
      </w:r>
      <w:r w:rsidR="00420683" w:rsidRPr="00621F78">
        <w:rPr>
          <w:lang w:val="en-AU"/>
        </w:rPr>
        <w:t xml:space="preserve">Figure </w:t>
      </w:r>
      <w:r w:rsidR="005060EC" w:rsidRPr="00621F78">
        <w:rPr>
          <w:lang w:val="en-AU"/>
        </w:rPr>
        <w:t xml:space="preserve">3. </w:t>
      </w:r>
      <w:r w:rsidR="005706A9" w:rsidRPr="00621F78">
        <w:rPr>
          <w:lang w:val="en-AU"/>
        </w:rPr>
        <w:t xml:space="preserve">Comparison of the pension, JobSeeker Payment (formerly known as Newstart) and the minimum wage. </w:t>
      </w:r>
    </w:p>
    <w:p w14:paraId="11C7FE70" w14:textId="2D19DBF2" w:rsidR="0046406F" w:rsidRPr="00621F78" w:rsidRDefault="0046406F" w:rsidP="00C95B81">
      <w:pPr>
        <w:rPr>
          <w:lang w:val="en-AU"/>
        </w:rPr>
      </w:pPr>
      <w:r w:rsidRPr="00621F78">
        <w:rPr>
          <w:noProof/>
        </w:rPr>
        <w:drawing>
          <wp:inline distT="0" distB="0" distL="0" distR="0" wp14:anchorId="257D7D24" wp14:editId="2136B9B3">
            <wp:extent cx="5766435" cy="4059316"/>
            <wp:effectExtent l="0" t="0" r="0" b="5080"/>
            <wp:docPr id="8" name="Picture 8" descr="C:\Users\charmaine\AppData\Local\Microsoft\Windows\INetCache\Content.Outlook\TGTKZRIS\comparison-newstart-pension-minimum-wage_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maine\AppData\Local\Microsoft\Windows\INetCache\Content.Outlook\TGTKZRIS\comparison-newstart-pension-minimum-wage_2_.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6963" cy="4080806"/>
                    </a:xfrm>
                    <a:prstGeom prst="rect">
                      <a:avLst/>
                    </a:prstGeom>
                    <a:noFill/>
                    <a:ln>
                      <a:noFill/>
                    </a:ln>
                  </pic:spPr>
                </pic:pic>
              </a:graphicData>
            </a:graphic>
          </wp:inline>
        </w:drawing>
      </w:r>
    </w:p>
    <w:p w14:paraId="1EDE36B5" w14:textId="32596D05" w:rsidR="00267288" w:rsidRPr="00621F78" w:rsidRDefault="00267288" w:rsidP="00267288">
      <w:pPr>
        <w:spacing w:after="0" w:line="240" w:lineRule="auto"/>
        <w:rPr>
          <w:rFonts w:eastAsia="Times New Roman" w:cs="Times New Roman"/>
          <w:sz w:val="24"/>
          <w:szCs w:val="24"/>
          <w:lang w:val="en-AU"/>
        </w:rPr>
      </w:pPr>
      <w:r w:rsidRPr="00621F78">
        <w:rPr>
          <w:rFonts w:eastAsia="Times New Roman" w:cs="Times New Roman"/>
          <w:lang w:val="en-AU"/>
        </w:rPr>
        <w:t>Paying people according to current need rather than their (predicted) future work pros</w:t>
      </w:r>
      <w:r w:rsidR="00D55E78" w:rsidRPr="00621F78">
        <w:rPr>
          <w:rFonts w:eastAsia="Times New Roman" w:cs="Times New Roman"/>
          <w:lang w:val="en-AU"/>
        </w:rPr>
        <w:t>p</w:t>
      </w:r>
      <w:r w:rsidRPr="00621F78">
        <w:rPr>
          <w:rFonts w:eastAsia="Times New Roman" w:cs="Times New Roman"/>
          <w:lang w:val="en-AU"/>
        </w:rPr>
        <w:t>ects would greatly simplify the system and ease transitions towards paid employment for man</w:t>
      </w:r>
      <w:r w:rsidR="00D55E78" w:rsidRPr="00621F78">
        <w:rPr>
          <w:rFonts w:eastAsia="Times New Roman" w:cs="Times New Roman"/>
          <w:lang w:val="en-AU"/>
        </w:rPr>
        <w:t>y.</w:t>
      </w:r>
    </w:p>
    <w:p w14:paraId="5A481A29" w14:textId="48B99523" w:rsidR="00796C1D" w:rsidRPr="00621F78" w:rsidRDefault="00796C1D" w:rsidP="00C95B81">
      <w:pPr>
        <w:rPr>
          <w:lang w:val="en-AU"/>
        </w:rPr>
      </w:pPr>
    </w:p>
    <w:p w14:paraId="50102BF0" w14:textId="2C18B90D" w:rsidR="00BC5242" w:rsidRPr="00621F78" w:rsidRDefault="00BC5242" w:rsidP="00BC5242">
      <w:pPr>
        <w:pStyle w:val="Heading2"/>
        <w:rPr>
          <w:lang w:val="en-AU"/>
        </w:rPr>
      </w:pPr>
      <w:r w:rsidRPr="00621F78">
        <w:rPr>
          <w:lang w:val="en-AU"/>
        </w:rPr>
        <w:t xml:space="preserve">Transition from the Coronavirus Supplement to </w:t>
      </w:r>
      <w:r w:rsidR="005D79FA" w:rsidRPr="00621F78">
        <w:rPr>
          <w:lang w:val="en-AU"/>
        </w:rPr>
        <w:t xml:space="preserve">Adequate Income Floor </w:t>
      </w:r>
    </w:p>
    <w:p w14:paraId="17726ADC" w14:textId="0783F19A" w:rsidR="00BC5242" w:rsidRPr="00621F78" w:rsidRDefault="00BC5242" w:rsidP="00BC5242">
      <w:pPr>
        <w:rPr>
          <w:lang w:val="en-AU"/>
        </w:rPr>
      </w:pPr>
      <w:r w:rsidRPr="00621F78">
        <w:rPr>
          <w:lang w:val="en-AU"/>
        </w:rPr>
        <w:t xml:space="preserve">We urge the government to stage the transition from the Coronavirus Supplement to the </w:t>
      </w:r>
      <w:r w:rsidR="005D79FA" w:rsidRPr="00621F78">
        <w:rPr>
          <w:lang w:val="en-AU"/>
        </w:rPr>
        <w:t>Adequate Income Floor</w:t>
      </w:r>
      <w:r w:rsidR="009212B2" w:rsidRPr="00621F78">
        <w:rPr>
          <w:lang w:val="en-AU"/>
        </w:rPr>
        <w:t xml:space="preserve"> to mitigate the impact of a reduction in income. Withdrawal of the Coronavirus Supplement overnight would cause </w:t>
      </w:r>
      <w:r w:rsidR="00081339" w:rsidRPr="00621F78">
        <w:rPr>
          <w:lang w:val="en-AU"/>
        </w:rPr>
        <w:t xml:space="preserve">an economic shock for people at a time of high unemployment and recession. </w:t>
      </w:r>
    </w:p>
    <w:p w14:paraId="1B0D3710" w14:textId="39BE07AF" w:rsidR="00E62623" w:rsidRPr="00621F78" w:rsidRDefault="008A4E2C" w:rsidP="00E62623">
      <w:pPr>
        <w:pStyle w:val="Heading2"/>
        <w:rPr>
          <w:lang w:val="en-AU"/>
        </w:rPr>
      </w:pPr>
      <w:r w:rsidRPr="00621F78">
        <w:rPr>
          <w:lang w:val="en-AU"/>
        </w:rPr>
        <w:t>What should continue after</w:t>
      </w:r>
      <w:r w:rsidR="00E62623" w:rsidRPr="00621F78">
        <w:rPr>
          <w:lang w:val="en-AU"/>
        </w:rPr>
        <w:t xml:space="preserve"> COVID-19</w:t>
      </w:r>
    </w:p>
    <w:p w14:paraId="391C1EA8" w14:textId="668D56CE" w:rsidR="0026681C" w:rsidRPr="00621F78" w:rsidRDefault="00BC1DE5" w:rsidP="00296843">
      <w:pPr>
        <w:rPr>
          <w:lang w:val="en-AU"/>
        </w:rPr>
      </w:pPr>
      <w:r w:rsidRPr="00621F78">
        <w:rPr>
          <w:lang w:val="en-AU"/>
        </w:rPr>
        <w:t>In addition to lifting</w:t>
      </w:r>
      <w:r w:rsidR="001E41EC" w:rsidRPr="00621F78">
        <w:rPr>
          <w:lang w:val="en-AU"/>
        </w:rPr>
        <w:t xml:space="preserve"> base payment rate</w:t>
      </w:r>
      <w:r w:rsidRPr="00621F78">
        <w:rPr>
          <w:lang w:val="en-AU"/>
        </w:rPr>
        <w:t>s</w:t>
      </w:r>
      <w:r w:rsidR="001E41EC" w:rsidRPr="00621F78">
        <w:rPr>
          <w:lang w:val="en-AU"/>
        </w:rPr>
        <w:t>, t</w:t>
      </w:r>
      <w:r w:rsidR="008C23D2" w:rsidRPr="00621F78">
        <w:rPr>
          <w:lang w:val="en-AU"/>
        </w:rPr>
        <w:t>here is</w:t>
      </w:r>
      <w:r w:rsidR="00E62623" w:rsidRPr="00621F78">
        <w:rPr>
          <w:lang w:val="en-AU"/>
        </w:rPr>
        <w:t xml:space="preserve"> a range of other </w:t>
      </w:r>
      <w:r w:rsidR="00BD42CD" w:rsidRPr="00621F78">
        <w:rPr>
          <w:lang w:val="en-AU"/>
        </w:rPr>
        <w:t xml:space="preserve">improvements </w:t>
      </w:r>
      <w:r w:rsidR="008C23D2" w:rsidRPr="00621F78">
        <w:rPr>
          <w:lang w:val="en-AU"/>
        </w:rPr>
        <w:t>i</w:t>
      </w:r>
      <w:r w:rsidR="00BD3B3E" w:rsidRPr="00621F78">
        <w:rPr>
          <w:lang w:val="en-AU"/>
        </w:rPr>
        <w:t>mplemented</w:t>
      </w:r>
      <w:r w:rsidR="008C23D2" w:rsidRPr="00621F78">
        <w:rPr>
          <w:lang w:val="en-AU"/>
        </w:rPr>
        <w:t xml:space="preserve"> by government </w:t>
      </w:r>
      <w:r w:rsidR="008A4E2C" w:rsidRPr="00621F78">
        <w:rPr>
          <w:lang w:val="en-AU"/>
        </w:rPr>
        <w:t>during the COVID-</w:t>
      </w:r>
      <w:r w:rsidR="001E41EC" w:rsidRPr="00621F78">
        <w:rPr>
          <w:lang w:val="en-AU"/>
        </w:rPr>
        <w:t xml:space="preserve">19 crisis </w:t>
      </w:r>
      <w:r w:rsidR="00E62623" w:rsidRPr="00621F78">
        <w:rPr>
          <w:lang w:val="en-AU"/>
        </w:rPr>
        <w:t xml:space="preserve">that should </w:t>
      </w:r>
      <w:r w:rsidR="008C23D2" w:rsidRPr="00621F78">
        <w:rPr>
          <w:lang w:val="en-AU"/>
        </w:rPr>
        <w:t xml:space="preserve">remain </w:t>
      </w:r>
      <w:r w:rsidR="00E62623" w:rsidRPr="00621F78">
        <w:rPr>
          <w:lang w:val="en-AU"/>
        </w:rPr>
        <w:t xml:space="preserve">after the pandemic, including: </w:t>
      </w:r>
    </w:p>
    <w:p w14:paraId="0FDE5749" w14:textId="4A9617C4" w:rsidR="00E62623" w:rsidRPr="00621F78" w:rsidRDefault="00E62623" w:rsidP="00E638D2">
      <w:pPr>
        <w:pStyle w:val="ListParagraph"/>
        <w:numPr>
          <w:ilvl w:val="0"/>
          <w:numId w:val="43"/>
        </w:numPr>
        <w:rPr>
          <w:rFonts w:ascii="Verdana" w:hAnsi="Verdana"/>
        </w:rPr>
      </w:pPr>
      <w:r w:rsidRPr="00621F78">
        <w:rPr>
          <w:rFonts w:ascii="Verdana" w:hAnsi="Verdana"/>
        </w:rPr>
        <w:lastRenderedPageBreak/>
        <w:t xml:space="preserve">Abolition of the Liquid Assets Waiting Period. </w:t>
      </w:r>
    </w:p>
    <w:p w14:paraId="5FC74A88" w14:textId="77777777" w:rsidR="00E62623" w:rsidRPr="00621F78" w:rsidRDefault="00E62623" w:rsidP="00E638D2">
      <w:pPr>
        <w:pStyle w:val="ListParagraph"/>
        <w:numPr>
          <w:ilvl w:val="0"/>
          <w:numId w:val="43"/>
        </w:numPr>
        <w:rPr>
          <w:rFonts w:ascii="Verdana" w:hAnsi="Verdana"/>
        </w:rPr>
      </w:pPr>
      <w:r w:rsidRPr="00621F78">
        <w:rPr>
          <w:rFonts w:ascii="Verdana" w:hAnsi="Verdana"/>
        </w:rPr>
        <w:t xml:space="preserve">Abolition of the one-week waiting period for income support payments. </w:t>
      </w:r>
    </w:p>
    <w:p w14:paraId="762CADB1" w14:textId="0B17723F" w:rsidR="00BD3B3E" w:rsidRPr="00621F78" w:rsidRDefault="00BD3B3E" w:rsidP="00E638D2">
      <w:pPr>
        <w:pStyle w:val="ListParagraph"/>
        <w:numPr>
          <w:ilvl w:val="0"/>
          <w:numId w:val="43"/>
        </w:numPr>
        <w:rPr>
          <w:rFonts w:ascii="Verdana" w:hAnsi="Verdana"/>
        </w:rPr>
      </w:pPr>
      <w:r w:rsidRPr="00621F78">
        <w:rPr>
          <w:rFonts w:ascii="Verdana" w:hAnsi="Verdana"/>
        </w:rPr>
        <w:t>Removal of unnecessary claim processes like the Third Party Verification of claims for single parents</w:t>
      </w:r>
      <w:r w:rsidR="001E41EC" w:rsidRPr="00621F78">
        <w:rPr>
          <w:rFonts w:ascii="Verdana" w:hAnsi="Verdana"/>
        </w:rPr>
        <w:t>.</w:t>
      </w:r>
    </w:p>
    <w:p w14:paraId="2B1051F2" w14:textId="1D86885F" w:rsidR="00BD3B3E" w:rsidRPr="00621F78" w:rsidRDefault="00BD3B3E" w:rsidP="00E638D2">
      <w:pPr>
        <w:pStyle w:val="ListParagraph"/>
        <w:numPr>
          <w:ilvl w:val="0"/>
          <w:numId w:val="43"/>
        </w:numPr>
        <w:spacing w:after="0" w:line="240" w:lineRule="auto"/>
        <w:rPr>
          <w:rFonts w:ascii="Verdana" w:eastAsia="Times New Roman" w:hAnsi="Verdana" w:cs="Times New Roman"/>
        </w:rPr>
      </w:pPr>
      <w:r w:rsidRPr="00621F78">
        <w:rPr>
          <w:rFonts w:ascii="Verdana" w:eastAsia="Times New Roman" w:hAnsi="Verdana" w:cs="Times New Roman"/>
        </w:rPr>
        <w:t>Restoration of the Intent to Claim provisions for all</w:t>
      </w:r>
      <w:r w:rsidR="001E41EC" w:rsidRPr="00621F78">
        <w:rPr>
          <w:rFonts w:ascii="Verdana" w:eastAsia="Times New Roman" w:hAnsi="Verdana" w:cs="Times New Roman"/>
        </w:rPr>
        <w:t>.</w:t>
      </w:r>
      <w:r w:rsidRPr="00621F78">
        <w:rPr>
          <w:rFonts w:ascii="Verdana" w:eastAsia="Times New Roman" w:hAnsi="Verdana" w:cs="Times New Roman"/>
        </w:rPr>
        <w:t xml:space="preserve"> </w:t>
      </w:r>
    </w:p>
    <w:p w14:paraId="2C246EBB" w14:textId="4D2A61CD" w:rsidR="00BD3B3E" w:rsidRPr="00621F78" w:rsidRDefault="00BD3B3E" w:rsidP="00E638D2">
      <w:pPr>
        <w:pStyle w:val="ListParagraph"/>
        <w:numPr>
          <w:ilvl w:val="0"/>
          <w:numId w:val="43"/>
        </w:numPr>
        <w:spacing w:after="0" w:line="240" w:lineRule="auto"/>
        <w:rPr>
          <w:rFonts w:ascii="Verdana" w:eastAsia="Times New Roman" w:hAnsi="Verdana" w:cs="Times New Roman"/>
        </w:rPr>
      </w:pPr>
      <w:r w:rsidRPr="00621F78">
        <w:rPr>
          <w:rFonts w:ascii="Verdana" w:eastAsia="Times New Roman" w:hAnsi="Verdana" w:cs="Times New Roman"/>
        </w:rPr>
        <w:t>Allowing people to claim income support online</w:t>
      </w:r>
      <w:r w:rsidR="001E41EC" w:rsidRPr="00621F78">
        <w:rPr>
          <w:rFonts w:ascii="Verdana" w:eastAsia="Times New Roman" w:hAnsi="Verdana" w:cs="Times New Roman"/>
        </w:rPr>
        <w:t>.</w:t>
      </w:r>
    </w:p>
    <w:p w14:paraId="0CB8D028" w14:textId="29190970" w:rsidR="00BD3B3E" w:rsidRPr="00621F78" w:rsidRDefault="00BD3B3E" w:rsidP="00E638D2">
      <w:pPr>
        <w:pStyle w:val="ListParagraph"/>
        <w:numPr>
          <w:ilvl w:val="0"/>
          <w:numId w:val="43"/>
        </w:numPr>
        <w:spacing w:after="0" w:line="240" w:lineRule="auto"/>
        <w:rPr>
          <w:rFonts w:ascii="Verdana" w:eastAsia="Times New Roman" w:hAnsi="Verdana" w:cs="Times New Roman"/>
        </w:rPr>
      </w:pPr>
      <w:r w:rsidRPr="00621F78">
        <w:rPr>
          <w:rFonts w:ascii="Verdana" w:eastAsia="Times New Roman" w:hAnsi="Verdana" w:cs="Times New Roman"/>
        </w:rPr>
        <w:t>Increased Centrelink staffing</w:t>
      </w:r>
      <w:r w:rsidR="00BD717B" w:rsidRPr="00621F78">
        <w:rPr>
          <w:rFonts w:ascii="Verdana" w:eastAsia="Times New Roman" w:hAnsi="Verdana" w:cs="Times New Roman"/>
        </w:rPr>
        <w:t xml:space="preserve"> (permanent positions)</w:t>
      </w:r>
      <w:r w:rsidR="001E41EC" w:rsidRPr="00621F78">
        <w:rPr>
          <w:rFonts w:ascii="Verdana" w:eastAsia="Times New Roman" w:hAnsi="Verdana" w:cs="Times New Roman"/>
        </w:rPr>
        <w:t>.</w:t>
      </w:r>
    </w:p>
    <w:p w14:paraId="7B833A64" w14:textId="20D3D722" w:rsidR="00E62623" w:rsidRPr="00621F78" w:rsidRDefault="001E41EC" w:rsidP="00E638D2">
      <w:pPr>
        <w:pStyle w:val="ListParagraph"/>
        <w:numPr>
          <w:ilvl w:val="0"/>
          <w:numId w:val="43"/>
        </w:numPr>
        <w:rPr>
          <w:rFonts w:ascii="Verdana" w:hAnsi="Verdana"/>
        </w:rPr>
      </w:pPr>
      <w:r w:rsidRPr="00621F78">
        <w:rPr>
          <w:rFonts w:ascii="Verdana" w:hAnsi="Verdana"/>
        </w:rPr>
        <w:t>The</w:t>
      </w:r>
      <w:r w:rsidR="00E62623" w:rsidRPr="00621F78">
        <w:rPr>
          <w:rFonts w:ascii="Verdana" w:hAnsi="Verdana"/>
        </w:rPr>
        <w:t xml:space="preserve"> Newly Arrived Residents Waiting Period</w:t>
      </w:r>
      <w:r w:rsidRPr="00621F78">
        <w:rPr>
          <w:rFonts w:ascii="Verdana" w:hAnsi="Verdana"/>
        </w:rPr>
        <w:t>, suspended</w:t>
      </w:r>
      <w:r w:rsidR="00E62623" w:rsidRPr="00621F78">
        <w:rPr>
          <w:rFonts w:ascii="Verdana" w:hAnsi="Verdana"/>
        </w:rPr>
        <w:t xml:space="preserve"> during the COVID-19 crisis</w:t>
      </w:r>
      <w:r w:rsidRPr="00621F78">
        <w:rPr>
          <w:rFonts w:ascii="Verdana" w:hAnsi="Verdana"/>
        </w:rPr>
        <w:t xml:space="preserve">, should be </w:t>
      </w:r>
      <w:r w:rsidR="00E62623" w:rsidRPr="00621F78">
        <w:rPr>
          <w:rFonts w:ascii="Verdana" w:hAnsi="Verdana"/>
        </w:rPr>
        <w:t xml:space="preserve">reduced after the pandemic to six months as it was when first introduced.  </w:t>
      </w:r>
    </w:p>
    <w:p w14:paraId="1480BBDA" w14:textId="3CE362EE" w:rsidR="00752527" w:rsidRPr="00621F78" w:rsidRDefault="00B60A70" w:rsidP="004B39D0">
      <w:pPr>
        <w:pStyle w:val="Heading1"/>
        <w:rPr>
          <w:lang w:val="en-AU"/>
        </w:rPr>
      </w:pPr>
      <w:r w:rsidRPr="00621F78">
        <w:rPr>
          <w:lang w:val="en-AU"/>
        </w:rPr>
        <w:t>Summary of r</w:t>
      </w:r>
      <w:r w:rsidR="00752527" w:rsidRPr="00621F78">
        <w:rPr>
          <w:lang w:val="en-AU"/>
        </w:rPr>
        <w:t>ecommendations for permanent reform</w:t>
      </w:r>
    </w:p>
    <w:p w14:paraId="5DE5DAFB" w14:textId="77777777" w:rsidR="00D85502" w:rsidRPr="00621F78" w:rsidRDefault="00D85502" w:rsidP="00E232F3">
      <w:pPr>
        <w:pStyle w:val="Heading3"/>
        <w:rPr>
          <w:b/>
          <w:lang w:val="en-AU"/>
        </w:rPr>
      </w:pPr>
    </w:p>
    <w:p w14:paraId="7DB46A92" w14:textId="0718EA98" w:rsidR="00D85502" w:rsidRPr="003470F2" w:rsidRDefault="00D85502" w:rsidP="00D85502">
      <w:pPr>
        <w:rPr>
          <w:lang w:val="en-AU"/>
        </w:rPr>
      </w:pPr>
      <w:r w:rsidRPr="003470F2">
        <w:rPr>
          <w:lang w:val="en-AU"/>
        </w:rPr>
        <w:t xml:space="preserve">ACOSS recommends that the following be implemented as </w:t>
      </w:r>
      <w:r w:rsidR="004A4059">
        <w:rPr>
          <w:lang w:val="en-AU"/>
        </w:rPr>
        <w:t>soon as possible</w:t>
      </w:r>
      <w:r w:rsidRPr="003470F2">
        <w:rPr>
          <w:lang w:val="en-AU"/>
        </w:rPr>
        <w:t xml:space="preserve">: </w:t>
      </w:r>
    </w:p>
    <w:p w14:paraId="0D69589B" w14:textId="77777777" w:rsidR="00D85502" w:rsidRPr="003470F2" w:rsidRDefault="00D85502" w:rsidP="00D85502">
      <w:pPr>
        <w:ind w:firstLine="360"/>
        <w:rPr>
          <w:b/>
          <w:i/>
          <w:lang w:val="en-AU"/>
        </w:rPr>
      </w:pPr>
      <w:r w:rsidRPr="003470F2">
        <w:rPr>
          <w:b/>
          <w:i/>
          <w:lang w:val="en-AU"/>
        </w:rPr>
        <w:t>Adequate and fair payment rates</w:t>
      </w:r>
    </w:p>
    <w:p w14:paraId="1D78E5A3" w14:textId="77777777" w:rsidR="00D85502" w:rsidRPr="003470F2" w:rsidRDefault="00D85502" w:rsidP="00D85502">
      <w:pPr>
        <w:pStyle w:val="ListParagraph"/>
        <w:numPr>
          <w:ilvl w:val="0"/>
          <w:numId w:val="42"/>
        </w:numPr>
        <w:rPr>
          <w:rFonts w:ascii="Verdana" w:hAnsi="Verdana"/>
        </w:rPr>
      </w:pPr>
      <w:r w:rsidRPr="003470F2">
        <w:rPr>
          <w:rFonts w:ascii="Verdana" w:hAnsi="Verdana"/>
        </w:rPr>
        <w:t xml:space="preserve">Set a minimum income floor across the working age payments system set at the current pension rate (including the Pension Supplement). This is currently $472 per week for a single person. </w:t>
      </w:r>
    </w:p>
    <w:p w14:paraId="420E61F3" w14:textId="77777777" w:rsidR="00D85502" w:rsidRPr="003470F2" w:rsidRDefault="00D85502" w:rsidP="00D85502">
      <w:pPr>
        <w:pStyle w:val="ListParagraph"/>
        <w:numPr>
          <w:ilvl w:val="0"/>
          <w:numId w:val="42"/>
        </w:numPr>
        <w:rPr>
          <w:rFonts w:ascii="Verdana" w:hAnsi="Verdana"/>
        </w:rPr>
      </w:pPr>
      <w:r w:rsidRPr="003470F2">
        <w:rPr>
          <w:rFonts w:ascii="Verdana" w:hAnsi="Verdana"/>
        </w:rPr>
        <w:t xml:space="preserve">Increase base rates of allowances to this income floor. This would require an increase of $185pw to the single maximum rate of JobSeeker Payment and $235 per week for single, maximum rate of Youth Allowance. This would simplify the income support system, while securing fairness. (Note. These increases would apply to all allowance payments, including Austudy and Abstudy).  </w:t>
      </w:r>
    </w:p>
    <w:p w14:paraId="3CD088E9" w14:textId="77777777" w:rsidR="00D85502" w:rsidRPr="003470F2" w:rsidRDefault="00D85502" w:rsidP="00D85502">
      <w:pPr>
        <w:pStyle w:val="ListParagraph"/>
        <w:numPr>
          <w:ilvl w:val="0"/>
          <w:numId w:val="42"/>
        </w:numPr>
        <w:rPr>
          <w:rFonts w:ascii="Verdana" w:hAnsi="Verdana"/>
        </w:rPr>
      </w:pPr>
      <w:r w:rsidRPr="003470F2">
        <w:rPr>
          <w:rFonts w:ascii="Verdana" w:hAnsi="Verdana"/>
        </w:rPr>
        <w:t>In addition, depending on circumstances of need, people would also receive one or more of the following supplements:</w:t>
      </w:r>
    </w:p>
    <w:p w14:paraId="2721201F" w14:textId="62BFB561" w:rsidR="00D85502" w:rsidRPr="003470F2" w:rsidRDefault="00D85502" w:rsidP="00D85502">
      <w:pPr>
        <w:pStyle w:val="ListParagraph"/>
        <w:numPr>
          <w:ilvl w:val="1"/>
          <w:numId w:val="42"/>
        </w:numPr>
        <w:rPr>
          <w:rFonts w:ascii="Verdana" w:hAnsi="Verdana"/>
        </w:rPr>
      </w:pPr>
      <w:r w:rsidRPr="003470F2">
        <w:rPr>
          <w:rFonts w:ascii="Verdana" w:hAnsi="Verdana"/>
          <w:i/>
        </w:rPr>
        <w:t>Housing Supplement</w:t>
      </w:r>
      <w:r w:rsidRPr="003470F2">
        <w:rPr>
          <w:rFonts w:ascii="Verdana" w:hAnsi="Verdana"/>
        </w:rPr>
        <w:t xml:space="preserve">: Increase the maximum rate of Commonwealth Rent Assistance </w:t>
      </w:r>
      <w:r w:rsidR="004F1C90">
        <w:rPr>
          <w:rFonts w:ascii="Verdana" w:hAnsi="Verdana"/>
        </w:rPr>
        <w:t xml:space="preserve">by 50% </w:t>
      </w:r>
      <w:r w:rsidRPr="003470F2">
        <w:rPr>
          <w:rFonts w:ascii="Verdana" w:hAnsi="Verdana"/>
        </w:rPr>
        <w:t>to more adequately subsidise private rental costs for low-income tenants.</w:t>
      </w:r>
    </w:p>
    <w:p w14:paraId="3CDA180F" w14:textId="25B20742" w:rsidR="00D85502" w:rsidRPr="003470F2" w:rsidRDefault="00D85502" w:rsidP="00D85502">
      <w:pPr>
        <w:pStyle w:val="ListParagraph"/>
        <w:numPr>
          <w:ilvl w:val="1"/>
          <w:numId w:val="42"/>
        </w:numPr>
        <w:rPr>
          <w:rFonts w:ascii="Verdana" w:hAnsi="Verdana"/>
        </w:rPr>
      </w:pPr>
      <w:r w:rsidRPr="003470F2">
        <w:rPr>
          <w:rFonts w:ascii="Verdana" w:hAnsi="Verdana"/>
          <w:i/>
        </w:rPr>
        <w:t>Disability and Illness Supplement</w:t>
      </w:r>
      <w:r w:rsidRPr="003470F2">
        <w:rPr>
          <w:rFonts w:ascii="Verdana" w:hAnsi="Verdana"/>
        </w:rPr>
        <w:t>: Introduce a Cost of Disability and Illness Supplement that recognises the additional costs faced by people wi</w:t>
      </w:r>
      <w:r w:rsidR="00EC3E43">
        <w:rPr>
          <w:rFonts w:ascii="Verdana" w:hAnsi="Verdana"/>
        </w:rPr>
        <w:t xml:space="preserve">th disability. This Supplement </w:t>
      </w:r>
      <w:r w:rsidRPr="003470F2">
        <w:rPr>
          <w:rFonts w:ascii="Verdana" w:hAnsi="Verdana"/>
        </w:rPr>
        <w:t>should be at least $50 per week. This is in addition to ACOSS’s long-standing call for broader access to the Disability Support Pension to avoid people with disability ending up on JobSeeker Payment.</w:t>
      </w:r>
    </w:p>
    <w:p w14:paraId="15D9C647" w14:textId="77777777" w:rsidR="00D85502" w:rsidRPr="003470F2" w:rsidRDefault="00D85502" w:rsidP="00D85502">
      <w:pPr>
        <w:pStyle w:val="ListParagraph"/>
        <w:numPr>
          <w:ilvl w:val="1"/>
          <w:numId w:val="42"/>
        </w:numPr>
        <w:rPr>
          <w:rFonts w:ascii="Verdana" w:hAnsi="Verdana"/>
        </w:rPr>
      </w:pPr>
      <w:r w:rsidRPr="003470F2">
        <w:rPr>
          <w:rFonts w:ascii="Verdana" w:hAnsi="Verdana"/>
          <w:i/>
        </w:rPr>
        <w:t>Single Parenting Supplement</w:t>
      </w:r>
      <w:r w:rsidRPr="003470F2">
        <w:rPr>
          <w:rFonts w:ascii="Verdana" w:hAnsi="Verdana"/>
        </w:rPr>
        <w:t>: Introduce a Single Parent Supplement that recognises the added costs of single parenthood. The Single Parent Supplement should be at least $200 per week (and must reflect number and age of children). This could be paid via Family Tax Benefit Part B.</w:t>
      </w:r>
    </w:p>
    <w:p w14:paraId="5E984890" w14:textId="77777777" w:rsidR="00D85502" w:rsidRDefault="00D85502" w:rsidP="00D85502">
      <w:pPr>
        <w:pStyle w:val="ListParagraph"/>
        <w:numPr>
          <w:ilvl w:val="0"/>
          <w:numId w:val="42"/>
        </w:numPr>
        <w:rPr>
          <w:rFonts w:ascii="Verdana" w:hAnsi="Verdana"/>
        </w:rPr>
      </w:pPr>
      <w:r w:rsidRPr="003470F2">
        <w:rPr>
          <w:rFonts w:ascii="Verdana" w:hAnsi="Verdana"/>
        </w:rPr>
        <w:lastRenderedPageBreak/>
        <w:t xml:space="preserve">Roll universal payments like the Energy Supplement into base rates of income support to simplify the system, recognising that they are intended to assist with basic household expenses. </w:t>
      </w:r>
    </w:p>
    <w:p w14:paraId="1AED8FD5" w14:textId="1F970C76" w:rsidR="00AC1BFF" w:rsidRDefault="00AC1BFF" w:rsidP="00AC1BFF">
      <w:pPr>
        <w:pStyle w:val="ListParagraph"/>
        <w:numPr>
          <w:ilvl w:val="0"/>
          <w:numId w:val="42"/>
        </w:numPr>
        <w:rPr>
          <w:rFonts w:ascii="Verdana" w:hAnsi="Verdana"/>
        </w:rPr>
      </w:pPr>
      <w:r w:rsidRPr="00AC1BFF">
        <w:rPr>
          <w:rFonts w:ascii="Verdana" w:hAnsi="Verdana"/>
        </w:rPr>
        <w:t>Index income support payments twice per year to wages as well as prices.</w:t>
      </w:r>
    </w:p>
    <w:p w14:paraId="4B7ECBE9" w14:textId="3BBF4987" w:rsidR="00D85502" w:rsidRPr="00016998" w:rsidRDefault="00D85502" w:rsidP="00D85502">
      <w:pPr>
        <w:pStyle w:val="ListParagraph"/>
        <w:numPr>
          <w:ilvl w:val="0"/>
          <w:numId w:val="42"/>
        </w:numPr>
        <w:rPr>
          <w:rFonts w:ascii="Verdana" w:hAnsi="Verdana"/>
        </w:rPr>
      </w:pPr>
      <w:r w:rsidRPr="00016998">
        <w:rPr>
          <w:rFonts w:ascii="Verdana" w:hAnsi="Verdana"/>
        </w:rPr>
        <w:t>Income support payments must not be subject to mandatory cashless debit or income management.</w:t>
      </w:r>
    </w:p>
    <w:p w14:paraId="31195330" w14:textId="41DE9B5C" w:rsidR="00016998" w:rsidRPr="00016998" w:rsidRDefault="00016998" w:rsidP="00016998">
      <w:pPr>
        <w:pStyle w:val="ListParagraph"/>
        <w:numPr>
          <w:ilvl w:val="0"/>
          <w:numId w:val="42"/>
        </w:numPr>
        <w:rPr>
          <w:rFonts w:ascii="Verdana" w:eastAsia="Times New Roman" w:hAnsi="Verdana"/>
        </w:rPr>
      </w:pPr>
      <w:r w:rsidRPr="00016998">
        <w:rPr>
          <w:rFonts w:ascii="Verdana" w:eastAsia="Times New Roman" w:hAnsi="Verdana"/>
        </w:rPr>
        <w:t xml:space="preserve">Ensure all parents receiving income support payments are eligible for child care subsidies (including additional, transition to work subsidies). </w:t>
      </w:r>
    </w:p>
    <w:p w14:paraId="1324B40D" w14:textId="77777777" w:rsidR="00D85502" w:rsidRPr="003470F2" w:rsidRDefault="00D85502" w:rsidP="00D85502">
      <w:pPr>
        <w:rPr>
          <w:b/>
          <w:i/>
          <w:lang w:val="en-AU"/>
        </w:rPr>
      </w:pPr>
      <w:r w:rsidRPr="003470F2">
        <w:rPr>
          <w:b/>
          <w:i/>
          <w:lang w:val="en-AU"/>
        </w:rPr>
        <w:t>Remove barriers to accessing payments</w:t>
      </w:r>
    </w:p>
    <w:p w14:paraId="021C143E" w14:textId="77777777" w:rsidR="00D85502" w:rsidRPr="003470F2" w:rsidRDefault="00D85502" w:rsidP="00D85502">
      <w:pPr>
        <w:pStyle w:val="ListParagraph"/>
        <w:numPr>
          <w:ilvl w:val="0"/>
          <w:numId w:val="42"/>
        </w:numPr>
        <w:rPr>
          <w:rFonts w:ascii="Verdana" w:hAnsi="Verdana"/>
        </w:rPr>
      </w:pPr>
      <w:r w:rsidRPr="003470F2">
        <w:rPr>
          <w:rFonts w:ascii="Verdana" w:hAnsi="Verdana"/>
        </w:rPr>
        <w:t xml:space="preserve">Permanently remove the Liquid Assets Waiting Period, One-Week Waiting Period and the Third Party Verification claim requirement. </w:t>
      </w:r>
    </w:p>
    <w:p w14:paraId="73160CEB" w14:textId="77777777" w:rsidR="00EC3E43" w:rsidRPr="00621F78" w:rsidRDefault="00EC3E43" w:rsidP="00EC3E43">
      <w:pPr>
        <w:pStyle w:val="ListParagraph"/>
        <w:numPr>
          <w:ilvl w:val="0"/>
          <w:numId w:val="42"/>
        </w:numPr>
        <w:rPr>
          <w:rFonts w:ascii="Verdana" w:hAnsi="Verdana"/>
        </w:rPr>
      </w:pPr>
      <w:r w:rsidRPr="00621F78">
        <w:rPr>
          <w:rFonts w:ascii="Verdana" w:hAnsi="Verdana"/>
        </w:rPr>
        <w:t xml:space="preserve">The Newly Arrived Residents Waiting Period, suspended during the COVID-19 crisis, should be reduced after the pandemic to </w:t>
      </w:r>
      <w:r>
        <w:rPr>
          <w:rFonts w:ascii="Verdana" w:hAnsi="Verdana"/>
        </w:rPr>
        <w:t xml:space="preserve">a maximum of </w:t>
      </w:r>
      <w:r w:rsidRPr="00621F78">
        <w:rPr>
          <w:rFonts w:ascii="Verdana" w:hAnsi="Verdana"/>
        </w:rPr>
        <w:t>six months (as it was when first introduced).</w:t>
      </w:r>
      <w:r>
        <w:rPr>
          <w:rFonts w:ascii="Verdana" w:hAnsi="Verdana"/>
        </w:rPr>
        <w:t xml:space="preserve"> Furthermore, anyone who has accessed income support under this suspension should be able to continue to access income support once the suspension is lifted, providing they have financial need (as many may be without paid work).  </w:t>
      </w:r>
      <w:r w:rsidRPr="00621F78">
        <w:rPr>
          <w:rFonts w:ascii="Verdana" w:hAnsi="Verdana"/>
        </w:rPr>
        <w:t xml:space="preserve"> </w:t>
      </w:r>
    </w:p>
    <w:p w14:paraId="0548A346" w14:textId="77777777" w:rsidR="00D85502" w:rsidRPr="003470F2" w:rsidRDefault="00D85502" w:rsidP="00D85502">
      <w:pPr>
        <w:pStyle w:val="ListParagraph"/>
        <w:numPr>
          <w:ilvl w:val="0"/>
          <w:numId w:val="42"/>
        </w:numPr>
        <w:rPr>
          <w:rFonts w:ascii="Verdana" w:hAnsi="Verdana"/>
        </w:rPr>
      </w:pPr>
      <w:r w:rsidRPr="003470F2">
        <w:rPr>
          <w:rFonts w:ascii="Verdana" w:hAnsi="Verdana"/>
        </w:rPr>
        <w:t>Increase permanent staff numbers at Centrelink.</w:t>
      </w:r>
    </w:p>
    <w:p w14:paraId="4EAC58C3" w14:textId="77777777" w:rsidR="00D85502" w:rsidRPr="003470F2" w:rsidRDefault="00D85502" w:rsidP="00D85502">
      <w:pPr>
        <w:pStyle w:val="ListParagraph"/>
        <w:numPr>
          <w:ilvl w:val="0"/>
          <w:numId w:val="42"/>
        </w:numPr>
        <w:rPr>
          <w:rFonts w:ascii="Verdana" w:hAnsi="Verdana"/>
        </w:rPr>
      </w:pPr>
      <w:r w:rsidRPr="003470F2">
        <w:rPr>
          <w:rFonts w:ascii="Verdana" w:hAnsi="Verdana"/>
        </w:rPr>
        <w:t xml:space="preserve">Continue online payment claims as well as Intent to Claim for everyone who needs it. </w:t>
      </w:r>
    </w:p>
    <w:p w14:paraId="44D5FF18" w14:textId="77777777" w:rsidR="00D85502" w:rsidRPr="003470F2" w:rsidRDefault="00D85502" w:rsidP="00D85502">
      <w:pPr>
        <w:rPr>
          <w:b/>
          <w:i/>
          <w:lang w:val="en-AU"/>
        </w:rPr>
      </w:pPr>
      <w:r w:rsidRPr="003470F2">
        <w:rPr>
          <w:b/>
          <w:i/>
          <w:lang w:val="en-AU"/>
        </w:rPr>
        <w:t>Establish an independent mechanism to advise on income support payment settings</w:t>
      </w:r>
    </w:p>
    <w:p w14:paraId="60A80EE3" w14:textId="77777777" w:rsidR="00D85502" w:rsidRPr="003470F2" w:rsidRDefault="00D85502" w:rsidP="00D85502">
      <w:pPr>
        <w:pStyle w:val="ListParagraph"/>
        <w:numPr>
          <w:ilvl w:val="0"/>
          <w:numId w:val="42"/>
        </w:numPr>
        <w:rPr>
          <w:rFonts w:ascii="Verdana" w:hAnsi="Verdana"/>
        </w:rPr>
      </w:pPr>
      <w:r w:rsidRPr="003470F2">
        <w:rPr>
          <w:rFonts w:ascii="Verdana" w:hAnsi="Verdana"/>
        </w:rPr>
        <w:t xml:space="preserve">Establish a Social Security Commission to guide the parliament on income support payment adequacy and other settings over time.  </w:t>
      </w:r>
    </w:p>
    <w:p w14:paraId="4E28BD77" w14:textId="77777777" w:rsidR="00560B9F" w:rsidRPr="00621F78" w:rsidRDefault="00560B9F" w:rsidP="00560B9F">
      <w:pPr>
        <w:rPr>
          <w:lang w:val="en-AU"/>
        </w:rPr>
      </w:pPr>
      <w:r w:rsidRPr="00621F78">
        <w:rPr>
          <w:noProof/>
        </w:rPr>
        <w:drawing>
          <wp:inline distT="0" distB="0" distL="0" distR="0" wp14:anchorId="0BF96389" wp14:editId="796C486C">
            <wp:extent cx="359664" cy="359664"/>
            <wp:effectExtent l="0" t="0" r="2540" b="2540"/>
            <wp:docPr id="7" name="Picture 7"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664" cy="359664"/>
                    </a:xfrm>
                    <a:prstGeom prst="rect">
                      <a:avLst/>
                    </a:prstGeom>
                  </pic:spPr>
                </pic:pic>
              </a:graphicData>
            </a:graphic>
          </wp:inline>
        </w:drawing>
      </w:r>
    </w:p>
    <w:p w14:paraId="02AF2D4B" w14:textId="77777777" w:rsidR="000B30AB" w:rsidRPr="00621F78" w:rsidRDefault="000B30AB" w:rsidP="00186341">
      <w:pPr>
        <w:rPr>
          <w:lang w:val="en-AU"/>
        </w:rPr>
      </w:pPr>
    </w:p>
    <w:p w14:paraId="04335D24" w14:textId="52F3715E" w:rsidR="000B30AB" w:rsidRPr="00621F78" w:rsidRDefault="000B30AB" w:rsidP="000B30AB">
      <w:pPr>
        <w:rPr>
          <w:lang w:val="en-AU"/>
        </w:rPr>
      </w:pPr>
    </w:p>
    <w:sectPr w:rsidR="000B30AB" w:rsidRPr="00621F7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9867B" w14:textId="77777777" w:rsidR="00552876" w:rsidRDefault="00552876" w:rsidP="0030414A">
      <w:pPr>
        <w:spacing w:after="0" w:line="240" w:lineRule="auto"/>
      </w:pPr>
      <w:r>
        <w:separator/>
      </w:r>
    </w:p>
  </w:endnote>
  <w:endnote w:type="continuationSeparator" w:id="0">
    <w:p w14:paraId="3A62FECF" w14:textId="77777777" w:rsidR="00552876" w:rsidRDefault="00552876" w:rsidP="003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Palatino Linotype">
    <w:panose1 w:val="02040502050505030304"/>
    <w:charset w:val="00"/>
    <w:family w:val="auto"/>
    <w:pitch w:val="variable"/>
    <w:sig w:usb0="E0000287" w:usb1="40000013"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77B0750" w14:textId="77777777" w:rsidR="00393F36" w:rsidRDefault="00393F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155496311"/>
      <w:docPartObj>
        <w:docPartGallery w:val="Page Numbers (Bottom of Page)"/>
        <w:docPartUnique/>
      </w:docPartObj>
    </w:sdtPr>
    <w:sdtEndPr>
      <w:rPr>
        <w:noProof/>
      </w:rPr>
    </w:sdtEndPr>
    <w:sdtContent>
      <w:p w14:paraId="77A335A6" w14:textId="7B1DA8BB" w:rsidR="00E10E0F" w:rsidRDefault="00E10E0F">
        <w:pPr>
          <w:pStyle w:val="Footer"/>
        </w:pPr>
        <w:r>
          <w:fldChar w:fldCharType="begin"/>
        </w:r>
        <w:r>
          <w:instrText xml:space="preserve"> PAGE   \* MERGEFORMAT </w:instrText>
        </w:r>
        <w:r>
          <w:fldChar w:fldCharType="separate"/>
        </w:r>
        <w:r w:rsidR="005F739A">
          <w:rPr>
            <w:noProof/>
          </w:rPr>
          <w:t>1</w:t>
        </w:r>
        <w:r>
          <w:rPr>
            <w:noProof/>
          </w:rPr>
          <w:fldChar w:fldCharType="end"/>
        </w:r>
      </w:p>
    </w:sdtContent>
  </w:sdt>
  <w:p w14:paraId="4B4E13B8" w14:textId="77777777" w:rsidR="0030414A" w:rsidRDefault="00D14896" w:rsidP="00D14896">
    <w:pPr>
      <w:pStyle w:val="Footer"/>
      <w:tabs>
        <w:tab w:val="clear" w:pos="4680"/>
        <w:tab w:val="clear" w:pos="9360"/>
        <w:tab w:val="left" w:pos="5205"/>
      </w:tabs>
      <w:jc w:val="center"/>
    </w:pPr>
    <w:r>
      <w:rPr>
        <w:sz w:val="16"/>
      </w:rPr>
      <w:t xml:space="preserve">© </w:t>
    </w:r>
    <w:r w:rsidRPr="00BD087C">
      <w:rPr>
        <w:sz w:val="16"/>
      </w:rPr>
      <w:t>ACOSS</w:t>
    </w:r>
    <w:r>
      <w:rPr>
        <w:sz w:val="16"/>
      </w:rPr>
      <w:t xml:space="preserve"> 2020, </w:t>
    </w:r>
    <w:r w:rsidRPr="00BD087C">
      <w:rPr>
        <w:sz w:val="16"/>
      </w:rPr>
      <w:t>Locked Bag</w:t>
    </w:r>
    <w:r>
      <w:rPr>
        <w:sz w:val="16"/>
      </w:rPr>
      <w:t xml:space="preserve"> 4777 Strawberry Hills NSW 2012</w:t>
    </w:r>
    <w:r>
      <w:rPr>
        <w:sz w:val="16"/>
      </w:rPr>
      <w:br/>
    </w:r>
    <w:r w:rsidRPr="00BD087C">
      <w:rPr>
        <w:sz w:val="16"/>
      </w:rPr>
      <w:t>Ph (</w:t>
    </w:r>
    <w:r>
      <w:rPr>
        <w:sz w:val="16"/>
      </w:rPr>
      <w:t>02) 9310 6200</w:t>
    </w:r>
    <w:r w:rsidRPr="00BD087C">
      <w:rPr>
        <w:sz w:val="16"/>
      </w:rPr>
      <w:t xml:space="preserve"> </w:t>
    </w:r>
    <w:r>
      <w:rPr>
        <w:sz w:val="16"/>
      </w:rPr>
      <w:t xml:space="preserve">E: </w:t>
    </w:r>
    <w:hyperlink r:id="rId1" w:history="1">
      <w:r w:rsidRPr="00292056">
        <w:rPr>
          <w:rStyle w:val="Hyperlink"/>
          <w:b/>
          <w:sz w:val="16"/>
        </w:rPr>
        <w:t>info@acoss.org.au</w:t>
      </w:r>
    </w:hyperlink>
    <w:r>
      <w:rPr>
        <w:b/>
        <w:sz w:val="16"/>
      </w:rPr>
      <w:br/>
    </w:r>
    <w:hyperlink r:id="rId2" w:history="1">
      <w:r w:rsidR="00916C48">
        <w:rPr>
          <w:rStyle w:val="Hyperlink"/>
          <w:b/>
          <w:sz w:val="16"/>
        </w:rPr>
        <w:t>ACOSS Website</w:t>
      </w:r>
    </w:hyperlink>
    <w:r>
      <w:rPr>
        <w:b/>
        <w:sz w:val="16"/>
      </w:rPr>
      <w:br/>
    </w:r>
    <w:r w:rsidRPr="00BD087C">
      <w:rPr>
        <w:sz w:val="16"/>
      </w:rPr>
      <w:t>ISSN</w:t>
    </w:r>
    <w:r>
      <w:rPr>
        <w:sz w:val="16"/>
      </w:rPr>
      <w:t>:</w:t>
    </w:r>
    <w:r w:rsidRPr="00BD087C">
      <w:rPr>
        <w:sz w:val="16"/>
      </w:rPr>
      <w:t xml:space="preserve"> 1326 7124</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BE598D2" w14:textId="77777777" w:rsidR="00393F36" w:rsidRDefault="00393F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6BA70" w14:textId="77777777" w:rsidR="00552876" w:rsidRDefault="00552876" w:rsidP="0030414A">
      <w:pPr>
        <w:spacing w:after="0" w:line="240" w:lineRule="auto"/>
      </w:pPr>
      <w:r>
        <w:separator/>
      </w:r>
    </w:p>
  </w:footnote>
  <w:footnote w:type="continuationSeparator" w:id="0">
    <w:p w14:paraId="0A43C018" w14:textId="77777777" w:rsidR="00552876" w:rsidRDefault="00552876" w:rsidP="0030414A">
      <w:pPr>
        <w:spacing w:after="0" w:line="240" w:lineRule="auto"/>
      </w:pPr>
      <w:r>
        <w:continuationSeparator/>
      </w:r>
    </w:p>
  </w:footnote>
  <w:footnote w:id="1">
    <w:p w14:paraId="2AD98E17" w14:textId="7B5E2326" w:rsidR="0022085E" w:rsidRPr="00621F78" w:rsidRDefault="0022085E">
      <w:pPr>
        <w:pStyle w:val="FootnoteText"/>
        <w:rPr>
          <w:sz w:val="18"/>
          <w:szCs w:val="18"/>
          <w:lang w:val="en-AU"/>
        </w:rPr>
      </w:pPr>
      <w:r w:rsidRPr="00621F78">
        <w:rPr>
          <w:rStyle w:val="FootnoteReference"/>
          <w:sz w:val="18"/>
          <w:szCs w:val="18"/>
        </w:rPr>
        <w:footnoteRef/>
      </w:r>
      <w:r w:rsidRPr="00621F78">
        <w:rPr>
          <w:sz w:val="18"/>
          <w:szCs w:val="18"/>
        </w:rPr>
        <w:t xml:space="preserve"> While this would secure a more adequate payment rate, future reforms are needed to improve the effectiveness and adequacy of Rent Assistance, including to eligibility</w:t>
      </w:r>
      <w:r w:rsidR="00B5202F" w:rsidRPr="00621F78">
        <w:rPr>
          <w:sz w:val="18"/>
          <w:szCs w:val="18"/>
        </w:rPr>
        <w:t xml:space="preserve"> and indexation. Other ACOSS proposals to improve access to affordable housing for people on low incomes are outlined in </w:t>
      </w:r>
      <w:hyperlink r:id="rId1" w:history="1">
        <w:r w:rsidR="00B5202F" w:rsidRPr="00621F78">
          <w:rPr>
            <w:rStyle w:val="Hyperlink"/>
            <w:color w:val="000000" w:themeColor="text1"/>
            <w:sz w:val="18"/>
            <w:szCs w:val="18"/>
          </w:rPr>
          <w:t>https://www.acoss.org.au/wp-content/uploads/2019/08/ACOSS-Brief-Social-Housing-Investment-as-Infrastructure.pdf</w:t>
        </w:r>
      </w:hyperlink>
      <w:r w:rsidR="00B5202F" w:rsidRPr="00621F78">
        <w:rPr>
          <w:sz w:val="18"/>
          <w:szCs w:val="18"/>
        </w:rPr>
        <w:t xml:space="preserve"> and </w:t>
      </w:r>
      <w:hyperlink r:id="rId2" w:history="1">
        <w:r w:rsidR="00B5202F" w:rsidRPr="00621F78">
          <w:rPr>
            <w:rStyle w:val="Hyperlink"/>
            <w:color w:val="000000" w:themeColor="text1"/>
            <w:sz w:val="18"/>
            <w:szCs w:val="18"/>
          </w:rPr>
          <w:t>https://www.acoss.org.au/wp-content/uploads/2020/04/200429-Economic-Recovery-Briefing-PDF-1.pdf</w:t>
        </w:r>
      </w:hyperlink>
      <w:r w:rsidR="00B5202F" w:rsidRPr="00621F78" w:rsidDel="00B5202F">
        <w:rPr>
          <w:sz w:val="18"/>
          <w:szCs w:val="18"/>
        </w:rPr>
        <w:t xml:space="preserve"> </w:t>
      </w:r>
    </w:p>
  </w:footnote>
  <w:footnote w:id="2">
    <w:p w14:paraId="37D1C52A" w14:textId="34CDC982" w:rsidR="00A30E38" w:rsidRPr="00621F78" w:rsidRDefault="00A30E38" w:rsidP="00D11FA9">
      <w:pPr>
        <w:pStyle w:val="FootnoteText"/>
        <w:rPr>
          <w:sz w:val="18"/>
          <w:szCs w:val="18"/>
        </w:rPr>
      </w:pPr>
      <w:r w:rsidRPr="00621F78">
        <w:rPr>
          <w:rStyle w:val="FootnoteReference"/>
          <w:sz w:val="18"/>
          <w:szCs w:val="18"/>
        </w:rPr>
        <w:footnoteRef/>
      </w:r>
      <w:r w:rsidR="00D11FA9" w:rsidRPr="00621F78">
        <w:rPr>
          <w:sz w:val="18"/>
          <w:szCs w:val="18"/>
        </w:rPr>
        <w:t xml:space="preserve"> Please see NATSEM modelling of the cost of disability: Li, J., Brown, L., La. H.N., </w:t>
      </w:r>
      <w:proofErr w:type="spellStart"/>
      <w:r w:rsidR="00D11FA9" w:rsidRPr="00621F78">
        <w:rPr>
          <w:sz w:val="18"/>
          <w:szCs w:val="18"/>
        </w:rPr>
        <w:t>Miranti</w:t>
      </w:r>
      <w:proofErr w:type="spellEnd"/>
      <w:r w:rsidR="00D11FA9" w:rsidRPr="00621F78">
        <w:rPr>
          <w:sz w:val="18"/>
          <w:szCs w:val="18"/>
        </w:rPr>
        <w:t xml:space="preserve">, R., and </w:t>
      </w:r>
      <w:proofErr w:type="spellStart"/>
      <w:r w:rsidR="00D11FA9" w:rsidRPr="00621F78">
        <w:rPr>
          <w:sz w:val="18"/>
          <w:szCs w:val="18"/>
        </w:rPr>
        <w:t>Vidyattama</w:t>
      </w:r>
      <w:proofErr w:type="spellEnd"/>
      <w:r w:rsidR="00D11FA9" w:rsidRPr="00621F78">
        <w:rPr>
          <w:sz w:val="18"/>
          <w:szCs w:val="18"/>
        </w:rPr>
        <w:t xml:space="preserve">, Y. (2019). Inequalities </w:t>
      </w:r>
      <w:proofErr w:type="gramStart"/>
      <w:r w:rsidR="00D11FA9" w:rsidRPr="00621F78">
        <w:rPr>
          <w:sz w:val="18"/>
          <w:szCs w:val="18"/>
        </w:rPr>
        <w:t>In</w:t>
      </w:r>
      <w:proofErr w:type="gramEnd"/>
      <w:r w:rsidR="00D11FA9" w:rsidRPr="00621F78">
        <w:rPr>
          <w:sz w:val="18"/>
          <w:szCs w:val="18"/>
        </w:rPr>
        <w:t xml:space="preserve"> Standards of Living: Evidence for Improved Income Support for People with Disability. NATSEM, Institute for Governance and Policy Analysis, University of Canberra. Report commissioned by the Australia Federation of </w:t>
      </w:r>
      <w:r w:rsidR="0022085E" w:rsidRPr="00621F78">
        <w:rPr>
          <w:sz w:val="18"/>
          <w:szCs w:val="18"/>
        </w:rPr>
        <w:t>Disability</w:t>
      </w:r>
      <w:r w:rsidR="00D11FA9" w:rsidRPr="00621F78">
        <w:rPr>
          <w:sz w:val="18"/>
          <w:szCs w:val="18"/>
        </w:rPr>
        <w:t xml:space="preserve"> Organisations. September 2019.</w:t>
      </w:r>
      <w:r w:rsidRPr="00621F78">
        <w:rPr>
          <w:sz w:val="18"/>
          <w:szCs w:val="18"/>
        </w:rPr>
        <w:t xml:space="preserve"> </w:t>
      </w:r>
    </w:p>
  </w:footnote>
  <w:footnote w:id="3">
    <w:p w14:paraId="40D8E2D3" w14:textId="4B3EA4E1" w:rsidR="00843091" w:rsidRPr="00621F78" w:rsidRDefault="00843091">
      <w:pPr>
        <w:pStyle w:val="FootnoteText"/>
        <w:rPr>
          <w:sz w:val="18"/>
          <w:szCs w:val="18"/>
          <w:lang w:val="en-AU"/>
        </w:rPr>
      </w:pPr>
      <w:r w:rsidRPr="00621F78">
        <w:rPr>
          <w:rStyle w:val="FootnoteReference"/>
          <w:sz w:val="18"/>
          <w:szCs w:val="18"/>
        </w:rPr>
        <w:footnoteRef/>
      </w:r>
      <w:r w:rsidRPr="00621F78">
        <w:rPr>
          <w:sz w:val="18"/>
          <w:szCs w:val="18"/>
        </w:rPr>
        <w:t xml:space="preserve"> </w:t>
      </w:r>
      <w:r w:rsidRPr="00621F78">
        <w:rPr>
          <w:sz w:val="18"/>
          <w:szCs w:val="18"/>
          <w:lang w:val="en-AU"/>
        </w:rPr>
        <w:t>Nicki Hutley (2020)</w:t>
      </w:r>
      <w:r w:rsidR="000365FD" w:rsidRPr="00621F78">
        <w:rPr>
          <w:sz w:val="18"/>
          <w:szCs w:val="18"/>
          <w:lang w:val="en-AU"/>
        </w:rPr>
        <w:t xml:space="preserve"> Presentation on JobSeeker </w:t>
      </w:r>
      <w:r w:rsidR="00513481" w:rsidRPr="00621F78">
        <w:rPr>
          <w:sz w:val="18"/>
          <w:szCs w:val="18"/>
          <w:lang w:val="en-AU"/>
        </w:rPr>
        <w:t>Beyond COVID-19, ACOSS webinar, 21 May</w:t>
      </w:r>
      <w:r w:rsidRPr="00621F78">
        <w:rPr>
          <w:sz w:val="18"/>
          <w:szCs w:val="18"/>
          <w:lang w:val="en-AU"/>
        </w:rPr>
        <w:t xml:space="preserve"> </w:t>
      </w:r>
    </w:p>
  </w:footnote>
  <w:footnote w:id="4">
    <w:p w14:paraId="065A9574" w14:textId="522B4F52" w:rsidR="00296843" w:rsidRPr="00621F78" w:rsidRDefault="00296843" w:rsidP="00296843">
      <w:pPr>
        <w:pStyle w:val="FootnoteText"/>
        <w:rPr>
          <w:sz w:val="18"/>
          <w:szCs w:val="18"/>
          <w:lang w:val="en-AU"/>
        </w:rPr>
      </w:pPr>
      <w:r w:rsidRPr="00621F78">
        <w:rPr>
          <w:rStyle w:val="FootnoteReference"/>
          <w:sz w:val="18"/>
          <w:szCs w:val="18"/>
        </w:rPr>
        <w:footnoteRef/>
      </w:r>
      <w:r w:rsidRPr="00621F78">
        <w:rPr>
          <w:sz w:val="18"/>
          <w:szCs w:val="18"/>
        </w:rPr>
        <w:t xml:space="preserve"> </w:t>
      </w:r>
      <w:r w:rsidRPr="00621F78">
        <w:rPr>
          <w:sz w:val="18"/>
          <w:szCs w:val="18"/>
          <w:lang w:val="en-AU"/>
        </w:rPr>
        <w:t xml:space="preserve">Legislation passed dictates that the Coronavirus Supplement will cease on 25 September, unless the Minister rules otherwise. </w:t>
      </w:r>
    </w:p>
  </w:footnote>
  <w:footnote w:id="5">
    <w:p w14:paraId="6A725EAE" w14:textId="1F0C4358" w:rsidR="001E41EC" w:rsidRPr="00621F78" w:rsidRDefault="001E41EC">
      <w:pPr>
        <w:pStyle w:val="FootnoteText"/>
        <w:rPr>
          <w:sz w:val="18"/>
          <w:szCs w:val="18"/>
          <w:lang w:val="en-AU"/>
        </w:rPr>
      </w:pPr>
      <w:r w:rsidRPr="00621F78">
        <w:rPr>
          <w:rStyle w:val="FootnoteReference"/>
          <w:sz w:val="18"/>
          <w:szCs w:val="18"/>
        </w:rPr>
        <w:footnoteRef/>
      </w:r>
      <w:r w:rsidRPr="00621F78">
        <w:rPr>
          <w:sz w:val="18"/>
          <w:szCs w:val="18"/>
        </w:rPr>
        <w:t xml:space="preserve"> </w:t>
      </w:r>
      <w:r w:rsidR="00687FAF" w:rsidRPr="00621F78">
        <w:rPr>
          <w:sz w:val="18"/>
          <w:szCs w:val="18"/>
          <w:lang w:val="en-AU"/>
        </w:rPr>
        <w:t xml:space="preserve">Josh Frydenberg (2020) Interview with Patricia Karvelas, ABC TV, 22 May: </w:t>
      </w:r>
      <w:hyperlink r:id="rId3" w:history="1">
        <w:r w:rsidR="00687FAF" w:rsidRPr="00621F78">
          <w:rPr>
            <w:rStyle w:val="Hyperlink"/>
            <w:sz w:val="18"/>
            <w:szCs w:val="18"/>
            <w:lang w:val="en-AU"/>
          </w:rPr>
          <w:t>https://ministers.treasury.gov.au/ministers/josh-frydenberg-2018/transcripts/interview-patricia-karvelas-abc-tv</w:t>
        </w:r>
      </w:hyperlink>
      <w:r w:rsidR="00687FAF" w:rsidRPr="00621F78">
        <w:rPr>
          <w:sz w:val="18"/>
          <w:szCs w:val="18"/>
          <w:lang w:val="en-AU"/>
        </w:rPr>
        <w:t xml:space="preserve"> </w:t>
      </w:r>
    </w:p>
  </w:footnote>
  <w:footnote w:id="6">
    <w:p w14:paraId="5E97D211" w14:textId="1F19E56B" w:rsidR="008D0FEB" w:rsidRPr="00621F78" w:rsidRDefault="008D0FEB">
      <w:pPr>
        <w:pStyle w:val="FootnoteText"/>
        <w:rPr>
          <w:sz w:val="18"/>
          <w:szCs w:val="18"/>
          <w:lang w:val="en-AU"/>
        </w:rPr>
      </w:pPr>
      <w:r w:rsidRPr="00621F78">
        <w:rPr>
          <w:rStyle w:val="FootnoteReference"/>
          <w:sz w:val="18"/>
          <w:szCs w:val="18"/>
        </w:rPr>
        <w:footnoteRef/>
      </w:r>
      <w:r w:rsidRPr="00621F78">
        <w:rPr>
          <w:sz w:val="18"/>
          <w:szCs w:val="18"/>
        </w:rPr>
        <w:t xml:space="preserve"> </w:t>
      </w:r>
      <w:r w:rsidRPr="00621F78">
        <w:rPr>
          <w:sz w:val="18"/>
          <w:szCs w:val="18"/>
          <w:lang w:val="en-AU"/>
        </w:rPr>
        <w:t xml:space="preserve">Department of Social Services (2020) Senate Select Committee on COVID-19 - Written Question – 18 </w:t>
      </w:r>
      <w:hyperlink r:id="rId4" w:history="1">
        <w:r w:rsidRPr="00621F78">
          <w:rPr>
            <w:rStyle w:val="Hyperlink"/>
            <w:sz w:val="18"/>
            <w:szCs w:val="18"/>
          </w:rPr>
          <w:t>https://www.aph.gov.au/DocumentStore.ashx?id=8eae3650-d92c-4620-b85f-4c1d717e91c5</w:t>
        </w:r>
      </w:hyperlink>
    </w:p>
  </w:footnote>
  <w:footnote w:id="7">
    <w:p w14:paraId="37578BD3" w14:textId="2E0568CD" w:rsidR="001B0B1E" w:rsidRPr="00621F78" w:rsidRDefault="001B0B1E">
      <w:pPr>
        <w:pStyle w:val="FootnoteText"/>
        <w:rPr>
          <w:sz w:val="18"/>
          <w:szCs w:val="18"/>
          <w:lang w:val="en-AU"/>
        </w:rPr>
      </w:pPr>
      <w:r w:rsidRPr="00621F78">
        <w:rPr>
          <w:rStyle w:val="FootnoteReference"/>
          <w:sz w:val="18"/>
          <w:szCs w:val="18"/>
        </w:rPr>
        <w:footnoteRef/>
      </w:r>
      <w:r w:rsidRPr="00621F78">
        <w:rPr>
          <w:sz w:val="18"/>
          <w:szCs w:val="18"/>
        </w:rPr>
        <w:t xml:space="preserve"> </w:t>
      </w:r>
      <w:r w:rsidR="00DB5A3E" w:rsidRPr="00621F78">
        <w:rPr>
          <w:sz w:val="18"/>
          <w:szCs w:val="18"/>
          <w:lang w:val="en-AU"/>
        </w:rPr>
        <w:t>See ACOSS’s</w:t>
      </w:r>
      <w:r w:rsidRPr="00621F78">
        <w:rPr>
          <w:sz w:val="18"/>
          <w:szCs w:val="18"/>
          <w:lang w:val="en-AU"/>
        </w:rPr>
        <w:t xml:space="preserve"> Economic Stimulus briefing note here:</w:t>
      </w:r>
      <w:r w:rsidRPr="00621F78">
        <w:rPr>
          <w:sz w:val="18"/>
          <w:szCs w:val="18"/>
        </w:rPr>
        <w:t xml:space="preserve"> </w:t>
      </w:r>
      <w:hyperlink r:id="rId5" w:history="1">
        <w:r w:rsidRPr="00621F78">
          <w:rPr>
            <w:rStyle w:val="Hyperlink"/>
            <w:sz w:val="18"/>
            <w:szCs w:val="18"/>
            <w:lang w:val="en-AU"/>
          </w:rPr>
          <w:t>https://www.acoss.org.au/wp-content/uploads/2020/04/200429-Economic-Recovery-Briefing-PDF-1.pdf</w:t>
        </w:r>
      </w:hyperlink>
      <w:r w:rsidRPr="00621F78">
        <w:rPr>
          <w:sz w:val="18"/>
          <w:szCs w:val="18"/>
          <w:lang w:val="en-AU"/>
        </w:rPr>
        <w:t xml:space="preserve"> </w:t>
      </w:r>
    </w:p>
  </w:footnote>
  <w:footnote w:id="8">
    <w:p w14:paraId="32451634" w14:textId="46F8F30C" w:rsidR="00507FB5" w:rsidRPr="00621F78" w:rsidRDefault="00507FB5">
      <w:pPr>
        <w:pStyle w:val="FootnoteText"/>
        <w:rPr>
          <w:sz w:val="18"/>
          <w:szCs w:val="18"/>
          <w:lang w:val="en-AU"/>
        </w:rPr>
      </w:pPr>
      <w:r w:rsidRPr="00621F78">
        <w:rPr>
          <w:rStyle w:val="FootnoteReference"/>
          <w:sz w:val="18"/>
          <w:szCs w:val="18"/>
        </w:rPr>
        <w:footnoteRef/>
      </w:r>
      <w:r w:rsidRPr="00621F78">
        <w:rPr>
          <w:sz w:val="18"/>
          <w:szCs w:val="18"/>
        </w:rPr>
        <w:t xml:space="preserve"> </w:t>
      </w:r>
      <w:r w:rsidR="00424A0F" w:rsidRPr="00621F78">
        <w:rPr>
          <w:sz w:val="18"/>
          <w:szCs w:val="18"/>
          <w:lang w:val="en-AU"/>
        </w:rPr>
        <w:t xml:space="preserve">Whiteford, Peter (2020) ‘When the Coronavirus Supplement stops, JobSeeker needs to increase by $185 a week’ 21 May </w:t>
      </w:r>
      <w:hyperlink r:id="rId6" w:history="1">
        <w:r w:rsidR="00424A0F" w:rsidRPr="00621F78">
          <w:rPr>
            <w:rStyle w:val="Hyperlink"/>
            <w:sz w:val="18"/>
            <w:szCs w:val="18"/>
            <w:lang w:val="en-AU"/>
          </w:rPr>
          <w:t>https://theconversation.com/when-the-coronavirus-supplement-stops-jobseeker-needs-to-increase-by-185-a-week-138417</w:t>
        </w:r>
      </w:hyperlink>
      <w:r w:rsidR="00424A0F" w:rsidRPr="00621F78">
        <w:rPr>
          <w:sz w:val="18"/>
          <w:szCs w:val="18"/>
          <w:lang w:val="en-AU"/>
        </w:rPr>
        <w:t xml:space="preserve"> </w:t>
      </w:r>
    </w:p>
  </w:footnote>
  <w:footnote w:id="9">
    <w:p w14:paraId="7331073D" w14:textId="0A8FA94F" w:rsidR="00A7267E" w:rsidRPr="00621F78" w:rsidRDefault="00A7267E" w:rsidP="00621F78">
      <w:pPr>
        <w:rPr>
          <w:rFonts w:eastAsia="Times New Roman" w:cs="Times New Roman"/>
          <w:color w:val="auto"/>
          <w:sz w:val="18"/>
          <w:szCs w:val="18"/>
        </w:rPr>
      </w:pPr>
      <w:r w:rsidRPr="00621F78">
        <w:rPr>
          <w:rStyle w:val="FootnoteReference"/>
          <w:sz w:val="18"/>
          <w:szCs w:val="18"/>
        </w:rPr>
        <w:footnoteRef/>
      </w:r>
      <w:r w:rsidRPr="00621F78">
        <w:rPr>
          <w:sz w:val="18"/>
          <w:szCs w:val="18"/>
        </w:rPr>
        <w:t xml:space="preserve"> </w:t>
      </w:r>
      <w:r w:rsidRPr="00621F78">
        <w:rPr>
          <w:sz w:val="18"/>
          <w:szCs w:val="18"/>
          <w:lang w:val="en-AU"/>
        </w:rPr>
        <w:t>Grattan Institute (2020)</w:t>
      </w:r>
      <w:r w:rsidR="00225E85" w:rsidRPr="00621F78">
        <w:rPr>
          <w:sz w:val="18"/>
          <w:szCs w:val="18"/>
          <w:lang w:val="en-AU"/>
        </w:rPr>
        <w:t xml:space="preserve"> ‘</w:t>
      </w:r>
      <w:r w:rsidR="00225E85" w:rsidRPr="00621F78">
        <w:rPr>
          <w:rFonts w:eastAsia="Times New Roman" w:cs="Times New Roman"/>
          <w:color w:val="auto"/>
          <w:sz w:val="18"/>
          <w:szCs w:val="18"/>
        </w:rPr>
        <w:t>The Recovery Book: What Australian governments should do now’</w:t>
      </w:r>
      <w:r w:rsidRPr="00621F78">
        <w:rPr>
          <w:sz w:val="18"/>
          <w:szCs w:val="18"/>
          <w:lang w:val="en-AU"/>
        </w:rPr>
        <w:t xml:space="preserve"> </w:t>
      </w:r>
      <w:hyperlink r:id="rId7" w:history="1">
        <w:r w:rsidRPr="00621F78">
          <w:rPr>
            <w:rStyle w:val="Hyperlink"/>
            <w:sz w:val="18"/>
            <w:szCs w:val="18"/>
            <w:lang w:val="en-AU"/>
          </w:rPr>
          <w:t>https://grattan.edu.au/wp-content/uploads/2020/06/Grattan-Institute-Recovery-Book.pdf</w:t>
        </w:r>
      </w:hyperlink>
      <w:r w:rsidRPr="00621F78">
        <w:rPr>
          <w:sz w:val="18"/>
          <w:szCs w:val="18"/>
          <w:lang w:val="en-AU"/>
        </w:rPr>
        <w:t xml:space="preserve"> p.58</w:t>
      </w:r>
    </w:p>
  </w:footnote>
  <w:footnote w:id="10">
    <w:p w14:paraId="0A88B1D3" w14:textId="49C09183" w:rsidR="00225E85" w:rsidRPr="00621F78" w:rsidRDefault="00225E85">
      <w:pPr>
        <w:pStyle w:val="FootnoteText"/>
        <w:rPr>
          <w:sz w:val="18"/>
          <w:szCs w:val="18"/>
          <w:lang w:val="en-AU"/>
        </w:rPr>
      </w:pPr>
      <w:r w:rsidRPr="00621F78">
        <w:rPr>
          <w:rStyle w:val="FootnoteReference"/>
          <w:sz w:val="18"/>
          <w:szCs w:val="18"/>
        </w:rPr>
        <w:footnoteRef/>
      </w:r>
      <w:r w:rsidRPr="00621F78">
        <w:rPr>
          <w:sz w:val="18"/>
          <w:szCs w:val="18"/>
        </w:rPr>
        <w:t xml:space="preserve"> </w:t>
      </w:r>
      <w:r w:rsidRPr="00621F78">
        <w:rPr>
          <w:sz w:val="18"/>
          <w:szCs w:val="18"/>
          <w:lang w:val="en-AU"/>
        </w:rPr>
        <w:t xml:space="preserve">Parliamentary Budget Office (2020) </w:t>
      </w:r>
    </w:p>
  </w:footnote>
  <w:footnote w:id="11">
    <w:p w14:paraId="69699EFC" w14:textId="6C5F4EB3" w:rsidR="00D85502" w:rsidRPr="00621F78" w:rsidRDefault="00D85502">
      <w:pPr>
        <w:pStyle w:val="FootnoteText"/>
        <w:rPr>
          <w:sz w:val="18"/>
          <w:szCs w:val="18"/>
        </w:rPr>
      </w:pPr>
      <w:r w:rsidRPr="00621F78">
        <w:rPr>
          <w:rStyle w:val="FootnoteReference"/>
          <w:sz w:val="18"/>
          <w:szCs w:val="18"/>
        </w:rPr>
        <w:footnoteRef/>
      </w:r>
      <w:r w:rsidRPr="00621F78">
        <w:rPr>
          <w:sz w:val="18"/>
          <w:szCs w:val="18"/>
        </w:rPr>
        <w:t xml:space="preserve"> Li, J., Brown, L., La. H.N., </w:t>
      </w:r>
      <w:proofErr w:type="spellStart"/>
      <w:r w:rsidRPr="00621F78">
        <w:rPr>
          <w:sz w:val="18"/>
          <w:szCs w:val="18"/>
        </w:rPr>
        <w:t>Miranti</w:t>
      </w:r>
      <w:proofErr w:type="spellEnd"/>
      <w:r w:rsidRPr="00621F78">
        <w:rPr>
          <w:sz w:val="18"/>
          <w:szCs w:val="18"/>
        </w:rPr>
        <w:t xml:space="preserve">, R., and </w:t>
      </w:r>
      <w:proofErr w:type="spellStart"/>
      <w:r w:rsidRPr="00621F78">
        <w:rPr>
          <w:sz w:val="18"/>
          <w:szCs w:val="18"/>
        </w:rPr>
        <w:t>Vidyattama</w:t>
      </w:r>
      <w:proofErr w:type="spellEnd"/>
      <w:r w:rsidRPr="00621F78">
        <w:rPr>
          <w:sz w:val="18"/>
          <w:szCs w:val="18"/>
        </w:rPr>
        <w:t xml:space="preserve">, Y. (2019). Inequalities </w:t>
      </w:r>
      <w:proofErr w:type="gramStart"/>
      <w:r w:rsidRPr="00621F78">
        <w:rPr>
          <w:sz w:val="18"/>
          <w:szCs w:val="18"/>
        </w:rPr>
        <w:t>In</w:t>
      </w:r>
      <w:proofErr w:type="gramEnd"/>
      <w:r w:rsidRPr="00621F78">
        <w:rPr>
          <w:sz w:val="18"/>
          <w:szCs w:val="18"/>
        </w:rPr>
        <w:t xml:space="preserve"> Standards of Living: Evidence for Improved Income Support for People with Disability. NATSEM, Institute for Governance and Policy Analysis, University of Canberra. Report commissioned by the Australia Federation of Disability Organisations. September 2019. </w:t>
      </w:r>
    </w:p>
  </w:footnote>
  <w:footnote w:id="12">
    <w:p w14:paraId="3EDB6719" w14:textId="41F0D634" w:rsidR="00DB0A31" w:rsidRPr="00621F78" w:rsidRDefault="00DB0A31">
      <w:pPr>
        <w:pStyle w:val="FootnoteText"/>
        <w:rPr>
          <w:sz w:val="18"/>
          <w:szCs w:val="18"/>
          <w:lang w:val="en-AU"/>
        </w:rPr>
      </w:pPr>
      <w:r w:rsidRPr="00621F78">
        <w:rPr>
          <w:rStyle w:val="FootnoteReference"/>
          <w:sz w:val="18"/>
          <w:szCs w:val="18"/>
        </w:rPr>
        <w:footnoteRef/>
      </w:r>
      <w:r w:rsidRPr="00621F78">
        <w:rPr>
          <w:sz w:val="18"/>
          <w:szCs w:val="18"/>
        </w:rPr>
        <w:t xml:space="preserve"> </w:t>
      </w:r>
      <w:r w:rsidRPr="00621F78">
        <w:rPr>
          <w:sz w:val="18"/>
          <w:szCs w:val="18"/>
          <w:lang w:val="en-AU"/>
        </w:rPr>
        <w:t xml:space="preserve">NATSEM, Ibid. </w:t>
      </w:r>
    </w:p>
  </w:footnote>
  <w:footnote w:id="13">
    <w:p w14:paraId="40837809" w14:textId="72AF2F62" w:rsidR="00371548" w:rsidRPr="00621F78" w:rsidRDefault="00371548">
      <w:pPr>
        <w:pStyle w:val="FootnoteText"/>
        <w:rPr>
          <w:sz w:val="18"/>
          <w:szCs w:val="18"/>
          <w:lang w:val="en-AU"/>
        </w:rPr>
      </w:pPr>
      <w:r w:rsidRPr="00621F78">
        <w:rPr>
          <w:rStyle w:val="FootnoteReference"/>
          <w:sz w:val="18"/>
          <w:szCs w:val="18"/>
        </w:rPr>
        <w:footnoteRef/>
      </w:r>
      <w:r w:rsidRPr="00621F78">
        <w:rPr>
          <w:sz w:val="18"/>
          <w:szCs w:val="18"/>
        </w:rPr>
        <w:t xml:space="preserve"> </w:t>
      </w:r>
      <w:r w:rsidR="00742883" w:rsidRPr="00621F78">
        <w:rPr>
          <w:sz w:val="18"/>
          <w:szCs w:val="18"/>
          <w:lang w:val="en-AU"/>
        </w:rPr>
        <w:t xml:space="preserve">For example, the Business Council of Australia, Grattan Institute, Deloitte Access Economics.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B7ACD1A" w14:textId="430F7A09" w:rsidR="00E21FB4" w:rsidRDefault="00552876">
    <w:pPr>
      <w:pStyle w:val="Header"/>
    </w:pPr>
    <w:r>
      <w:rPr>
        <w:noProof/>
      </w:rPr>
      <w:pict w14:anchorId="20D963E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68pt;height:93.6pt;z-index:-251644928;mso-position-horizontal:center;mso-position-horizontal-relative:margin;mso-position-vertical:center;mso-position-vertical-relative:margin" o:allowincell="f" fillcolor="silver" stroked="f">
          <v:textpath style="font-family:&quot;Verdana&quot;;font-size:1pt" string="DRAFT NFP"/>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F6D18BD" w14:textId="006972DB" w:rsidR="0030414A" w:rsidRDefault="00EE2EBE">
    <w:pPr>
      <w:pStyle w:val="Header"/>
    </w:pPr>
    <w:r>
      <w:rPr>
        <w:noProof/>
      </w:rPr>
      <w:drawing>
        <wp:anchor distT="0" distB="0" distL="114300" distR="114300" simplePos="0" relativeHeight="251661312" behindDoc="1" locked="0" layoutInCell="1" allowOverlap="1" wp14:anchorId="1E7437B9" wp14:editId="6B8A7C36">
          <wp:simplePos x="0" y="0"/>
          <wp:positionH relativeFrom="column">
            <wp:posOffset>5991860</wp:posOffset>
          </wp:positionH>
          <wp:positionV relativeFrom="page">
            <wp:posOffset>56515</wp:posOffset>
          </wp:positionV>
          <wp:extent cx="820800" cy="820800"/>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0E0F">
      <w:rPr>
        <w:noProof/>
      </w:rPr>
      <w:drawing>
        <wp:anchor distT="0" distB="0" distL="114300" distR="114300" simplePos="0" relativeHeight="251660288" behindDoc="1" locked="1" layoutInCell="1" allowOverlap="1" wp14:anchorId="3ACC12D0" wp14:editId="2444D9EF">
          <wp:simplePos x="0" y="0"/>
          <wp:positionH relativeFrom="page">
            <wp:align>right</wp:align>
          </wp:positionH>
          <wp:positionV relativeFrom="page">
            <wp:align>top</wp:align>
          </wp:positionV>
          <wp:extent cx="7765200" cy="10051200"/>
          <wp:effectExtent l="0" t="0" r="7620" b="7620"/>
          <wp:wrapNone/>
          <wp:docPr id="3" name="Picture 3" descr="ACOSS Background Pattern - opaque green curve behind text"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BackgroundTe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5200" cy="10051200"/>
                  </a:xfrm>
                  <a:prstGeom prst="rect">
                    <a:avLst/>
                  </a:prstGeom>
                </pic:spPr>
              </pic:pic>
            </a:graphicData>
          </a:graphic>
          <wp14:sizeRelH relativeFrom="margin">
            <wp14:pctWidth>0</wp14:pctWidth>
          </wp14:sizeRelH>
          <wp14:sizeRelV relativeFrom="margin">
            <wp14:pctHeight>0</wp14:pctHeight>
          </wp14:sizeRelV>
        </wp:anchor>
      </w:drawing>
    </w:r>
    <w:r w:rsidR="00393F36">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919987" w14:textId="6F5FCC2E" w:rsidR="00E21FB4" w:rsidRDefault="00552876">
    <w:pPr>
      <w:pStyle w:val="Header"/>
    </w:pPr>
    <w:r>
      <w:rPr>
        <w:noProof/>
      </w:rPr>
      <w:pict w14:anchorId="2A54CF9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68pt;height:93.6pt;z-index:-251642880;mso-position-horizontal:center;mso-position-horizontal-relative:margin;mso-position-vertical:center;mso-position-vertical-relative:margin" o:allowincell="f" fillcolor="silver" stroked="f">
          <v:textpath style="font-family:&quot;Verdana&quot;;font-size:1pt" string="DRAFT NFP"/>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C1E9C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E7212"/>
    <w:multiLevelType w:val="hybridMultilevel"/>
    <w:tmpl w:val="F91EB30C"/>
    <w:lvl w:ilvl="0" w:tplc="48ECDA84">
      <w:start w:val="2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0B6D9A"/>
    <w:multiLevelType w:val="hybridMultilevel"/>
    <w:tmpl w:val="0D502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F86090"/>
    <w:multiLevelType w:val="hybridMultilevel"/>
    <w:tmpl w:val="54F46AA6"/>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C6420A"/>
    <w:multiLevelType w:val="hybridMultilevel"/>
    <w:tmpl w:val="6D9A0648"/>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826575"/>
    <w:multiLevelType w:val="hybridMultilevel"/>
    <w:tmpl w:val="E9588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DA5815"/>
    <w:multiLevelType w:val="hybridMultilevel"/>
    <w:tmpl w:val="BE488576"/>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862440"/>
    <w:multiLevelType w:val="hybridMultilevel"/>
    <w:tmpl w:val="8A3A5B58"/>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070" w:hanging="360"/>
      </w:pPr>
      <w:rPr>
        <w:rFonts w:ascii="Courier New" w:hAnsi="Courier New" w:cs="Courier New" w:hint="default"/>
      </w:rPr>
    </w:lvl>
    <w:lvl w:ilvl="2" w:tplc="D7800204">
      <w:numFmt w:val="bullet"/>
      <w:lvlText w:val="-"/>
      <w:lvlJc w:val="left"/>
      <w:pPr>
        <w:ind w:left="1778" w:hanging="360"/>
      </w:pPr>
      <w:rPr>
        <w:rFonts w:ascii="Verdana" w:eastAsiaTheme="minorHAnsi" w:hAnsi="Verdana" w:cstheme="minorBid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0457EFC"/>
    <w:multiLevelType w:val="hybridMultilevel"/>
    <w:tmpl w:val="A030D820"/>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D7800204">
      <w:numFmt w:val="bullet"/>
      <w:lvlText w:val="-"/>
      <w:lvlJc w:val="left"/>
      <w:pPr>
        <w:ind w:left="2160" w:hanging="360"/>
      </w:pPr>
      <w:rPr>
        <w:rFonts w:ascii="Verdana" w:eastAsiaTheme="minorHAnsi" w:hAnsi="Verdana"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2F21FF"/>
    <w:multiLevelType w:val="hybridMultilevel"/>
    <w:tmpl w:val="CD1673AA"/>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022504"/>
    <w:multiLevelType w:val="hybridMultilevel"/>
    <w:tmpl w:val="7A90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324F6F"/>
    <w:multiLevelType w:val="hybridMultilevel"/>
    <w:tmpl w:val="2A428A92"/>
    <w:lvl w:ilvl="0" w:tplc="1E5AD58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BB7137"/>
    <w:multiLevelType w:val="hybridMultilevel"/>
    <w:tmpl w:val="30E2C8F0"/>
    <w:lvl w:ilvl="0" w:tplc="E85A452E">
      <w:start w:val="1"/>
      <w:numFmt w:val="bullet"/>
      <w:lvlText w:val=""/>
      <w:lvlJc w:val="left"/>
      <w:pPr>
        <w:ind w:left="720" w:hanging="360"/>
      </w:pPr>
      <w:rPr>
        <w:rFonts w:ascii="Verdana" w:hAnsi="Verdana"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FA2E5E"/>
    <w:multiLevelType w:val="hybridMultilevel"/>
    <w:tmpl w:val="333E28F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6">
    <w:nsid w:val="38B06D97"/>
    <w:multiLevelType w:val="hybridMultilevel"/>
    <w:tmpl w:val="30F6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1E03BE"/>
    <w:multiLevelType w:val="hybridMultilevel"/>
    <w:tmpl w:val="780C0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8663DB"/>
    <w:multiLevelType w:val="hybridMultilevel"/>
    <w:tmpl w:val="1478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E494B"/>
    <w:multiLevelType w:val="hybridMultilevel"/>
    <w:tmpl w:val="D60E881C"/>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6501FE"/>
    <w:multiLevelType w:val="hybridMultilevel"/>
    <w:tmpl w:val="D598D788"/>
    <w:lvl w:ilvl="0" w:tplc="F47CF0EA">
      <w:start w:val="2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F35BB5"/>
    <w:multiLevelType w:val="hybridMultilevel"/>
    <w:tmpl w:val="0D502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E700EF6"/>
    <w:multiLevelType w:val="hybridMultilevel"/>
    <w:tmpl w:val="6010CF9E"/>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895A24"/>
    <w:multiLevelType w:val="hybridMultilevel"/>
    <w:tmpl w:val="E228B74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4">
    <w:nsid w:val="40000303"/>
    <w:multiLevelType w:val="hybridMultilevel"/>
    <w:tmpl w:val="629424EE"/>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3E5185"/>
    <w:multiLevelType w:val="hybridMultilevel"/>
    <w:tmpl w:val="E0F6D9A8"/>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1D6BEC"/>
    <w:multiLevelType w:val="hybridMultilevel"/>
    <w:tmpl w:val="EF007276"/>
    <w:lvl w:ilvl="0" w:tplc="B600B5B8">
      <w:start w:val="1"/>
      <w:numFmt w:val="decimal"/>
      <w:lvlText w:val="%1."/>
      <w:lvlJc w:val="left"/>
      <w:pPr>
        <w:ind w:left="720" w:hanging="36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466192"/>
    <w:multiLevelType w:val="hybridMultilevel"/>
    <w:tmpl w:val="E486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204540"/>
    <w:multiLevelType w:val="hybridMultilevel"/>
    <w:tmpl w:val="F872B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5353F4"/>
    <w:multiLevelType w:val="hybridMultilevel"/>
    <w:tmpl w:val="10D06A1E"/>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6183096"/>
    <w:multiLevelType w:val="hybridMultilevel"/>
    <w:tmpl w:val="0E54F6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BF34D2D"/>
    <w:multiLevelType w:val="hybridMultilevel"/>
    <w:tmpl w:val="05A0164E"/>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8F3185"/>
    <w:multiLevelType w:val="hybridMultilevel"/>
    <w:tmpl w:val="DEB8E61A"/>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172799"/>
    <w:multiLevelType w:val="hybridMultilevel"/>
    <w:tmpl w:val="1826D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D44116"/>
    <w:multiLevelType w:val="hybridMultilevel"/>
    <w:tmpl w:val="417241AA"/>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1E5FCB"/>
    <w:multiLevelType w:val="hybridMultilevel"/>
    <w:tmpl w:val="D4B24D9C"/>
    <w:lvl w:ilvl="0" w:tplc="B2923F10">
      <w:start w:val="29"/>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8B2D04"/>
    <w:multiLevelType w:val="hybridMultilevel"/>
    <w:tmpl w:val="6728F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7491C4E"/>
    <w:multiLevelType w:val="hybridMultilevel"/>
    <w:tmpl w:val="D32E4026"/>
    <w:lvl w:ilvl="0" w:tplc="3E60733A">
      <w:start w:val="2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3B145A"/>
    <w:multiLevelType w:val="hybridMultilevel"/>
    <w:tmpl w:val="FF0E4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B1A17A2"/>
    <w:multiLevelType w:val="hybridMultilevel"/>
    <w:tmpl w:val="D1CE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CC53E0"/>
    <w:multiLevelType w:val="hybridMultilevel"/>
    <w:tmpl w:val="9C34EC00"/>
    <w:lvl w:ilvl="0" w:tplc="48ECDA84">
      <w:start w:val="2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2705E9"/>
    <w:multiLevelType w:val="hybridMultilevel"/>
    <w:tmpl w:val="F5B26C2C"/>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682E5A"/>
    <w:multiLevelType w:val="hybridMultilevel"/>
    <w:tmpl w:val="9A26540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282BDC"/>
    <w:multiLevelType w:val="hybridMultilevel"/>
    <w:tmpl w:val="70BEBF52"/>
    <w:lvl w:ilvl="0" w:tplc="857411A0">
      <w:numFmt w:val="bullet"/>
      <w:lvlText w:val="-"/>
      <w:lvlJc w:val="left"/>
      <w:pPr>
        <w:ind w:left="720" w:hanging="360"/>
      </w:pPr>
      <w:rPr>
        <w:rFonts w:ascii="Verdana" w:eastAsiaTheme="minorHAnsi"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32"/>
  </w:num>
  <w:num w:numId="4">
    <w:abstractNumId w:val="7"/>
  </w:num>
  <w:num w:numId="5">
    <w:abstractNumId w:val="29"/>
  </w:num>
  <w:num w:numId="6">
    <w:abstractNumId w:val="44"/>
  </w:num>
  <w:num w:numId="7">
    <w:abstractNumId w:val="19"/>
  </w:num>
  <w:num w:numId="8">
    <w:abstractNumId w:val="30"/>
  </w:num>
  <w:num w:numId="9">
    <w:abstractNumId w:val="25"/>
  </w:num>
  <w:num w:numId="10">
    <w:abstractNumId w:val="9"/>
  </w:num>
  <w:num w:numId="11">
    <w:abstractNumId w:val="34"/>
  </w:num>
  <w:num w:numId="12">
    <w:abstractNumId w:val="5"/>
  </w:num>
  <w:num w:numId="13">
    <w:abstractNumId w:val="35"/>
  </w:num>
  <w:num w:numId="14">
    <w:abstractNumId w:val="10"/>
  </w:num>
  <w:num w:numId="15">
    <w:abstractNumId w:val="8"/>
  </w:num>
  <w:num w:numId="16">
    <w:abstractNumId w:val="4"/>
  </w:num>
  <w:num w:numId="17">
    <w:abstractNumId w:val="45"/>
  </w:num>
  <w:num w:numId="18">
    <w:abstractNumId w:val="17"/>
  </w:num>
  <w:num w:numId="19">
    <w:abstractNumId w:val="15"/>
  </w:num>
  <w:num w:numId="20">
    <w:abstractNumId w:val="37"/>
  </w:num>
  <w:num w:numId="21">
    <w:abstractNumId w:val="28"/>
  </w:num>
  <w:num w:numId="22">
    <w:abstractNumId w:val="41"/>
  </w:num>
  <w:num w:numId="23">
    <w:abstractNumId w:val="33"/>
  </w:num>
  <w:num w:numId="24">
    <w:abstractNumId w:val="1"/>
  </w:num>
  <w:num w:numId="25">
    <w:abstractNumId w:val="16"/>
  </w:num>
  <w:num w:numId="26">
    <w:abstractNumId w:val="43"/>
  </w:num>
  <w:num w:numId="27">
    <w:abstractNumId w:val="18"/>
  </w:num>
  <w:num w:numId="28">
    <w:abstractNumId w:val="27"/>
  </w:num>
  <w:num w:numId="29">
    <w:abstractNumId w:val="14"/>
  </w:num>
  <w:num w:numId="30">
    <w:abstractNumId w:val="24"/>
  </w:num>
  <w:num w:numId="31">
    <w:abstractNumId w:val="47"/>
  </w:num>
  <w:num w:numId="32">
    <w:abstractNumId w:val="11"/>
  </w:num>
  <w:num w:numId="33">
    <w:abstractNumId w:val="42"/>
  </w:num>
  <w:num w:numId="34">
    <w:abstractNumId w:val="26"/>
  </w:num>
  <w:num w:numId="35">
    <w:abstractNumId w:val="40"/>
  </w:num>
  <w:num w:numId="36">
    <w:abstractNumId w:val="6"/>
  </w:num>
  <w:num w:numId="37">
    <w:abstractNumId w:val="20"/>
  </w:num>
  <w:num w:numId="38">
    <w:abstractNumId w:val="12"/>
  </w:num>
  <w:num w:numId="39">
    <w:abstractNumId w:val="39"/>
  </w:num>
  <w:num w:numId="40">
    <w:abstractNumId w:val="13"/>
  </w:num>
  <w:num w:numId="41">
    <w:abstractNumId w:val="36"/>
  </w:num>
  <w:num w:numId="42">
    <w:abstractNumId w:val="38"/>
  </w:num>
  <w:num w:numId="43">
    <w:abstractNumId w:val="22"/>
  </w:num>
  <w:num w:numId="44">
    <w:abstractNumId w:val="21"/>
  </w:num>
  <w:num w:numId="45">
    <w:abstractNumId w:val="3"/>
  </w:num>
  <w:num w:numId="46">
    <w:abstractNumId w:val="23"/>
  </w:num>
  <w:num w:numId="47">
    <w:abstractNumId w:val="46"/>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79"/>
    <w:rsid w:val="000043D6"/>
    <w:rsid w:val="000164F1"/>
    <w:rsid w:val="00016998"/>
    <w:rsid w:val="00017F87"/>
    <w:rsid w:val="000365FD"/>
    <w:rsid w:val="000678CA"/>
    <w:rsid w:val="00076072"/>
    <w:rsid w:val="00081339"/>
    <w:rsid w:val="00094E62"/>
    <w:rsid w:val="000954EB"/>
    <w:rsid w:val="000B30AB"/>
    <w:rsid w:val="000B4673"/>
    <w:rsid w:val="000B4C5B"/>
    <w:rsid w:val="000B7D0B"/>
    <w:rsid w:val="000C12B2"/>
    <w:rsid w:val="000C1C46"/>
    <w:rsid w:val="000E533B"/>
    <w:rsid w:val="000E5513"/>
    <w:rsid w:val="000E6A7C"/>
    <w:rsid w:val="000F20F9"/>
    <w:rsid w:val="000F71F8"/>
    <w:rsid w:val="001019FB"/>
    <w:rsid w:val="001043F6"/>
    <w:rsid w:val="0011342E"/>
    <w:rsid w:val="0011438F"/>
    <w:rsid w:val="00114DA0"/>
    <w:rsid w:val="0012170D"/>
    <w:rsid w:val="0012233B"/>
    <w:rsid w:val="00123255"/>
    <w:rsid w:val="00124581"/>
    <w:rsid w:val="00124B5C"/>
    <w:rsid w:val="001305BD"/>
    <w:rsid w:val="00133542"/>
    <w:rsid w:val="00150BC0"/>
    <w:rsid w:val="001510D6"/>
    <w:rsid w:val="001516C5"/>
    <w:rsid w:val="00154325"/>
    <w:rsid w:val="00161E01"/>
    <w:rsid w:val="00163000"/>
    <w:rsid w:val="00175BB3"/>
    <w:rsid w:val="00176AA0"/>
    <w:rsid w:val="00186341"/>
    <w:rsid w:val="00195153"/>
    <w:rsid w:val="001A43D8"/>
    <w:rsid w:val="001A53F0"/>
    <w:rsid w:val="001A58F3"/>
    <w:rsid w:val="001B0B1E"/>
    <w:rsid w:val="001B5518"/>
    <w:rsid w:val="001D03D7"/>
    <w:rsid w:val="001D4864"/>
    <w:rsid w:val="001E0D97"/>
    <w:rsid w:val="001E2ED3"/>
    <w:rsid w:val="001E41EC"/>
    <w:rsid w:val="001E5791"/>
    <w:rsid w:val="001E5C22"/>
    <w:rsid w:val="002137BC"/>
    <w:rsid w:val="00214C43"/>
    <w:rsid w:val="0022085E"/>
    <w:rsid w:val="00225E85"/>
    <w:rsid w:val="00226A12"/>
    <w:rsid w:val="00230322"/>
    <w:rsid w:val="0024258A"/>
    <w:rsid w:val="00255F2B"/>
    <w:rsid w:val="00257A2D"/>
    <w:rsid w:val="002618D7"/>
    <w:rsid w:val="0026453A"/>
    <w:rsid w:val="00264599"/>
    <w:rsid w:val="0026681C"/>
    <w:rsid w:val="00267288"/>
    <w:rsid w:val="00270BF8"/>
    <w:rsid w:val="002778C2"/>
    <w:rsid w:val="00281932"/>
    <w:rsid w:val="00283EDA"/>
    <w:rsid w:val="00296843"/>
    <w:rsid w:val="00296AC3"/>
    <w:rsid w:val="002B1C25"/>
    <w:rsid w:val="002C5599"/>
    <w:rsid w:val="002D206F"/>
    <w:rsid w:val="002D31B5"/>
    <w:rsid w:val="002F1D7C"/>
    <w:rsid w:val="002F28F6"/>
    <w:rsid w:val="002F4921"/>
    <w:rsid w:val="002F6DC7"/>
    <w:rsid w:val="003003F3"/>
    <w:rsid w:val="0030414A"/>
    <w:rsid w:val="00304F5B"/>
    <w:rsid w:val="00307CF7"/>
    <w:rsid w:val="003144BD"/>
    <w:rsid w:val="0031517D"/>
    <w:rsid w:val="003157C6"/>
    <w:rsid w:val="0031743B"/>
    <w:rsid w:val="00334B48"/>
    <w:rsid w:val="003361F1"/>
    <w:rsid w:val="003379E1"/>
    <w:rsid w:val="003437C2"/>
    <w:rsid w:val="003440CE"/>
    <w:rsid w:val="00344351"/>
    <w:rsid w:val="00344E77"/>
    <w:rsid w:val="00354732"/>
    <w:rsid w:val="00355D75"/>
    <w:rsid w:val="00355E53"/>
    <w:rsid w:val="003617EF"/>
    <w:rsid w:val="00371548"/>
    <w:rsid w:val="00383A1F"/>
    <w:rsid w:val="00392880"/>
    <w:rsid w:val="00393F36"/>
    <w:rsid w:val="003974D8"/>
    <w:rsid w:val="003A416D"/>
    <w:rsid w:val="003B1E82"/>
    <w:rsid w:val="003B5E55"/>
    <w:rsid w:val="003B5F82"/>
    <w:rsid w:val="003D4FA5"/>
    <w:rsid w:val="00410982"/>
    <w:rsid w:val="00420683"/>
    <w:rsid w:val="00422F51"/>
    <w:rsid w:val="00424A0F"/>
    <w:rsid w:val="004378D8"/>
    <w:rsid w:val="00437B50"/>
    <w:rsid w:val="00442238"/>
    <w:rsid w:val="0045321C"/>
    <w:rsid w:val="004565FF"/>
    <w:rsid w:val="00461644"/>
    <w:rsid w:val="0046406F"/>
    <w:rsid w:val="004679CC"/>
    <w:rsid w:val="00473D94"/>
    <w:rsid w:val="00475198"/>
    <w:rsid w:val="00475716"/>
    <w:rsid w:val="00481172"/>
    <w:rsid w:val="00493C79"/>
    <w:rsid w:val="004950D7"/>
    <w:rsid w:val="004A4059"/>
    <w:rsid w:val="004A7B93"/>
    <w:rsid w:val="004B02A0"/>
    <w:rsid w:val="004B1503"/>
    <w:rsid w:val="004B39D0"/>
    <w:rsid w:val="004B4922"/>
    <w:rsid w:val="004C24E1"/>
    <w:rsid w:val="004C798A"/>
    <w:rsid w:val="004E0677"/>
    <w:rsid w:val="004E1DF1"/>
    <w:rsid w:val="004E6184"/>
    <w:rsid w:val="004F1C90"/>
    <w:rsid w:val="00500C34"/>
    <w:rsid w:val="0050124F"/>
    <w:rsid w:val="005060EC"/>
    <w:rsid w:val="00506D59"/>
    <w:rsid w:val="00507FB5"/>
    <w:rsid w:val="005116F1"/>
    <w:rsid w:val="00513481"/>
    <w:rsid w:val="0051628D"/>
    <w:rsid w:val="0053306D"/>
    <w:rsid w:val="0053339E"/>
    <w:rsid w:val="00537255"/>
    <w:rsid w:val="005514E8"/>
    <w:rsid w:val="00552876"/>
    <w:rsid w:val="00560B9F"/>
    <w:rsid w:val="005706A9"/>
    <w:rsid w:val="005732AC"/>
    <w:rsid w:val="00576DF4"/>
    <w:rsid w:val="005824AF"/>
    <w:rsid w:val="00584005"/>
    <w:rsid w:val="00584CEF"/>
    <w:rsid w:val="0059029D"/>
    <w:rsid w:val="00594D46"/>
    <w:rsid w:val="005A2EDC"/>
    <w:rsid w:val="005B1E59"/>
    <w:rsid w:val="005B2978"/>
    <w:rsid w:val="005B379D"/>
    <w:rsid w:val="005B3E36"/>
    <w:rsid w:val="005C2AA7"/>
    <w:rsid w:val="005D277D"/>
    <w:rsid w:val="005D53AD"/>
    <w:rsid w:val="005D58CD"/>
    <w:rsid w:val="005D618C"/>
    <w:rsid w:val="005D79FA"/>
    <w:rsid w:val="005E6EC0"/>
    <w:rsid w:val="005F739A"/>
    <w:rsid w:val="00612CEF"/>
    <w:rsid w:val="00620742"/>
    <w:rsid w:val="0062160E"/>
    <w:rsid w:val="00621F78"/>
    <w:rsid w:val="00624159"/>
    <w:rsid w:val="0062433A"/>
    <w:rsid w:val="0064156B"/>
    <w:rsid w:val="00647DD3"/>
    <w:rsid w:val="00652392"/>
    <w:rsid w:val="00660073"/>
    <w:rsid w:val="00671124"/>
    <w:rsid w:val="00687FAF"/>
    <w:rsid w:val="00697BE4"/>
    <w:rsid w:val="006A189A"/>
    <w:rsid w:val="006A2D08"/>
    <w:rsid w:val="006D00C9"/>
    <w:rsid w:val="006D11F2"/>
    <w:rsid w:val="006D2DF5"/>
    <w:rsid w:val="006E1B27"/>
    <w:rsid w:val="00700691"/>
    <w:rsid w:val="00701348"/>
    <w:rsid w:val="00702906"/>
    <w:rsid w:val="007035B4"/>
    <w:rsid w:val="00705465"/>
    <w:rsid w:val="00717C8B"/>
    <w:rsid w:val="0072102B"/>
    <w:rsid w:val="007344CD"/>
    <w:rsid w:val="00742883"/>
    <w:rsid w:val="00746730"/>
    <w:rsid w:val="00751E4B"/>
    <w:rsid w:val="00752527"/>
    <w:rsid w:val="00763A54"/>
    <w:rsid w:val="0077001B"/>
    <w:rsid w:val="00781E67"/>
    <w:rsid w:val="00783979"/>
    <w:rsid w:val="007935FD"/>
    <w:rsid w:val="007937F0"/>
    <w:rsid w:val="0079664C"/>
    <w:rsid w:val="00796C1D"/>
    <w:rsid w:val="007A2CB3"/>
    <w:rsid w:val="007A3ACF"/>
    <w:rsid w:val="007A4EF2"/>
    <w:rsid w:val="007C3ADB"/>
    <w:rsid w:val="007C61BA"/>
    <w:rsid w:val="007C79CF"/>
    <w:rsid w:val="007C7EC2"/>
    <w:rsid w:val="007D798E"/>
    <w:rsid w:val="007E0C74"/>
    <w:rsid w:val="007E0FE4"/>
    <w:rsid w:val="007E7B3D"/>
    <w:rsid w:val="007F33B9"/>
    <w:rsid w:val="007F7D7E"/>
    <w:rsid w:val="008147DD"/>
    <w:rsid w:val="00823A80"/>
    <w:rsid w:val="008327D8"/>
    <w:rsid w:val="00843091"/>
    <w:rsid w:val="00867977"/>
    <w:rsid w:val="00872437"/>
    <w:rsid w:val="00874294"/>
    <w:rsid w:val="00882F28"/>
    <w:rsid w:val="0089479A"/>
    <w:rsid w:val="00894AF3"/>
    <w:rsid w:val="008A4E2C"/>
    <w:rsid w:val="008B264D"/>
    <w:rsid w:val="008B3824"/>
    <w:rsid w:val="008B5DB8"/>
    <w:rsid w:val="008B65F3"/>
    <w:rsid w:val="008C23D2"/>
    <w:rsid w:val="008C350B"/>
    <w:rsid w:val="008C6A0F"/>
    <w:rsid w:val="008D0FEB"/>
    <w:rsid w:val="008E1E74"/>
    <w:rsid w:val="008E54DE"/>
    <w:rsid w:val="008F0021"/>
    <w:rsid w:val="008F42F4"/>
    <w:rsid w:val="008F4F98"/>
    <w:rsid w:val="0090213B"/>
    <w:rsid w:val="00905439"/>
    <w:rsid w:val="009056F7"/>
    <w:rsid w:val="00907B76"/>
    <w:rsid w:val="00910E2E"/>
    <w:rsid w:val="00910E71"/>
    <w:rsid w:val="00916C48"/>
    <w:rsid w:val="0091768E"/>
    <w:rsid w:val="009212B2"/>
    <w:rsid w:val="0092152F"/>
    <w:rsid w:val="00937A7C"/>
    <w:rsid w:val="0094384B"/>
    <w:rsid w:val="00974F27"/>
    <w:rsid w:val="009770BA"/>
    <w:rsid w:val="00977705"/>
    <w:rsid w:val="00977D2A"/>
    <w:rsid w:val="009862C1"/>
    <w:rsid w:val="00995E6A"/>
    <w:rsid w:val="00997D95"/>
    <w:rsid w:val="009A4D90"/>
    <w:rsid w:val="009B3314"/>
    <w:rsid w:val="009B75F9"/>
    <w:rsid w:val="009C1998"/>
    <w:rsid w:val="009D0855"/>
    <w:rsid w:val="009D633F"/>
    <w:rsid w:val="009E35D6"/>
    <w:rsid w:val="009F33B8"/>
    <w:rsid w:val="00A03137"/>
    <w:rsid w:val="00A03CE2"/>
    <w:rsid w:val="00A05A5A"/>
    <w:rsid w:val="00A15A30"/>
    <w:rsid w:val="00A16AA0"/>
    <w:rsid w:val="00A17B9C"/>
    <w:rsid w:val="00A21ACA"/>
    <w:rsid w:val="00A30E38"/>
    <w:rsid w:val="00A446FA"/>
    <w:rsid w:val="00A44B91"/>
    <w:rsid w:val="00A70E27"/>
    <w:rsid w:val="00A7267E"/>
    <w:rsid w:val="00A7268C"/>
    <w:rsid w:val="00A76E35"/>
    <w:rsid w:val="00A82D9D"/>
    <w:rsid w:val="00A91682"/>
    <w:rsid w:val="00A92206"/>
    <w:rsid w:val="00A939BE"/>
    <w:rsid w:val="00AA7B3E"/>
    <w:rsid w:val="00AB2CEB"/>
    <w:rsid w:val="00AB5887"/>
    <w:rsid w:val="00AC1BFF"/>
    <w:rsid w:val="00AD515B"/>
    <w:rsid w:val="00AF06F4"/>
    <w:rsid w:val="00AF2E79"/>
    <w:rsid w:val="00AF47DD"/>
    <w:rsid w:val="00AF4C6B"/>
    <w:rsid w:val="00B00B19"/>
    <w:rsid w:val="00B025FE"/>
    <w:rsid w:val="00B21091"/>
    <w:rsid w:val="00B21318"/>
    <w:rsid w:val="00B27220"/>
    <w:rsid w:val="00B370D9"/>
    <w:rsid w:val="00B43BA0"/>
    <w:rsid w:val="00B44D4C"/>
    <w:rsid w:val="00B45CAB"/>
    <w:rsid w:val="00B46EDE"/>
    <w:rsid w:val="00B5202F"/>
    <w:rsid w:val="00B60A70"/>
    <w:rsid w:val="00B64E06"/>
    <w:rsid w:val="00B751FA"/>
    <w:rsid w:val="00B76316"/>
    <w:rsid w:val="00B805FE"/>
    <w:rsid w:val="00B9407F"/>
    <w:rsid w:val="00BA36D7"/>
    <w:rsid w:val="00BA5CB6"/>
    <w:rsid w:val="00BC1DE5"/>
    <w:rsid w:val="00BC5242"/>
    <w:rsid w:val="00BD1FDB"/>
    <w:rsid w:val="00BD200E"/>
    <w:rsid w:val="00BD3B3E"/>
    <w:rsid w:val="00BD42CD"/>
    <w:rsid w:val="00BD717B"/>
    <w:rsid w:val="00BE7640"/>
    <w:rsid w:val="00BF5E7A"/>
    <w:rsid w:val="00C036F6"/>
    <w:rsid w:val="00C10C69"/>
    <w:rsid w:val="00C2453E"/>
    <w:rsid w:val="00C24E1F"/>
    <w:rsid w:val="00C24F0F"/>
    <w:rsid w:val="00C2771E"/>
    <w:rsid w:val="00C27833"/>
    <w:rsid w:val="00C3106D"/>
    <w:rsid w:val="00C35FE1"/>
    <w:rsid w:val="00C42A40"/>
    <w:rsid w:val="00C46221"/>
    <w:rsid w:val="00C52744"/>
    <w:rsid w:val="00C56D9D"/>
    <w:rsid w:val="00C6558B"/>
    <w:rsid w:val="00C65750"/>
    <w:rsid w:val="00C729D1"/>
    <w:rsid w:val="00C72AD9"/>
    <w:rsid w:val="00C77D2E"/>
    <w:rsid w:val="00C84B49"/>
    <w:rsid w:val="00C92DC9"/>
    <w:rsid w:val="00C95B81"/>
    <w:rsid w:val="00CA17DA"/>
    <w:rsid w:val="00CA573C"/>
    <w:rsid w:val="00CB0E22"/>
    <w:rsid w:val="00CB5E3E"/>
    <w:rsid w:val="00CC61AE"/>
    <w:rsid w:val="00CC75C5"/>
    <w:rsid w:val="00CD348F"/>
    <w:rsid w:val="00CD6545"/>
    <w:rsid w:val="00CE13B4"/>
    <w:rsid w:val="00CE70D6"/>
    <w:rsid w:val="00D0538F"/>
    <w:rsid w:val="00D11FA9"/>
    <w:rsid w:val="00D145C9"/>
    <w:rsid w:val="00D14896"/>
    <w:rsid w:val="00D20B0B"/>
    <w:rsid w:val="00D26AAE"/>
    <w:rsid w:val="00D324E8"/>
    <w:rsid w:val="00D346CA"/>
    <w:rsid w:val="00D351FE"/>
    <w:rsid w:val="00D55E78"/>
    <w:rsid w:val="00D57339"/>
    <w:rsid w:val="00D64C67"/>
    <w:rsid w:val="00D72F27"/>
    <w:rsid w:val="00D85502"/>
    <w:rsid w:val="00D90CD6"/>
    <w:rsid w:val="00D9158A"/>
    <w:rsid w:val="00DA4E12"/>
    <w:rsid w:val="00DB0A31"/>
    <w:rsid w:val="00DB1EF1"/>
    <w:rsid w:val="00DB4042"/>
    <w:rsid w:val="00DB55E1"/>
    <w:rsid w:val="00DB5A3E"/>
    <w:rsid w:val="00DD3DD2"/>
    <w:rsid w:val="00DD4691"/>
    <w:rsid w:val="00DE01E2"/>
    <w:rsid w:val="00DF2A88"/>
    <w:rsid w:val="00DF5368"/>
    <w:rsid w:val="00E03211"/>
    <w:rsid w:val="00E10E0F"/>
    <w:rsid w:val="00E13D21"/>
    <w:rsid w:val="00E1461B"/>
    <w:rsid w:val="00E21339"/>
    <w:rsid w:val="00E21FB4"/>
    <w:rsid w:val="00E232F3"/>
    <w:rsid w:val="00E242D7"/>
    <w:rsid w:val="00E27AF6"/>
    <w:rsid w:val="00E40F99"/>
    <w:rsid w:val="00E54FF7"/>
    <w:rsid w:val="00E62623"/>
    <w:rsid w:val="00E638D2"/>
    <w:rsid w:val="00E74AE5"/>
    <w:rsid w:val="00E75B23"/>
    <w:rsid w:val="00E76314"/>
    <w:rsid w:val="00E94D0F"/>
    <w:rsid w:val="00E9513F"/>
    <w:rsid w:val="00E95964"/>
    <w:rsid w:val="00EA0B1A"/>
    <w:rsid w:val="00EA170B"/>
    <w:rsid w:val="00EA223B"/>
    <w:rsid w:val="00EA2464"/>
    <w:rsid w:val="00EB05D4"/>
    <w:rsid w:val="00EB289D"/>
    <w:rsid w:val="00EB2E6A"/>
    <w:rsid w:val="00EB72FF"/>
    <w:rsid w:val="00EC0658"/>
    <w:rsid w:val="00EC3E43"/>
    <w:rsid w:val="00ED3B94"/>
    <w:rsid w:val="00ED4721"/>
    <w:rsid w:val="00EE2EBE"/>
    <w:rsid w:val="00EE318E"/>
    <w:rsid w:val="00EE439C"/>
    <w:rsid w:val="00EE783C"/>
    <w:rsid w:val="00EF3AB6"/>
    <w:rsid w:val="00EF5E29"/>
    <w:rsid w:val="00F006EE"/>
    <w:rsid w:val="00F11012"/>
    <w:rsid w:val="00F219AE"/>
    <w:rsid w:val="00F233CB"/>
    <w:rsid w:val="00F30101"/>
    <w:rsid w:val="00F45C81"/>
    <w:rsid w:val="00F57EC6"/>
    <w:rsid w:val="00F62A84"/>
    <w:rsid w:val="00F62DE4"/>
    <w:rsid w:val="00F7307D"/>
    <w:rsid w:val="00F758D0"/>
    <w:rsid w:val="00F76A5A"/>
    <w:rsid w:val="00F871BA"/>
    <w:rsid w:val="00F95B45"/>
    <w:rsid w:val="00F97877"/>
    <w:rsid w:val="00F97D01"/>
    <w:rsid w:val="00F97DB3"/>
    <w:rsid w:val="00FA0353"/>
    <w:rsid w:val="00FA2186"/>
    <w:rsid w:val="00FB4EB2"/>
    <w:rsid w:val="00FB7A4D"/>
    <w:rsid w:val="00FC25B1"/>
    <w:rsid w:val="00FC2CD4"/>
    <w:rsid w:val="00FC553F"/>
    <w:rsid w:val="00FD3C91"/>
    <w:rsid w:val="00FD4D40"/>
    <w:rsid w:val="00FE5421"/>
    <w:rsid w:val="00FE696B"/>
    <w:rsid w:val="00FF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790C4C5"/>
  <w15:chartTrackingRefBased/>
  <w15:docId w15:val="{1C6275A2-BC4D-4F8B-B9B5-E92E6F1B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1503"/>
    <w:rPr>
      <w:rFonts w:ascii="Verdana" w:hAnsi="Verdana"/>
      <w:color w:val="000000" w:themeColor="text1"/>
    </w:rPr>
  </w:style>
  <w:style w:type="paragraph" w:styleId="Heading1">
    <w:name w:val="heading 1"/>
    <w:basedOn w:val="Normal"/>
    <w:next w:val="Normal"/>
    <w:link w:val="Heading1Char"/>
    <w:uiPriority w:val="9"/>
    <w:qFormat/>
    <w:rsid w:val="00C35FE1"/>
    <w:pPr>
      <w:keepNext/>
      <w:keepLines/>
      <w:spacing w:before="240" w:after="0"/>
      <w:outlineLvl w:val="0"/>
    </w:pPr>
    <w:rPr>
      <w:rFonts w:ascii="Palatino Linotype" w:eastAsiaTheme="majorEastAsia" w:hAnsi="Palatino Linotype" w:cstheme="majorBidi"/>
      <w:color w:val="CE2028"/>
      <w:sz w:val="36"/>
      <w:szCs w:val="32"/>
    </w:rPr>
  </w:style>
  <w:style w:type="paragraph" w:styleId="Heading2">
    <w:name w:val="heading 2"/>
    <w:basedOn w:val="Normal"/>
    <w:next w:val="Normal"/>
    <w:link w:val="Heading2Char"/>
    <w:uiPriority w:val="9"/>
    <w:unhideWhenUsed/>
    <w:qFormat/>
    <w:rsid w:val="00C35FE1"/>
    <w:pPr>
      <w:keepNext/>
      <w:keepLines/>
      <w:spacing w:before="40" w:after="0"/>
      <w:outlineLvl w:val="1"/>
    </w:pPr>
    <w:rPr>
      <w:rFonts w:ascii="Palatino Linotype" w:eastAsiaTheme="majorEastAsia" w:hAnsi="Palatino Linotype" w:cstheme="majorBidi"/>
      <w:color w:val="CE2028"/>
      <w:sz w:val="32"/>
      <w:szCs w:val="26"/>
    </w:rPr>
  </w:style>
  <w:style w:type="paragraph" w:styleId="Heading3">
    <w:name w:val="heading 3"/>
    <w:basedOn w:val="Normal"/>
    <w:next w:val="Normal"/>
    <w:link w:val="Heading3Char"/>
    <w:uiPriority w:val="9"/>
    <w:unhideWhenUsed/>
    <w:qFormat/>
    <w:rsid w:val="00C35FE1"/>
    <w:pPr>
      <w:keepNext/>
      <w:keepLines/>
      <w:spacing w:before="40" w:after="0"/>
      <w:outlineLvl w:val="2"/>
    </w:pPr>
    <w:rPr>
      <w:rFonts w:eastAsiaTheme="majorEastAsia" w:cstheme="majorBidi"/>
      <w:color w:val="CE2028"/>
      <w:szCs w:val="24"/>
    </w:rPr>
  </w:style>
  <w:style w:type="paragraph" w:styleId="Heading4">
    <w:name w:val="heading 4"/>
    <w:aliases w:val="Recommendations"/>
    <w:basedOn w:val="Normal"/>
    <w:next w:val="Normal"/>
    <w:link w:val="Heading4Char"/>
    <w:autoRedefine/>
    <w:uiPriority w:val="9"/>
    <w:unhideWhenUsed/>
    <w:qFormat/>
    <w:rsid w:val="00500C34"/>
    <w:pPr>
      <w:keepNext/>
      <w:keepLines/>
      <w:spacing w:before="40" w:after="0"/>
      <w:outlineLvl w:val="3"/>
    </w:pPr>
    <w:rPr>
      <w:rFonts w:eastAsiaTheme="majorEastAsia" w:cstheme="majorBidi"/>
      <w:b/>
      <w:iCs/>
      <w:color w:val="CE20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E9513F"/>
    <w:pPr>
      <w:spacing w:after="0" w:line="240" w:lineRule="auto"/>
      <w:contextualSpacing/>
    </w:pPr>
    <w:rPr>
      <w:rFonts w:ascii="Palatino Linotype" w:eastAsiaTheme="majorEastAsia" w:hAnsi="Palatino Linotype" w:cstheme="majorBidi"/>
      <w:color w:val="143156"/>
      <w:spacing w:val="-10"/>
      <w:kern w:val="28"/>
      <w:sz w:val="56"/>
      <w:szCs w:val="56"/>
    </w:rPr>
  </w:style>
  <w:style w:type="character" w:customStyle="1" w:styleId="TitleChar">
    <w:name w:val="Title Char"/>
    <w:basedOn w:val="DefaultParagraphFont"/>
    <w:link w:val="Title"/>
    <w:uiPriority w:val="10"/>
    <w:rsid w:val="00E9513F"/>
    <w:rPr>
      <w:rFonts w:ascii="Palatino Linotype" w:eastAsiaTheme="majorEastAsia" w:hAnsi="Palatino Linotype" w:cstheme="majorBidi"/>
      <w:color w:val="143156"/>
      <w:spacing w:val="-10"/>
      <w:kern w:val="28"/>
      <w:sz w:val="56"/>
      <w:szCs w:val="56"/>
    </w:rPr>
  </w:style>
  <w:style w:type="paragraph" w:styleId="Subtitle">
    <w:name w:val="Subtitle"/>
    <w:basedOn w:val="Normal"/>
    <w:next w:val="Normal"/>
    <w:link w:val="SubtitleChar"/>
    <w:uiPriority w:val="11"/>
    <w:qFormat/>
    <w:rsid w:val="00E9513F"/>
    <w:pPr>
      <w:numPr>
        <w:ilvl w:val="1"/>
      </w:numPr>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E9513F"/>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35FE1"/>
    <w:rPr>
      <w:rFonts w:ascii="Palatino Linotype" w:eastAsiaTheme="majorEastAsia" w:hAnsi="Palatino Linotype" w:cstheme="majorBidi"/>
      <w:color w:val="CE2028"/>
      <w:sz w:val="36"/>
      <w:szCs w:val="32"/>
    </w:rPr>
  </w:style>
  <w:style w:type="character" w:customStyle="1" w:styleId="Heading2Char">
    <w:name w:val="Heading 2 Char"/>
    <w:basedOn w:val="DefaultParagraphFont"/>
    <w:link w:val="Heading2"/>
    <w:uiPriority w:val="9"/>
    <w:rsid w:val="00C35FE1"/>
    <w:rPr>
      <w:rFonts w:ascii="Palatino Linotype" w:eastAsiaTheme="majorEastAsia" w:hAnsi="Palatino Linotype" w:cstheme="majorBidi"/>
      <w:color w:val="CE2028"/>
      <w:sz w:val="32"/>
      <w:szCs w:val="26"/>
    </w:rPr>
  </w:style>
  <w:style w:type="character" w:styleId="SubtleEmphasis">
    <w:name w:val="Subtle Emphasis"/>
    <w:basedOn w:val="SubtitleChar"/>
    <w:uiPriority w:val="19"/>
    <w:qFormat/>
    <w:rsid w:val="00620742"/>
    <w:rPr>
      <w:rFonts w:ascii="Palatino Linotype" w:eastAsiaTheme="minorEastAsia" w:hAnsi="Palatino Linotype"/>
      <w:i w:val="0"/>
      <w:iCs/>
      <w:color w:val="143156"/>
      <w:spacing w:val="15"/>
      <w:sz w:val="3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37255"/>
    <w:pPr>
      <w:ind w:left="720"/>
      <w:contextualSpacing/>
    </w:pPr>
    <w:rPr>
      <w:rFonts w:asciiTheme="minorHAnsi" w:hAnsiTheme="minorHAnsi"/>
      <w:color w:val="auto"/>
      <w:lang w:val="en-AU"/>
    </w:rPr>
  </w:style>
  <w:style w:type="paragraph" w:styleId="FootnoteText">
    <w:name w:val="footnote text"/>
    <w:basedOn w:val="Normal"/>
    <w:link w:val="FootnoteTextChar"/>
    <w:uiPriority w:val="99"/>
    <w:unhideWhenUsed/>
    <w:rsid w:val="00537255"/>
    <w:pPr>
      <w:spacing w:after="0" w:line="240" w:lineRule="auto"/>
    </w:pPr>
    <w:rPr>
      <w:sz w:val="20"/>
      <w:szCs w:val="20"/>
    </w:rPr>
  </w:style>
  <w:style w:type="character" w:customStyle="1" w:styleId="FootnoteTextChar">
    <w:name w:val="Footnote Text Char"/>
    <w:basedOn w:val="DefaultParagraphFont"/>
    <w:link w:val="FootnoteText"/>
    <w:uiPriority w:val="99"/>
    <w:rsid w:val="00537255"/>
    <w:rPr>
      <w:rFonts w:ascii="Verdana" w:hAnsi="Verdana"/>
      <w:color w:val="000000" w:themeColor="text1"/>
      <w:sz w:val="20"/>
      <w:szCs w:val="20"/>
    </w:rPr>
  </w:style>
  <w:style w:type="character" w:styleId="FootnoteReference">
    <w:name w:val="footnote reference"/>
    <w:basedOn w:val="DefaultParagraphFont"/>
    <w:uiPriority w:val="99"/>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7C61BA"/>
    <w:rPr>
      <w:b/>
      <w:bCs/>
    </w:rPr>
  </w:style>
  <w:style w:type="table" w:styleId="TableGrid">
    <w:name w:val="Table Grid"/>
    <w:basedOn w:val="TableNormal"/>
    <w:uiPriority w:val="39"/>
    <w:rsid w:val="007C6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7C61BA"/>
    <w:pPr>
      <w:spacing w:line="240" w:lineRule="auto"/>
    </w:pPr>
    <w:rPr>
      <w:sz w:val="20"/>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table" w:styleId="GridTable1Light">
    <w:name w:val="Grid Table 1 Light"/>
    <w:basedOn w:val="TableNormal"/>
    <w:uiPriority w:val="46"/>
    <w:rsid w:val="00493C7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493C79"/>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493C79"/>
    <w:rPr>
      <w:lang w:val="en-AU"/>
    </w:rPr>
  </w:style>
  <w:style w:type="character" w:customStyle="1" w:styleId="Heading3Char">
    <w:name w:val="Heading 3 Char"/>
    <w:basedOn w:val="DefaultParagraphFont"/>
    <w:link w:val="Heading3"/>
    <w:uiPriority w:val="9"/>
    <w:rsid w:val="00C35FE1"/>
    <w:rPr>
      <w:rFonts w:ascii="Verdana" w:eastAsiaTheme="majorEastAsia" w:hAnsi="Verdana" w:cstheme="majorBidi"/>
      <w:color w:val="CE2028"/>
      <w:szCs w:val="24"/>
    </w:rPr>
  </w:style>
  <w:style w:type="character" w:customStyle="1" w:styleId="Heading4Char">
    <w:name w:val="Heading 4 Char"/>
    <w:aliases w:val="Recommendations Char"/>
    <w:basedOn w:val="DefaultParagraphFont"/>
    <w:link w:val="Heading4"/>
    <w:uiPriority w:val="9"/>
    <w:rsid w:val="00500C34"/>
    <w:rPr>
      <w:rFonts w:ascii="Verdana" w:eastAsiaTheme="majorEastAsia" w:hAnsi="Verdana" w:cstheme="majorBidi"/>
      <w:b/>
      <w:iCs/>
      <w:color w:val="CE2028"/>
      <w:sz w:val="20"/>
    </w:rPr>
  </w:style>
  <w:style w:type="paragraph" w:customStyle="1" w:styleId="Default">
    <w:name w:val="Default"/>
    <w:rsid w:val="00C92DC9"/>
    <w:pPr>
      <w:autoSpaceDE w:val="0"/>
      <w:autoSpaceDN w:val="0"/>
      <w:adjustRightInd w:val="0"/>
      <w:spacing w:after="0" w:line="240" w:lineRule="auto"/>
    </w:pPr>
    <w:rPr>
      <w:rFonts w:ascii="Calibri" w:hAnsi="Calibri" w:cs="Calibri"/>
      <w:color w:val="000000"/>
      <w:sz w:val="24"/>
      <w:szCs w:val="24"/>
      <w:lang w:val="en-AU"/>
    </w:rPr>
  </w:style>
  <w:style w:type="paragraph" w:customStyle="1" w:styleId="xmsolistparagraph">
    <w:name w:val="x_msolistparagraph"/>
    <w:basedOn w:val="Normal"/>
    <w:uiPriority w:val="99"/>
    <w:rsid w:val="00C92DC9"/>
    <w:pPr>
      <w:spacing w:after="0" w:line="240" w:lineRule="auto"/>
    </w:pPr>
    <w:rPr>
      <w:rFonts w:ascii="Times New Roman" w:hAnsi="Times New Roman" w:cs="Times New Roman"/>
      <w:color w:val="auto"/>
      <w:sz w:val="24"/>
      <w:szCs w:val="24"/>
      <w:lang w:val="en-AU" w:eastAsia="en-AU"/>
    </w:rPr>
  </w:style>
  <w:style w:type="paragraph" w:customStyle="1" w:styleId="xmsonormal">
    <w:name w:val="x_msonormal"/>
    <w:basedOn w:val="Normal"/>
    <w:rsid w:val="00C92DC9"/>
    <w:pPr>
      <w:spacing w:after="0" w:line="240" w:lineRule="auto"/>
    </w:pPr>
    <w:rPr>
      <w:rFonts w:ascii="Times New Roman" w:hAnsi="Times New Roman" w:cs="Times New Roman"/>
      <w:color w:val="auto"/>
      <w:sz w:val="24"/>
      <w:szCs w:val="24"/>
      <w:lang w:val="en-AU" w:eastAsia="en-AU"/>
    </w:rPr>
  </w:style>
  <w:style w:type="character" w:styleId="FollowedHyperlink">
    <w:name w:val="FollowedHyperlink"/>
    <w:basedOn w:val="DefaultParagraphFont"/>
    <w:uiPriority w:val="99"/>
    <w:semiHidden/>
    <w:unhideWhenUsed/>
    <w:rsid w:val="00916C48"/>
    <w:rPr>
      <w:color w:val="954F72" w:themeColor="followedHyperlink"/>
      <w:u w:val="single"/>
    </w:rPr>
  </w:style>
  <w:style w:type="paragraph" w:styleId="BalloonText">
    <w:name w:val="Balloon Text"/>
    <w:basedOn w:val="Normal"/>
    <w:link w:val="BalloonTextChar"/>
    <w:uiPriority w:val="99"/>
    <w:semiHidden/>
    <w:unhideWhenUsed/>
    <w:rsid w:val="009E35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5D6"/>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1E41EC"/>
    <w:rPr>
      <w:sz w:val="16"/>
      <w:szCs w:val="16"/>
    </w:rPr>
  </w:style>
  <w:style w:type="paragraph" w:styleId="CommentSubject">
    <w:name w:val="annotation subject"/>
    <w:basedOn w:val="CommentText"/>
    <w:next w:val="CommentText"/>
    <w:link w:val="CommentSubjectChar"/>
    <w:uiPriority w:val="99"/>
    <w:semiHidden/>
    <w:unhideWhenUsed/>
    <w:rsid w:val="001E41EC"/>
    <w:rPr>
      <w:b/>
      <w:bCs/>
    </w:rPr>
  </w:style>
  <w:style w:type="character" w:customStyle="1" w:styleId="CommentSubjectChar">
    <w:name w:val="Comment Subject Char"/>
    <w:basedOn w:val="CommentTextChar"/>
    <w:link w:val="CommentSubject"/>
    <w:uiPriority w:val="99"/>
    <w:semiHidden/>
    <w:rsid w:val="001E41EC"/>
    <w:rPr>
      <w:rFonts w:ascii="Verdana" w:hAnsi="Verdana"/>
      <w:b/>
      <w:bCs/>
      <w:color w:val="000000" w:themeColor="text1"/>
      <w:sz w:val="20"/>
      <w:szCs w:val="20"/>
    </w:rPr>
  </w:style>
  <w:style w:type="paragraph" w:styleId="NoSpacing">
    <w:name w:val="No Spacing"/>
    <w:uiPriority w:val="1"/>
    <w:qFormat/>
    <w:rsid w:val="00A30E38"/>
    <w:pPr>
      <w:spacing w:after="0" w:line="240" w:lineRule="auto"/>
    </w:pPr>
    <w:rPr>
      <w:rFonts w:ascii="Verdana" w:hAnsi="Verdana"/>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0286">
      <w:bodyDiv w:val="1"/>
      <w:marLeft w:val="0"/>
      <w:marRight w:val="0"/>
      <w:marTop w:val="0"/>
      <w:marBottom w:val="0"/>
      <w:divBdr>
        <w:top w:val="none" w:sz="0" w:space="0" w:color="auto"/>
        <w:left w:val="none" w:sz="0" w:space="0" w:color="auto"/>
        <w:bottom w:val="none" w:sz="0" w:space="0" w:color="auto"/>
        <w:right w:val="none" w:sz="0" w:space="0" w:color="auto"/>
      </w:divBdr>
    </w:div>
    <w:div w:id="241916896">
      <w:bodyDiv w:val="1"/>
      <w:marLeft w:val="0"/>
      <w:marRight w:val="0"/>
      <w:marTop w:val="0"/>
      <w:marBottom w:val="0"/>
      <w:divBdr>
        <w:top w:val="none" w:sz="0" w:space="0" w:color="auto"/>
        <w:left w:val="none" w:sz="0" w:space="0" w:color="auto"/>
        <w:bottom w:val="none" w:sz="0" w:space="0" w:color="auto"/>
        <w:right w:val="none" w:sz="0" w:space="0" w:color="auto"/>
      </w:divBdr>
    </w:div>
    <w:div w:id="333189943">
      <w:bodyDiv w:val="1"/>
      <w:marLeft w:val="0"/>
      <w:marRight w:val="0"/>
      <w:marTop w:val="0"/>
      <w:marBottom w:val="0"/>
      <w:divBdr>
        <w:top w:val="none" w:sz="0" w:space="0" w:color="auto"/>
        <w:left w:val="none" w:sz="0" w:space="0" w:color="auto"/>
        <w:bottom w:val="none" w:sz="0" w:space="0" w:color="auto"/>
        <w:right w:val="none" w:sz="0" w:space="0" w:color="auto"/>
      </w:divBdr>
    </w:div>
    <w:div w:id="561672870">
      <w:bodyDiv w:val="1"/>
      <w:marLeft w:val="0"/>
      <w:marRight w:val="0"/>
      <w:marTop w:val="0"/>
      <w:marBottom w:val="0"/>
      <w:divBdr>
        <w:top w:val="none" w:sz="0" w:space="0" w:color="auto"/>
        <w:left w:val="none" w:sz="0" w:space="0" w:color="auto"/>
        <w:bottom w:val="none" w:sz="0" w:space="0" w:color="auto"/>
        <w:right w:val="none" w:sz="0" w:space="0" w:color="auto"/>
      </w:divBdr>
    </w:div>
    <w:div w:id="623268439">
      <w:bodyDiv w:val="1"/>
      <w:marLeft w:val="0"/>
      <w:marRight w:val="0"/>
      <w:marTop w:val="0"/>
      <w:marBottom w:val="0"/>
      <w:divBdr>
        <w:top w:val="none" w:sz="0" w:space="0" w:color="auto"/>
        <w:left w:val="none" w:sz="0" w:space="0" w:color="auto"/>
        <w:bottom w:val="none" w:sz="0" w:space="0" w:color="auto"/>
        <w:right w:val="none" w:sz="0" w:space="0" w:color="auto"/>
      </w:divBdr>
      <w:divsChild>
        <w:div w:id="587927237">
          <w:marLeft w:val="0"/>
          <w:marRight w:val="0"/>
          <w:marTop w:val="0"/>
          <w:marBottom w:val="0"/>
          <w:divBdr>
            <w:top w:val="none" w:sz="0" w:space="0" w:color="auto"/>
            <w:left w:val="none" w:sz="0" w:space="0" w:color="auto"/>
            <w:bottom w:val="none" w:sz="0" w:space="0" w:color="auto"/>
            <w:right w:val="none" w:sz="0" w:space="0" w:color="auto"/>
          </w:divBdr>
        </w:div>
      </w:divsChild>
    </w:div>
    <w:div w:id="1246914913">
      <w:bodyDiv w:val="1"/>
      <w:marLeft w:val="0"/>
      <w:marRight w:val="0"/>
      <w:marTop w:val="0"/>
      <w:marBottom w:val="0"/>
      <w:divBdr>
        <w:top w:val="none" w:sz="0" w:space="0" w:color="auto"/>
        <w:left w:val="none" w:sz="0" w:space="0" w:color="auto"/>
        <w:bottom w:val="none" w:sz="0" w:space="0" w:color="auto"/>
        <w:right w:val="none" w:sz="0" w:space="0" w:color="auto"/>
      </w:divBdr>
    </w:div>
    <w:div w:id="1442263508">
      <w:bodyDiv w:val="1"/>
      <w:marLeft w:val="0"/>
      <w:marRight w:val="0"/>
      <w:marTop w:val="0"/>
      <w:marBottom w:val="0"/>
      <w:divBdr>
        <w:top w:val="none" w:sz="0" w:space="0" w:color="auto"/>
        <w:left w:val="none" w:sz="0" w:space="0" w:color="auto"/>
        <w:bottom w:val="none" w:sz="0" w:space="0" w:color="auto"/>
        <w:right w:val="none" w:sz="0" w:space="0" w:color="auto"/>
      </w:divBdr>
    </w:div>
    <w:div w:id="1565988767">
      <w:bodyDiv w:val="1"/>
      <w:marLeft w:val="0"/>
      <w:marRight w:val="0"/>
      <w:marTop w:val="0"/>
      <w:marBottom w:val="0"/>
      <w:divBdr>
        <w:top w:val="none" w:sz="0" w:space="0" w:color="auto"/>
        <w:left w:val="none" w:sz="0" w:space="0" w:color="auto"/>
        <w:bottom w:val="none" w:sz="0" w:space="0" w:color="auto"/>
        <w:right w:val="none" w:sz="0" w:space="0" w:color="auto"/>
      </w:divBdr>
    </w:div>
    <w:div w:id="1816069650">
      <w:bodyDiv w:val="1"/>
      <w:marLeft w:val="0"/>
      <w:marRight w:val="0"/>
      <w:marTop w:val="0"/>
      <w:marBottom w:val="0"/>
      <w:divBdr>
        <w:top w:val="none" w:sz="0" w:space="0" w:color="auto"/>
        <w:left w:val="none" w:sz="0" w:space="0" w:color="auto"/>
        <w:bottom w:val="none" w:sz="0" w:space="0" w:color="auto"/>
        <w:right w:val="none" w:sz="0" w:space="0" w:color="auto"/>
      </w:divBdr>
    </w:div>
    <w:div w:id="1920794820">
      <w:bodyDiv w:val="1"/>
      <w:marLeft w:val="0"/>
      <w:marRight w:val="0"/>
      <w:marTop w:val="0"/>
      <w:marBottom w:val="0"/>
      <w:divBdr>
        <w:top w:val="none" w:sz="0" w:space="0" w:color="auto"/>
        <w:left w:val="none" w:sz="0" w:space="0" w:color="auto"/>
        <w:bottom w:val="none" w:sz="0" w:space="0" w:color="auto"/>
        <w:right w:val="none" w:sz="0" w:space="0" w:color="auto"/>
      </w:divBdr>
    </w:div>
    <w:div w:id="1987737505">
      <w:bodyDiv w:val="1"/>
      <w:marLeft w:val="0"/>
      <w:marRight w:val="0"/>
      <w:marTop w:val="0"/>
      <w:marBottom w:val="0"/>
      <w:divBdr>
        <w:top w:val="none" w:sz="0" w:space="0" w:color="auto"/>
        <w:left w:val="none" w:sz="0" w:space="0" w:color="auto"/>
        <w:bottom w:val="none" w:sz="0" w:space="0" w:color="auto"/>
        <w:right w:val="none" w:sz="0" w:space="0" w:color="auto"/>
      </w:divBdr>
    </w:div>
    <w:div w:id="2087260154">
      <w:bodyDiv w:val="1"/>
      <w:marLeft w:val="0"/>
      <w:marRight w:val="0"/>
      <w:marTop w:val="0"/>
      <w:marBottom w:val="0"/>
      <w:divBdr>
        <w:top w:val="none" w:sz="0" w:space="0" w:color="auto"/>
        <w:left w:val="none" w:sz="0" w:space="0" w:color="auto"/>
        <w:bottom w:val="none" w:sz="0" w:space="0" w:color="auto"/>
        <w:right w:val="none" w:sz="0" w:space="0" w:color="auto"/>
      </w:divBdr>
      <w:divsChild>
        <w:div w:id="1242830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acoss.org.au/wp-content/uploads/2020/01/200229-Newstart-Increase-Briefing-Note.pdf" TargetMode="External"/><Relationship Id="rId20" Type="http://schemas.openxmlformats.org/officeDocument/2006/relationships/theme" Target="theme/theme1.xml"/><Relationship Id="rId10" Type="http://schemas.openxmlformats.org/officeDocument/2006/relationships/chart" Target="charts/chart1.xml"/><Relationship Id="rId11" Type="http://schemas.openxmlformats.org/officeDocument/2006/relationships/chart" Target="charts/chart2.xml"/><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mailto:info@acoss.org.au" TargetMode="External"/><Relationship Id="rId2" Type="http://schemas.openxmlformats.org/officeDocument/2006/relationships/hyperlink" Target="http://www.acoss.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inisters.treasury.gov.au/ministers/josh-frydenberg-2018/transcripts/interview-patricia-karvelas-abc-tv" TargetMode="External"/><Relationship Id="rId4" Type="http://schemas.openxmlformats.org/officeDocument/2006/relationships/hyperlink" Target="https://www.aph.gov.au/DocumentStore.ashx?id=8eae3650-d92c-4620-b85f-4c1d717e91c5" TargetMode="External"/><Relationship Id="rId5" Type="http://schemas.openxmlformats.org/officeDocument/2006/relationships/hyperlink" Target="https://www.acoss.org.au/wp-content/uploads/2020/04/200429-Economic-Recovery-Briefing-PDF-1.pdf" TargetMode="External"/><Relationship Id="rId6" Type="http://schemas.openxmlformats.org/officeDocument/2006/relationships/hyperlink" Target="https://theconversation.com/when-the-coronavirus-supplement-stops-jobseeker-needs-to-increase-by-185-a-week-138417" TargetMode="External"/><Relationship Id="rId7" Type="http://schemas.openxmlformats.org/officeDocument/2006/relationships/hyperlink" Target="https://grattan.edu.au/wp-content/uploads/2020/06/Grattan-Institute-Recovery-Book.pdf" TargetMode="External"/><Relationship Id="rId1" Type="http://schemas.openxmlformats.org/officeDocument/2006/relationships/hyperlink" Target="https://www.acoss.org.au/wp-content/uploads/2019/08/ACOSS-Brief-Social-Housing-Investment-as-Infrastructure.pdf" TargetMode="External"/><Relationship Id="rId2" Type="http://schemas.openxmlformats.org/officeDocument/2006/relationships/hyperlink" Target="https://www.acoss.org.au/wp-content/uploads/2020/04/200429-Economic-Recovery-Briefing-PDF-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4" Type="http://schemas.openxmlformats.org/officeDocument/2006/relationships/oleObject" Target="Book1" TargetMode="External"/><Relationship Id="rId1" Type="http://schemas.microsoft.com/office/2011/relationships/chartStyle" Target="style1.xml"/><Relationship Id="rId2"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charmaine\Desktop\cal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AU" b="1"/>
              <a:t>Pension parity model, payment rates</a:t>
            </a:r>
            <a:r>
              <a:rPr lang="en-AU" b="1" baseline="0"/>
              <a:t> pw</a:t>
            </a:r>
            <a:endParaRPr lang="en-AU"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Sheet1!$B$3</c:f>
              <c:strCache>
                <c:ptCount val="1"/>
                <c:pt idx="0">
                  <c:v>Current base rate (plus Energy supp) </c:v>
                </c:pt>
              </c:strCache>
            </c:strRef>
          </c:tx>
          <c:spPr>
            <a:solidFill>
              <a:schemeClr val="accent2">
                <a:tint val="65000"/>
              </a:schemeClr>
            </a:solidFill>
            <a:ln>
              <a:noFill/>
            </a:ln>
            <a:effectLst/>
          </c:spPr>
          <c:invertIfNegative val="0"/>
          <c:dLbls>
            <c:dLbl>
              <c:idx val="0"/>
              <c:layout>
                <c:manualLayout>
                  <c:x val="0.0"/>
                  <c:y val="0.010301690829223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103-4C3D-8800-6F07DB7896C6}"/>
                </c:ext>
                <c:ext xmlns:c15="http://schemas.microsoft.com/office/drawing/2012/chart" uri="{CE6537A1-D6FC-4f65-9D91-7224C49458BB}"/>
              </c:extLst>
            </c:dLbl>
            <c:numFmt formatCode="&quot;$&quot;#,##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Sheet1!$A$4:$A$9</c:f>
              <c:strCache>
                <c:ptCount val="6"/>
                <c:pt idx="0">
                  <c:v>JobSeeker single</c:v>
                </c:pt>
                <c:pt idx="1">
                  <c:v>Youth Allowance </c:v>
                </c:pt>
                <c:pt idx="2">
                  <c:v>Parenting Payment Single</c:v>
                </c:pt>
                <c:pt idx="3">
                  <c:v>Pension single</c:v>
                </c:pt>
                <c:pt idx="4">
                  <c:v>JobSeeker couple (combined)</c:v>
                </c:pt>
                <c:pt idx="5">
                  <c:v>Pension couple (combined)</c:v>
                </c:pt>
              </c:strCache>
            </c:strRef>
          </c:cat>
          <c:val>
            <c:numRef>
              <c:f>Sheet1!$B$4:$B$9</c:f>
              <c:numCache>
                <c:formatCode>General</c:formatCode>
                <c:ptCount val="6"/>
                <c:pt idx="0">
                  <c:v>287.0</c:v>
                </c:pt>
                <c:pt idx="1">
                  <c:v>234.5</c:v>
                </c:pt>
                <c:pt idx="2">
                  <c:v>401.0</c:v>
                </c:pt>
                <c:pt idx="3">
                  <c:v>472.0</c:v>
                </c:pt>
                <c:pt idx="4">
                  <c:v>514.0</c:v>
                </c:pt>
                <c:pt idx="5">
                  <c:v>711.0</c:v>
                </c:pt>
              </c:numCache>
            </c:numRef>
          </c:val>
          <c:extLst xmlns:c16r2="http://schemas.microsoft.com/office/drawing/2015/06/chart">
            <c:ext xmlns:c16="http://schemas.microsoft.com/office/drawing/2014/chart" uri="{C3380CC4-5D6E-409C-BE32-E72D297353CC}">
              <c16:uniqueId val="{00000001-E103-4C3D-8800-6F07DB7896C6}"/>
            </c:ext>
          </c:extLst>
        </c:ser>
        <c:ser>
          <c:idx val="1"/>
          <c:order val="1"/>
          <c:tx>
            <c:strRef>
              <c:f>Sheet1!$C$3</c:f>
              <c:strCache>
                <c:ptCount val="1"/>
                <c:pt idx="0">
                  <c:v>Base rate increase </c:v>
                </c:pt>
              </c:strCache>
            </c:strRef>
          </c:tx>
          <c:spPr>
            <a:solidFill>
              <a:schemeClr val="accent2"/>
            </a:solidFill>
            <a:ln>
              <a:noFill/>
            </a:ln>
            <a:effectLst/>
          </c:spPr>
          <c:invertIfNegative val="0"/>
          <c:dLbls>
            <c:dLbl>
              <c:idx val="3"/>
              <c:delete val="1"/>
              <c:extLst xmlns:c16r2="http://schemas.microsoft.com/office/drawing/2015/06/chart">
                <c:ext xmlns:c16="http://schemas.microsoft.com/office/drawing/2014/chart" uri="{C3380CC4-5D6E-409C-BE32-E72D297353CC}">
                  <c16:uniqueId val="{00000002-E103-4C3D-8800-6F07DB7896C6}"/>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3-E103-4C3D-8800-6F07DB7896C6}"/>
                </c:ext>
                <c:ext xmlns:c15="http://schemas.microsoft.com/office/drawing/2012/chart" uri="{CE6537A1-D6FC-4f65-9D91-7224C49458BB}"/>
              </c:extLst>
            </c:dLbl>
            <c:numFmt formatCode="&quot;$&quot;#,##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Sheet1!$A$4:$A$9</c:f>
              <c:strCache>
                <c:ptCount val="6"/>
                <c:pt idx="0">
                  <c:v>JobSeeker single</c:v>
                </c:pt>
                <c:pt idx="1">
                  <c:v>Youth Allowance </c:v>
                </c:pt>
                <c:pt idx="2">
                  <c:v>Parenting Payment Single</c:v>
                </c:pt>
                <c:pt idx="3">
                  <c:v>Pension single</c:v>
                </c:pt>
                <c:pt idx="4">
                  <c:v>JobSeeker couple (combined)</c:v>
                </c:pt>
                <c:pt idx="5">
                  <c:v>Pension couple (combined)</c:v>
                </c:pt>
              </c:strCache>
            </c:strRef>
          </c:cat>
          <c:val>
            <c:numRef>
              <c:f>Sheet1!$C$4:$C$9</c:f>
              <c:numCache>
                <c:formatCode>General</c:formatCode>
                <c:ptCount val="6"/>
                <c:pt idx="0">
                  <c:v>185.0</c:v>
                </c:pt>
                <c:pt idx="1">
                  <c:v>237.5</c:v>
                </c:pt>
                <c:pt idx="2">
                  <c:v>71.0</c:v>
                </c:pt>
                <c:pt idx="3">
                  <c:v>0.0</c:v>
                </c:pt>
                <c:pt idx="4">
                  <c:v>197.0</c:v>
                </c:pt>
                <c:pt idx="5">
                  <c:v>0.0</c:v>
                </c:pt>
              </c:numCache>
            </c:numRef>
          </c:val>
          <c:extLst xmlns:c16r2="http://schemas.microsoft.com/office/drawing/2015/06/chart">
            <c:ext xmlns:c16="http://schemas.microsoft.com/office/drawing/2014/chart" uri="{C3380CC4-5D6E-409C-BE32-E72D297353CC}">
              <c16:uniqueId val="{00000004-E103-4C3D-8800-6F07DB7896C6}"/>
            </c:ext>
          </c:extLst>
        </c:ser>
        <c:ser>
          <c:idx val="2"/>
          <c:order val="2"/>
          <c:tx>
            <c:strRef>
              <c:f>Sheet1!$D$3</c:f>
              <c:strCache>
                <c:ptCount val="1"/>
                <c:pt idx="0">
                  <c:v>CRA (50% increase) </c:v>
                </c:pt>
              </c:strCache>
            </c:strRef>
          </c:tx>
          <c:spPr>
            <a:solidFill>
              <a:schemeClr val="accent2">
                <a:shade val="65000"/>
              </a:schemeClr>
            </a:solidFill>
            <a:ln>
              <a:noFill/>
            </a:ln>
            <a:effectLst/>
          </c:spPr>
          <c:invertIfNegative val="0"/>
          <c:dLbls>
            <c:numFmt formatCode="&quot;$&quot;#,##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Sheet1!$A$4:$A$9</c:f>
              <c:strCache>
                <c:ptCount val="6"/>
                <c:pt idx="0">
                  <c:v>JobSeeker single</c:v>
                </c:pt>
                <c:pt idx="1">
                  <c:v>Youth Allowance </c:v>
                </c:pt>
                <c:pt idx="2">
                  <c:v>Parenting Payment Single</c:v>
                </c:pt>
                <c:pt idx="3">
                  <c:v>Pension single</c:v>
                </c:pt>
                <c:pt idx="4">
                  <c:v>JobSeeker couple (combined)</c:v>
                </c:pt>
                <c:pt idx="5">
                  <c:v>Pension couple (combined)</c:v>
                </c:pt>
              </c:strCache>
            </c:strRef>
          </c:cat>
          <c:val>
            <c:numRef>
              <c:f>Sheet1!$D$4:$D$9</c:f>
              <c:numCache>
                <c:formatCode>General</c:formatCode>
                <c:ptCount val="6"/>
                <c:pt idx="0">
                  <c:v>105.0</c:v>
                </c:pt>
                <c:pt idx="1">
                  <c:v>105.0</c:v>
                </c:pt>
                <c:pt idx="2">
                  <c:v>123.0</c:v>
                </c:pt>
                <c:pt idx="3">
                  <c:v>105.0</c:v>
                </c:pt>
                <c:pt idx="4">
                  <c:v>98.0</c:v>
                </c:pt>
                <c:pt idx="5">
                  <c:v>98.0</c:v>
                </c:pt>
              </c:numCache>
            </c:numRef>
          </c:val>
          <c:extLst xmlns:c16r2="http://schemas.microsoft.com/office/drawing/2015/06/chart">
            <c:ext xmlns:c16="http://schemas.microsoft.com/office/drawing/2014/chart" uri="{C3380CC4-5D6E-409C-BE32-E72D297353CC}">
              <c16:uniqueId val="{00000005-E103-4C3D-8800-6F07DB7896C6}"/>
            </c:ext>
          </c:extLst>
        </c:ser>
        <c:dLbls>
          <c:showLegendKey val="0"/>
          <c:showVal val="0"/>
          <c:showCatName val="0"/>
          <c:showSerName val="0"/>
          <c:showPercent val="0"/>
          <c:showBubbleSize val="0"/>
        </c:dLbls>
        <c:gapWidth val="150"/>
        <c:overlap val="100"/>
        <c:axId val="-787096576"/>
        <c:axId val="-772638192"/>
      </c:barChart>
      <c:catAx>
        <c:axId val="-78709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2638192"/>
        <c:crosses val="autoZero"/>
        <c:auto val="1"/>
        <c:lblAlgn val="ctr"/>
        <c:lblOffset val="100"/>
        <c:noMultiLvlLbl val="0"/>
      </c:catAx>
      <c:valAx>
        <c:axId val="-77263819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09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Comparison of proposed base rate with other incomes</a:t>
            </a:r>
            <a:r>
              <a:rPr lang="en-US" baseline="0"/>
              <a:t> (2020 $)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Sheet1!$B$13</c:f>
              <c:strCache>
                <c:ptCount val="1"/>
                <c:pt idx="0">
                  <c:v>Rate pw (2020$)</c:v>
                </c:pt>
              </c:strCache>
            </c:strRef>
          </c:tx>
          <c:spPr>
            <a:solidFill>
              <a:schemeClr val="accent2"/>
            </a:solidFill>
            <a:ln>
              <a:noFill/>
            </a:ln>
            <a:effectLst/>
          </c:spPr>
          <c:invertIfNegative val="0"/>
          <c:dLbls>
            <c:numFmt formatCode="&quot;$&quot;#,##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Sheet1!$A$14:$A$17</c:f>
              <c:strCache>
                <c:ptCount val="4"/>
                <c:pt idx="0">
                  <c:v>JobSeeker single (proposed base rate)</c:v>
                </c:pt>
                <c:pt idx="1">
                  <c:v>Minimum wage</c:v>
                </c:pt>
                <c:pt idx="2">
                  <c:v>Median wage</c:v>
                </c:pt>
                <c:pt idx="3">
                  <c:v>Average wage </c:v>
                </c:pt>
              </c:strCache>
            </c:strRef>
          </c:cat>
          <c:val>
            <c:numRef>
              <c:f>Sheet1!$B$14:$B$17</c:f>
              <c:numCache>
                <c:formatCode>General</c:formatCode>
                <c:ptCount val="4"/>
                <c:pt idx="0">
                  <c:v>472.0</c:v>
                </c:pt>
                <c:pt idx="1">
                  <c:v>740.0</c:v>
                </c:pt>
                <c:pt idx="2">
                  <c:v>1506.0</c:v>
                </c:pt>
                <c:pt idx="3">
                  <c:v>1685.0</c:v>
                </c:pt>
              </c:numCache>
            </c:numRef>
          </c:val>
          <c:extLst xmlns:c16r2="http://schemas.microsoft.com/office/drawing/2015/06/chart">
            <c:ext xmlns:c16="http://schemas.microsoft.com/office/drawing/2014/chart" uri="{C3380CC4-5D6E-409C-BE32-E72D297353CC}">
              <c16:uniqueId val="{00000000-A4BA-46F9-B0B4-F36198AB69E3}"/>
            </c:ext>
          </c:extLst>
        </c:ser>
        <c:dLbls>
          <c:showLegendKey val="0"/>
          <c:showVal val="0"/>
          <c:showCatName val="0"/>
          <c:showSerName val="0"/>
          <c:showPercent val="0"/>
          <c:showBubbleSize val="0"/>
        </c:dLbls>
        <c:gapWidth val="219"/>
        <c:overlap val="-27"/>
        <c:axId val="-733805968"/>
        <c:axId val="-837355760"/>
      </c:barChart>
      <c:catAx>
        <c:axId val="-73380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355760"/>
        <c:crosses val="autoZero"/>
        <c:auto val="1"/>
        <c:lblAlgn val="ctr"/>
        <c:lblOffset val="100"/>
        <c:noMultiLvlLbl val="0"/>
      </c:catAx>
      <c:valAx>
        <c:axId val="-837355760"/>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3805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4D2F3-4DEA-B444-BD93-BE62F889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3369</Words>
  <Characters>19208</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Lum</dc:creator>
  <cp:keywords/>
  <dc:description/>
  <cp:lastModifiedBy>Charmaine Crowe</cp:lastModifiedBy>
  <cp:revision>2</cp:revision>
  <cp:lastPrinted>2020-08-24T06:01:00Z</cp:lastPrinted>
  <dcterms:created xsi:type="dcterms:W3CDTF">2021-02-19T04:54:00Z</dcterms:created>
  <dcterms:modified xsi:type="dcterms:W3CDTF">2021-02-19T04:54:00Z</dcterms:modified>
</cp:coreProperties>
</file>