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936B7" w14:textId="77777777" w:rsidR="00A8111B" w:rsidRDefault="00A8111B">
      <w:pPr>
        <w:pStyle w:val="BodyText"/>
        <w:rPr>
          <w:rFonts w:ascii="Times New Roman"/>
          <w:sz w:val="20"/>
        </w:rPr>
      </w:pPr>
    </w:p>
    <w:p w14:paraId="5314E2BF" w14:textId="77777777" w:rsidR="00A8111B" w:rsidRDefault="00A8111B">
      <w:pPr>
        <w:pStyle w:val="BodyText"/>
        <w:spacing w:before="4"/>
        <w:rPr>
          <w:rFonts w:ascii="Times New Roman"/>
          <w:sz w:val="25"/>
        </w:rPr>
      </w:pPr>
    </w:p>
    <w:p w14:paraId="68A623D9" w14:textId="6AE3790B" w:rsidR="00A8111B" w:rsidRDefault="002A4BBA" w:rsidP="009F4A4D">
      <w:pPr>
        <w:pStyle w:val="Heading1"/>
        <w:rPr>
          <w:color w:val="133055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55B3D0E5" wp14:editId="6E61D09B">
            <wp:simplePos x="0" y="0"/>
            <wp:positionH relativeFrom="page">
              <wp:posOffset>7103343</wp:posOffset>
            </wp:positionH>
            <wp:positionV relativeFrom="paragraph">
              <wp:posOffset>-333210</wp:posOffset>
            </wp:positionV>
            <wp:extent cx="426251" cy="4537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51" cy="453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EDF">
        <w:rPr>
          <w:color w:val="133055"/>
        </w:rPr>
        <w:t>Supporting the Community Sector through the COVID19 Response and Recovery</w:t>
      </w:r>
      <w:r w:rsidR="002A5942">
        <w:rPr>
          <w:color w:val="133055"/>
        </w:rPr>
        <w:t xml:space="preserve"> </w:t>
      </w:r>
    </w:p>
    <w:p w14:paraId="239A562B" w14:textId="17F5C676" w:rsidR="00A8111B" w:rsidRDefault="003C1DB7">
      <w:pPr>
        <w:spacing w:before="203"/>
        <w:ind w:left="100"/>
        <w:rPr>
          <w:rFonts w:ascii="Palatino Linotype"/>
          <w:sz w:val="28"/>
        </w:rPr>
      </w:pPr>
      <w:r>
        <w:rPr>
          <w:rFonts w:ascii="Palatino Linotype"/>
          <w:color w:val="133055"/>
          <w:sz w:val="28"/>
        </w:rPr>
        <w:t>1</w:t>
      </w:r>
      <w:r w:rsidR="00A3408B">
        <w:rPr>
          <w:rFonts w:ascii="Palatino Linotype"/>
          <w:color w:val="133055"/>
          <w:sz w:val="28"/>
        </w:rPr>
        <w:t>6</w:t>
      </w:r>
      <w:r>
        <w:rPr>
          <w:rFonts w:ascii="Palatino Linotype"/>
          <w:color w:val="133055"/>
          <w:sz w:val="28"/>
        </w:rPr>
        <w:t xml:space="preserve"> July</w:t>
      </w:r>
      <w:r w:rsidR="002A4BBA">
        <w:rPr>
          <w:rFonts w:ascii="Palatino Linotype"/>
          <w:color w:val="133055"/>
          <w:spacing w:val="-3"/>
          <w:sz w:val="28"/>
        </w:rPr>
        <w:t xml:space="preserve"> </w:t>
      </w:r>
      <w:r w:rsidR="002A4BBA">
        <w:rPr>
          <w:rFonts w:ascii="Palatino Linotype"/>
          <w:color w:val="133055"/>
          <w:sz w:val="28"/>
        </w:rPr>
        <w:t>2020</w:t>
      </w:r>
    </w:p>
    <w:p w14:paraId="72E86D49" w14:textId="77777777" w:rsidR="00A8111B" w:rsidRDefault="00A8111B">
      <w:pPr>
        <w:pStyle w:val="BodyText"/>
        <w:rPr>
          <w:rFonts w:ascii="Palatino Linotype"/>
          <w:sz w:val="20"/>
        </w:rPr>
      </w:pPr>
    </w:p>
    <w:p w14:paraId="59B5762A" w14:textId="77777777" w:rsidR="00A8111B" w:rsidRDefault="002A4BBA">
      <w:pPr>
        <w:pStyle w:val="BodyText"/>
        <w:spacing w:before="6"/>
        <w:rPr>
          <w:rFonts w:ascii="Palatino Linotype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398CCE55" wp14:editId="69D46ED0">
            <wp:simplePos x="0" y="0"/>
            <wp:positionH relativeFrom="page">
              <wp:posOffset>914400</wp:posOffset>
            </wp:positionH>
            <wp:positionV relativeFrom="paragraph">
              <wp:posOffset>200201</wp:posOffset>
            </wp:positionV>
            <wp:extent cx="356834" cy="131064"/>
            <wp:effectExtent l="0" t="0" r="0" b="0"/>
            <wp:wrapTopAndBottom/>
            <wp:docPr id="3" name="image2.jpeg" descr="Simple Yellow Lin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03AD5" w14:textId="77777777" w:rsidR="00A8111B" w:rsidRDefault="002A4BBA">
      <w:pPr>
        <w:pStyle w:val="Heading2"/>
        <w:spacing w:before="1"/>
      </w:pPr>
      <w:r>
        <w:rPr>
          <w:color w:val="CE1F28"/>
        </w:rPr>
        <w:t>Summary</w:t>
      </w:r>
    </w:p>
    <w:p w14:paraId="0D4DC96F" w14:textId="77777777" w:rsidR="00A8111B" w:rsidRDefault="002A4BBA">
      <w:pPr>
        <w:pStyle w:val="BodyText"/>
        <w:spacing w:before="323" w:line="259" w:lineRule="auto"/>
        <w:ind w:left="100" w:right="1305"/>
      </w:pPr>
      <w:r>
        <w:t xml:space="preserve">Australia’s community sector is </w:t>
      </w:r>
      <w:r>
        <w:rPr>
          <w:b/>
        </w:rPr>
        <w:t>a vital part of society and the economy</w:t>
      </w:r>
      <w:r>
        <w:t xml:space="preserve">, working to alleviate poverty and disadvantage, reduce social and economic inequality, create opportunity and build a fairer country. The services, advocacy and support that our sector delivers </w:t>
      </w:r>
      <w:r>
        <w:rPr>
          <w:b/>
        </w:rPr>
        <w:t>make Australia a better place</w:t>
      </w:r>
      <w:r>
        <w:t>. The community and charities sector contributes $128 billion to the national economy and accounts for more than 840,000 full-time equivalent workers.</w:t>
      </w:r>
    </w:p>
    <w:p w14:paraId="2802C3F6" w14:textId="598071EF" w:rsidR="00A8111B" w:rsidRDefault="002A4BBA">
      <w:pPr>
        <w:pStyle w:val="BodyText"/>
        <w:spacing w:before="157" w:line="252" w:lineRule="auto"/>
        <w:ind w:left="100" w:right="1117"/>
      </w:pPr>
      <w:r>
        <w:t xml:space="preserve">ACOSS </w:t>
      </w:r>
      <w:r>
        <w:rPr>
          <w:b/>
        </w:rPr>
        <w:t>warmly welcome</w:t>
      </w:r>
      <w:r w:rsidR="0045402B">
        <w:rPr>
          <w:b/>
        </w:rPr>
        <w:t>d</w:t>
      </w:r>
      <w:r>
        <w:rPr>
          <w:b/>
        </w:rPr>
        <w:t xml:space="preserve"> changes made to the JobKeeper </w:t>
      </w:r>
      <w:r>
        <w:t xml:space="preserve">scheme to enable </w:t>
      </w:r>
      <w:r w:rsidR="00A1400E">
        <w:t xml:space="preserve">charities </w:t>
      </w:r>
      <w:r>
        <w:t>with a drop in turnover of greater than 15% to access JobKeeper payments, and to ensure that c</w:t>
      </w:r>
      <w:r w:rsidR="0045402B">
        <w:t>ommunity organisations</w:t>
      </w:r>
      <w:r w:rsidR="00A1400E">
        <w:t xml:space="preserve"> could</w:t>
      </w:r>
      <w:r>
        <w:t xml:space="preserve"> exclude government income from their turnover</w:t>
      </w:r>
      <w:r w:rsidR="00F2370C">
        <w:t xml:space="preserve"> where appropriate</w:t>
      </w:r>
      <w:r>
        <w:t xml:space="preserve">. </w:t>
      </w:r>
    </w:p>
    <w:p w14:paraId="0D248A77" w14:textId="0C42FB02" w:rsidR="0045402B" w:rsidRPr="0026684B" w:rsidRDefault="0045402B">
      <w:pPr>
        <w:pStyle w:val="BodyText"/>
        <w:spacing w:before="157" w:line="252" w:lineRule="auto"/>
        <w:ind w:left="100" w:right="1117"/>
      </w:pPr>
      <w:r w:rsidRPr="0026684B">
        <w:t>It is vital that community sector</w:t>
      </w:r>
      <w:r w:rsidR="00F2370C">
        <w:t xml:space="preserve"> employers currently receiving Jobkeeper</w:t>
      </w:r>
      <w:r w:rsidRPr="0026684B">
        <w:t xml:space="preserve"> </w:t>
      </w:r>
      <w:r w:rsidR="00996821" w:rsidRPr="0026684B">
        <w:t>(</w:t>
      </w:r>
      <w:r w:rsidRPr="0026684B">
        <w:t>and employers generally</w:t>
      </w:r>
      <w:r w:rsidR="00996821" w:rsidRPr="0026684B">
        <w:t>)</w:t>
      </w:r>
      <w:r w:rsidRPr="0026684B">
        <w:t xml:space="preserve"> have </w:t>
      </w:r>
      <w:r w:rsidRPr="0026684B">
        <w:rPr>
          <w:b/>
        </w:rPr>
        <w:t>certainty that JobKeeper payments will remain fully in place</w:t>
      </w:r>
      <w:r w:rsidRPr="0026684B">
        <w:t xml:space="preserve"> </w:t>
      </w:r>
      <w:r w:rsidRPr="0026684B">
        <w:rPr>
          <w:b/>
        </w:rPr>
        <w:t>until at least 27 September</w:t>
      </w:r>
      <w:r w:rsidRPr="0026684B">
        <w:t xml:space="preserve"> </w:t>
      </w:r>
      <w:r w:rsidRPr="00FB723C">
        <w:rPr>
          <w:b/>
        </w:rPr>
        <w:t>2020</w:t>
      </w:r>
      <w:r w:rsidR="00F2370C">
        <w:t>.</w:t>
      </w:r>
    </w:p>
    <w:p w14:paraId="4DE09F64" w14:textId="1A5F1D1F" w:rsidR="0045402B" w:rsidRPr="0026684B" w:rsidRDefault="0045402B" w:rsidP="00996821">
      <w:pPr>
        <w:pStyle w:val="BodyText"/>
        <w:spacing w:before="157" w:line="252" w:lineRule="auto"/>
        <w:ind w:left="100" w:right="1117"/>
      </w:pPr>
      <w:r w:rsidRPr="0026684B">
        <w:t xml:space="preserve">Beyond that, as outlined in our </w:t>
      </w:r>
      <w:r w:rsidR="00B3144C">
        <w:t xml:space="preserve">attached </w:t>
      </w:r>
      <w:r w:rsidRPr="0026684B">
        <w:rPr>
          <w:i/>
        </w:rPr>
        <w:t>JobKeeper Transitions</w:t>
      </w:r>
      <w:r w:rsidRPr="0026684B">
        <w:t xml:space="preserve"> briefing paper, JobKeeper Payment should be maintained for those</w:t>
      </w:r>
      <w:r w:rsidR="00F2370C">
        <w:t xml:space="preserve"> organisations</w:t>
      </w:r>
      <w:r w:rsidRPr="0026684B">
        <w:t xml:space="preserve"> who still need it, by phasing it down gradually (avoiding a ‘fiscal cliff’)</w:t>
      </w:r>
      <w:r w:rsidR="002C16DF" w:rsidRPr="0026684B">
        <w:t>,</w:t>
      </w:r>
      <w:r w:rsidRPr="0026684B">
        <w:t xml:space="preserve"> subject to progress in containing </w:t>
      </w:r>
      <w:r w:rsidR="00F2370C">
        <w:t>the spread of COVID 19</w:t>
      </w:r>
      <w:r w:rsidRPr="0026684B">
        <w:t xml:space="preserve"> and easing lockdowns:</w:t>
      </w:r>
    </w:p>
    <w:p w14:paraId="3D4FA6F4" w14:textId="77777777" w:rsidR="0045402B" w:rsidRPr="0026684B" w:rsidRDefault="0045402B" w:rsidP="00996821">
      <w:pPr>
        <w:pStyle w:val="BodyText"/>
        <w:numPr>
          <w:ilvl w:val="0"/>
          <w:numId w:val="5"/>
        </w:numPr>
        <w:spacing w:line="252" w:lineRule="auto"/>
        <w:ind w:right="1117"/>
      </w:pPr>
      <w:r w:rsidRPr="0026684B">
        <w:t xml:space="preserve">both on the basis of </w:t>
      </w:r>
      <w:r w:rsidRPr="0076411E">
        <w:rPr>
          <w:i/>
        </w:rPr>
        <w:t>need</w:t>
      </w:r>
      <w:r w:rsidRPr="0026684B">
        <w:t xml:space="preserve">, by testing the ongoing impact of COVID19 and lockdowns on the income of employers receiving JobKeeper, and </w:t>
      </w:r>
    </w:p>
    <w:p w14:paraId="33C4C07F" w14:textId="77777777" w:rsidR="0045402B" w:rsidRPr="0026684B" w:rsidRDefault="0045402B" w:rsidP="00996821">
      <w:pPr>
        <w:pStyle w:val="BodyText"/>
        <w:numPr>
          <w:ilvl w:val="0"/>
          <w:numId w:val="5"/>
        </w:numPr>
        <w:spacing w:before="157" w:after="240" w:line="252" w:lineRule="auto"/>
        <w:ind w:right="1117"/>
      </w:pPr>
      <w:r w:rsidRPr="0026684B">
        <w:t xml:space="preserve">the </w:t>
      </w:r>
      <w:r w:rsidRPr="0026684B">
        <w:rPr>
          <w:i/>
        </w:rPr>
        <w:t xml:space="preserve">level of payment, </w:t>
      </w:r>
      <w:r w:rsidRPr="0026684B">
        <w:t xml:space="preserve">by gradually reducing payment rates from </w:t>
      </w:r>
      <w:r w:rsidR="00A96986" w:rsidRPr="0026684B">
        <w:t xml:space="preserve">the current </w:t>
      </w:r>
      <w:r w:rsidRPr="0026684B">
        <w:t>$1,500 p.f. rather than fully r</w:t>
      </w:r>
      <w:r w:rsidR="00A96986" w:rsidRPr="0026684B">
        <w:t>emoving the subsidy all at once.</w:t>
      </w:r>
    </w:p>
    <w:p w14:paraId="1E19AA85" w14:textId="77777777" w:rsidR="00A8111B" w:rsidRPr="0026684B" w:rsidRDefault="00A8111B">
      <w:pPr>
        <w:pStyle w:val="BodyText"/>
        <w:spacing w:before="11"/>
        <w:rPr>
          <w:sz w:val="23"/>
        </w:rPr>
      </w:pPr>
    </w:p>
    <w:p w14:paraId="59AF76BF" w14:textId="33C2F6CF" w:rsidR="00A8111B" w:rsidRPr="002C16DF" w:rsidRDefault="002C16DF">
      <w:pPr>
        <w:pStyle w:val="BodyText"/>
        <w:spacing w:line="259" w:lineRule="auto"/>
        <w:ind w:left="100" w:right="2517"/>
      </w:pPr>
      <w:r w:rsidRPr="0026684B">
        <w:t xml:space="preserve">Together with a cautious approach to the phase-down of </w:t>
      </w:r>
      <w:r w:rsidR="00F2370C">
        <w:t xml:space="preserve">the </w:t>
      </w:r>
      <w:r w:rsidRPr="0026684B">
        <w:t xml:space="preserve">JobKeeper Payment, the government should protect against job losses in the community sector and respond to increased demand for services arising </w:t>
      </w:r>
      <w:r w:rsidRPr="0026684B">
        <w:lastRenderedPageBreak/>
        <w:t>from COVID19 by urgently</w:t>
      </w:r>
      <w:r w:rsidR="002A4BBA" w:rsidRPr="0026684B">
        <w:t>:</w:t>
      </w:r>
    </w:p>
    <w:p w14:paraId="3B6B73B3" w14:textId="53836EA9" w:rsidR="00A8111B" w:rsidRPr="002C16DF" w:rsidRDefault="002A4BBA" w:rsidP="00A96986">
      <w:pPr>
        <w:pStyle w:val="BodyText"/>
        <w:numPr>
          <w:ilvl w:val="0"/>
          <w:numId w:val="5"/>
        </w:numPr>
        <w:spacing w:before="157" w:line="252" w:lineRule="auto"/>
        <w:ind w:right="1117"/>
      </w:pPr>
      <w:r>
        <w:t>Creat</w:t>
      </w:r>
      <w:r w:rsidR="002C16DF">
        <w:t>ing</w:t>
      </w:r>
      <w:r>
        <w:t xml:space="preserve"> a </w:t>
      </w:r>
      <w:r w:rsidRPr="002C16DF">
        <w:rPr>
          <w:b/>
        </w:rPr>
        <w:t xml:space="preserve">Community Sector </w:t>
      </w:r>
      <w:r w:rsidR="00F2370C">
        <w:rPr>
          <w:b/>
        </w:rPr>
        <w:t>C</w:t>
      </w:r>
      <w:r w:rsidRPr="002C16DF">
        <w:rPr>
          <w:b/>
        </w:rPr>
        <w:t xml:space="preserve">ontinuity of </w:t>
      </w:r>
      <w:r w:rsidR="00F2370C">
        <w:rPr>
          <w:b/>
        </w:rPr>
        <w:t>S</w:t>
      </w:r>
      <w:r w:rsidRPr="002C16DF">
        <w:rPr>
          <w:b/>
        </w:rPr>
        <w:t xml:space="preserve">ervice </w:t>
      </w:r>
      <w:r w:rsidR="00F2370C">
        <w:rPr>
          <w:b/>
        </w:rPr>
        <w:t>E</w:t>
      </w:r>
      <w:r w:rsidRPr="002C16DF">
        <w:rPr>
          <w:b/>
        </w:rPr>
        <w:t>nabling Fund</w:t>
      </w:r>
    </w:p>
    <w:p w14:paraId="24426C9A" w14:textId="77777777" w:rsidR="00A8111B" w:rsidRDefault="002A4BBA" w:rsidP="00A96986">
      <w:pPr>
        <w:pStyle w:val="BodyText"/>
        <w:numPr>
          <w:ilvl w:val="0"/>
          <w:numId w:val="5"/>
        </w:numPr>
        <w:spacing w:before="157" w:line="252" w:lineRule="auto"/>
        <w:ind w:right="1117"/>
      </w:pPr>
      <w:r w:rsidRPr="00A96986">
        <w:t>Restor</w:t>
      </w:r>
      <w:r w:rsidR="002C16DF">
        <w:t>ing</w:t>
      </w:r>
      <w:r w:rsidRPr="00A96986">
        <w:t xml:space="preserve"> funding for the </w:t>
      </w:r>
      <w:r w:rsidRPr="00A96986">
        <w:rPr>
          <w:b/>
        </w:rPr>
        <w:t>Equal Remuneration Order</w:t>
      </w:r>
      <w:r w:rsidRPr="00A96986">
        <w:t xml:space="preserve"> </w:t>
      </w:r>
      <w:r>
        <w:t>implementation.</w:t>
      </w:r>
    </w:p>
    <w:p w14:paraId="234D09DE" w14:textId="32BD8A83" w:rsidR="00A8111B" w:rsidRDefault="002A4BBA" w:rsidP="00A96986">
      <w:pPr>
        <w:pStyle w:val="BodyText"/>
        <w:numPr>
          <w:ilvl w:val="0"/>
          <w:numId w:val="5"/>
        </w:numPr>
        <w:spacing w:before="157" w:line="252" w:lineRule="auto"/>
        <w:ind w:right="1117"/>
      </w:pPr>
      <w:r>
        <w:t>Authoris</w:t>
      </w:r>
      <w:r w:rsidR="002C16DF">
        <w:t>ing</w:t>
      </w:r>
      <w:r>
        <w:t xml:space="preserve"> government funded human services to </w:t>
      </w:r>
      <w:r w:rsidR="00F2370C">
        <w:t xml:space="preserve">continue to </w:t>
      </w:r>
      <w:r>
        <w:t xml:space="preserve">have </w:t>
      </w:r>
      <w:r w:rsidRPr="00A96986">
        <w:rPr>
          <w:b/>
        </w:rPr>
        <w:t>maximum flexibility in use of funds</w:t>
      </w:r>
      <w:r w:rsidRPr="00A96986">
        <w:t xml:space="preserve"> </w:t>
      </w:r>
      <w:r>
        <w:t>to respond and adapt, avoid job losses and service</w:t>
      </w:r>
      <w:r w:rsidRPr="00A96986">
        <w:t xml:space="preserve"> </w:t>
      </w:r>
      <w:r>
        <w:t>cuts</w:t>
      </w:r>
    </w:p>
    <w:p w14:paraId="5D804CC8" w14:textId="77777777" w:rsidR="00A8111B" w:rsidRDefault="00A8111B">
      <w:pPr>
        <w:pStyle w:val="BodyText"/>
        <w:rPr>
          <w:sz w:val="20"/>
        </w:rPr>
      </w:pPr>
    </w:p>
    <w:p w14:paraId="1E0E8B45" w14:textId="77777777" w:rsidR="00A96986" w:rsidRDefault="00A96986">
      <w:pPr>
        <w:pStyle w:val="BodyText"/>
        <w:rPr>
          <w:sz w:val="20"/>
        </w:rPr>
      </w:pPr>
    </w:p>
    <w:p w14:paraId="2F019E26" w14:textId="77777777" w:rsidR="00A8111B" w:rsidRDefault="002A4BBA">
      <w:pPr>
        <w:spacing w:line="430" w:lineRule="exact"/>
        <w:ind w:left="100"/>
        <w:rPr>
          <w:rFonts w:ascii="Palatino Linotype"/>
          <w:sz w:val="32"/>
        </w:rPr>
      </w:pPr>
      <w:r>
        <w:rPr>
          <w:rFonts w:ascii="Palatino Linotype"/>
          <w:color w:val="CE1F28"/>
          <w:sz w:val="32"/>
        </w:rPr>
        <w:t>Briefing</w:t>
      </w:r>
    </w:p>
    <w:p w14:paraId="2BEDE9F2" w14:textId="74391E49" w:rsidR="00A8111B" w:rsidRDefault="002A4BBA">
      <w:pPr>
        <w:pStyle w:val="BodyText"/>
        <w:spacing w:before="160" w:line="259" w:lineRule="auto"/>
        <w:ind w:left="100" w:right="1826"/>
      </w:pPr>
      <w:r>
        <w:t xml:space="preserve">Community services </w:t>
      </w:r>
      <w:r w:rsidR="00F2370C">
        <w:t xml:space="preserve">have been </w:t>
      </w:r>
      <w:r>
        <w:t>at the frontline of the COVID crisis and demands for support continue to grow in the face of the devastation of a doubling of unemployment and the severe economic and social shocks that have occurred across the Australian community.</w:t>
      </w:r>
    </w:p>
    <w:p w14:paraId="6134AB13" w14:textId="77777777" w:rsidR="00A8111B" w:rsidRDefault="00A8111B">
      <w:pPr>
        <w:pStyle w:val="BodyText"/>
        <w:spacing w:before="8"/>
        <w:rPr>
          <w:sz w:val="23"/>
        </w:rPr>
      </w:pPr>
    </w:p>
    <w:p w14:paraId="3C93E0A7" w14:textId="3F991E64" w:rsidR="00A8111B" w:rsidRDefault="002A4BBA">
      <w:pPr>
        <w:pStyle w:val="BodyText"/>
        <w:spacing w:line="259" w:lineRule="auto"/>
        <w:ind w:left="100" w:right="1172"/>
      </w:pPr>
      <w:r>
        <w:t xml:space="preserve">We are urging Government to do everything </w:t>
      </w:r>
      <w:r w:rsidR="00F2370C">
        <w:t xml:space="preserve">it </w:t>
      </w:r>
      <w:r>
        <w:t xml:space="preserve">can to support and sustain the community services sector at a time when the need to care for our community is </w:t>
      </w:r>
      <w:r w:rsidR="00F2370C">
        <w:t>greater than ever</w:t>
      </w:r>
      <w:r>
        <w:t>.</w:t>
      </w:r>
    </w:p>
    <w:p w14:paraId="101E3DF6" w14:textId="77777777" w:rsidR="00A8111B" w:rsidRPr="0045402B" w:rsidRDefault="00A8111B" w:rsidP="0045402B">
      <w:pPr>
        <w:pStyle w:val="BodyText"/>
        <w:spacing w:before="8"/>
        <w:rPr>
          <w:sz w:val="23"/>
        </w:rPr>
      </w:pPr>
    </w:p>
    <w:p w14:paraId="733BD14B" w14:textId="188747B0" w:rsidR="00A8111B" w:rsidRDefault="002A4BBA">
      <w:pPr>
        <w:pStyle w:val="BodyText"/>
        <w:spacing w:line="259" w:lineRule="auto"/>
        <w:ind w:left="100" w:right="1203"/>
      </w:pPr>
      <w:r w:rsidRPr="0076411E">
        <w:t xml:space="preserve">Many organisations are seeing increases in demand for their services, and are working hard to meet that demand in a resource constrained environment. At the same time many organisations are facing a direct threat to their viability as a result of </w:t>
      </w:r>
      <w:r w:rsidR="00F2370C" w:rsidRPr="0076411E">
        <w:t>existing</w:t>
      </w:r>
      <w:r w:rsidR="0076411E" w:rsidRPr="0076411E">
        <w:t xml:space="preserve"> individualised, demand driven</w:t>
      </w:r>
      <w:r w:rsidR="00F2370C" w:rsidRPr="0076411E">
        <w:t xml:space="preserve"> </w:t>
      </w:r>
      <w:r w:rsidRPr="0076411E">
        <w:t>funding models and the current restrictions on their work</w:t>
      </w:r>
      <w:r w:rsidR="0076411E" w:rsidRPr="0076411E">
        <w:t>,</w:t>
      </w:r>
      <w:r w:rsidR="00F2370C" w:rsidRPr="0076411E">
        <w:t xml:space="preserve"> </w:t>
      </w:r>
      <w:r w:rsidR="0076411E" w:rsidRPr="0076411E">
        <w:t>particularly in jurisdictions where there are health and movement restrictions in place that make face to face service delivery difficult or impossible</w:t>
      </w:r>
      <w:r w:rsidRPr="0076411E">
        <w:t>.</w:t>
      </w:r>
    </w:p>
    <w:p w14:paraId="1C2D6753" w14:textId="77777777" w:rsidR="00A8111B" w:rsidRDefault="002A4BBA">
      <w:pPr>
        <w:pStyle w:val="BodyText"/>
        <w:spacing w:before="159" w:line="256" w:lineRule="auto"/>
        <w:ind w:left="100" w:right="1573"/>
      </w:pPr>
      <w:r>
        <w:t>All organisations are adapting, delivering services in new and different ways and surging their capacity to meet demand.</w:t>
      </w:r>
    </w:p>
    <w:p w14:paraId="14E18C29" w14:textId="708C63B9" w:rsidR="00A8111B" w:rsidRDefault="00F2370C">
      <w:pPr>
        <w:pStyle w:val="BodyText"/>
        <w:spacing w:before="165" w:line="256" w:lineRule="auto"/>
        <w:ind w:left="100" w:right="1185"/>
      </w:pPr>
      <w:r>
        <w:t>The</w:t>
      </w:r>
      <w:r w:rsidR="002A4BBA">
        <w:t xml:space="preserve"> following measures </w:t>
      </w:r>
      <w:r>
        <w:t>should form part of a Community Services Support Package</w:t>
      </w:r>
      <w:r w:rsidR="002A4BBA">
        <w:t>, to build on the support provided by the JobKeeper scheme.</w:t>
      </w:r>
    </w:p>
    <w:p w14:paraId="2BCAAC6E" w14:textId="77777777" w:rsidR="00A8111B" w:rsidRDefault="00A8111B">
      <w:pPr>
        <w:pStyle w:val="BodyText"/>
        <w:spacing w:before="5"/>
        <w:rPr>
          <w:sz w:val="20"/>
        </w:rPr>
      </w:pPr>
    </w:p>
    <w:p w14:paraId="1945BFE5" w14:textId="77777777" w:rsidR="00996821" w:rsidRDefault="00996821">
      <w:pPr>
        <w:pStyle w:val="BodyText"/>
        <w:spacing w:before="5"/>
        <w:rPr>
          <w:sz w:val="20"/>
        </w:rPr>
      </w:pPr>
    </w:p>
    <w:p w14:paraId="23DF760E" w14:textId="77777777" w:rsidR="00A8111B" w:rsidRDefault="00A96986">
      <w:pPr>
        <w:pStyle w:val="Heading2"/>
      </w:pPr>
      <w:r>
        <w:rPr>
          <w:noProof/>
          <w:lang w:bidi="ar-SA"/>
        </w:rPr>
        <w:drawing>
          <wp:anchor distT="0" distB="0" distL="0" distR="0" simplePos="0" relativeHeight="251659776" behindDoc="0" locked="0" layoutInCell="1" allowOverlap="1" wp14:anchorId="15AC1CE6" wp14:editId="06DD5649">
            <wp:simplePos x="0" y="0"/>
            <wp:positionH relativeFrom="page">
              <wp:posOffset>6840220</wp:posOffset>
            </wp:positionH>
            <wp:positionV relativeFrom="paragraph">
              <wp:posOffset>-635</wp:posOffset>
            </wp:positionV>
            <wp:extent cx="426251" cy="4537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51" cy="453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00E">
        <w:rPr>
          <w:color w:val="CE1F28"/>
        </w:rPr>
        <w:t>Recommendations</w:t>
      </w:r>
      <w:r w:rsidRPr="00A96986">
        <w:rPr>
          <w:noProof/>
          <w:lang w:bidi="ar-SA"/>
        </w:rPr>
        <w:t xml:space="preserve"> </w:t>
      </w:r>
    </w:p>
    <w:p w14:paraId="4EC0C3F6" w14:textId="77777777" w:rsidR="00A8111B" w:rsidRDefault="00A8111B">
      <w:pPr>
        <w:pStyle w:val="BodyText"/>
        <w:spacing w:before="5"/>
        <w:rPr>
          <w:rFonts w:ascii="Palatino Linotype"/>
          <w:sz w:val="26"/>
        </w:rPr>
      </w:pPr>
    </w:p>
    <w:p w14:paraId="542A9C24" w14:textId="54DAAEE9" w:rsidR="002C16DF" w:rsidRPr="0026684B" w:rsidRDefault="002C16DF" w:rsidP="00EB1577">
      <w:pPr>
        <w:pStyle w:val="Heading3"/>
        <w:numPr>
          <w:ilvl w:val="0"/>
          <w:numId w:val="6"/>
        </w:numPr>
        <w:tabs>
          <w:tab w:val="left" w:pos="821"/>
        </w:tabs>
        <w:spacing w:before="21"/>
        <w:rPr>
          <w:b w:val="0"/>
        </w:rPr>
      </w:pPr>
      <w:r w:rsidRPr="0026684B">
        <w:rPr>
          <w:b w:val="0"/>
        </w:rPr>
        <w:t>As proposed in our JobKeeper Transitions brief, keep JobKeeper payments fully in place until at least 27 September 2020, and beyond that</w:t>
      </w:r>
      <w:r w:rsidR="00EB1577" w:rsidRPr="0026684B">
        <w:rPr>
          <w:b w:val="0"/>
        </w:rPr>
        <w:t>, p</w:t>
      </w:r>
      <w:r w:rsidRPr="0026684B">
        <w:rPr>
          <w:b w:val="0"/>
        </w:rPr>
        <w:t xml:space="preserve">hase it down gradually (avoiding a ‘fiscal cliff’), subject to progress in containing the </w:t>
      </w:r>
      <w:r w:rsidR="00F2370C">
        <w:rPr>
          <w:b w:val="0"/>
        </w:rPr>
        <w:t>spread of COVD19</w:t>
      </w:r>
      <w:r w:rsidR="00F2370C" w:rsidRPr="0026684B">
        <w:rPr>
          <w:b w:val="0"/>
        </w:rPr>
        <w:t xml:space="preserve"> </w:t>
      </w:r>
      <w:r w:rsidRPr="0026684B">
        <w:rPr>
          <w:b w:val="0"/>
        </w:rPr>
        <w:t>and easing lockdowns</w:t>
      </w:r>
      <w:r w:rsidR="00F2370C">
        <w:rPr>
          <w:b w:val="0"/>
        </w:rPr>
        <w:t>, both on</w:t>
      </w:r>
      <w:r w:rsidRPr="0026684B">
        <w:rPr>
          <w:b w:val="0"/>
        </w:rPr>
        <w:t>:</w:t>
      </w:r>
    </w:p>
    <w:p w14:paraId="01B500E0" w14:textId="6475007A" w:rsidR="002C16DF" w:rsidRPr="0026684B" w:rsidRDefault="002C16DF" w:rsidP="00EB1577">
      <w:pPr>
        <w:pStyle w:val="Heading3"/>
        <w:numPr>
          <w:ilvl w:val="0"/>
          <w:numId w:val="9"/>
        </w:numPr>
        <w:tabs>
          <w:tab w:val="left" w:pos="821"/>
        </w:tabs>
        <w:spacing w:before="21"/>
        <w:rPr>
          <w:b w:val="0"/>
        </w:rPr>
      </w:pPr>
      <w:r w:rsidRPr="0026684B">
        <w:rPr>
          <w:b w:val="0"/>
        </w:rPr>
        <w:t xml:space="preserve">the basis of </w:t>
      </w:r>
      <w:r w:rsidRPr="0076411E">
        <w:rPr>
          <w:b w:val="0"/>
          <w:i/>
        </w:rPr>
        <w:t>need</w:t>
      </w:r>
      <w:r w:rsidRPr="0026684B">
        <w:rPr>
          <w:b w:val="0"/>
        </w:rPr>
        <w:t xml:space="preserve">, by testing the ongoing impact of COVID19 and lockdowns on the income of employers receiving JobKeeper, and </w:t>
      </w:r>
    </w:p>
    <w:p w14:paraId="17EF4527" w14:textId="77777777" w:rsidR="002C16DF" w:rsidRPr="0026684B" w:rsidRDefault="002C16DF" w:rsidP="00EB1577">
      <w:pPr>
        <w:pStyle w:val="Heading3"/>
        <w:numPr>
          <w:ilvl w:val="0"/>
          <w:numId w:val="9"/>
        </w:numPr>
        <w:tabs>
          <w:tab w:val="left" w:pos="821"/>
        </w:tabs>
        <w:spacing w:before="21"/>
        <w:rPr>
          <w:b w:val="0"/>
        </w:rPr>
      </w:pPr>
      <w:r w:rsidRPr="0026684B">
        <w:rPr>
          <w:b w:val="0"/>
        </w:rPr>
        <w:t xml:space="preserve">the </w:t>
      </w:r>
      <w:r w:rsidRPr="0076411E">
        <w:rPr>
          <w:b w:val="0"/>
          <w:i/>
        </w:rPr>
        <w:t>level of payment</w:t>
      </w:r>
      <w:r w:rsidRPr="0026684B">
        <w:rPr>
          <w:b w:val="0"/>
        </w:rPr>
        <w:t>, by gradually reducing payment rates from the current $1,500 p.f. rather than fully removing the subsidy all at once.</w:t>
      </w:r>
    </w:p>
    <w:p w14:paraId="513CB05A" w14:textId="77777777" w:rsidR="00EB1577" w:rsidRPr="00EB1577" w:rsidRDefault="00EB1577" w:rsidP="00EB1577">
      <w:pPr>
        <w:pStyle w:val="Heading3"/>
        <w:tabs>
          <w:tab w:val="left" w:pos="821"/>
        </w:tabs>
        <w:spacing w:before="21"/>
        <w:ind w:left="862" w:firstLine="0"/>
        <w:rPr>
          <w:b w:val="0"/>
        </w:rPr>
      </w:pPr>
    </w:p>
    <w:p w14:paraId="78B804B2" w14:textId="101E3C36" w:rsidR="00A8111B" w:rsidRPr="004779BA" w:rsidRDefault="002A4BBA" w:rsidP="0026684B">
      <w:pPr>
        <w:pStyle w:val="Heading3"/>
        <w:numPr>
          <w:ilvl w:val="0"/>
          <w:numId w:val="6"/>
        </w:numPr>
        <w:tabs>
          <w:tab w:val="left" w:pos="821"/>
        </w:tabs>
        <w:spacing w:before="21"/>
        <w:ind w:left="459" w:hanging="317"/>
        <w:rPr>
          <w:b w:val="0"/>
        </w:rPr>
      </w:pPr>
      <w:r w:rsidRPr="004779BA">
        <w:rPr>
          <w:b w:val="0"/>
        </w:rPr>
        <w:t xml:space="preserve">Create a </w:t>
      </w:r>
      <w:r w:rsidRPr="0076411E">
        <w:t xml:space="preserve">Community Sector </w:t>
      </w:r>
      <w:r w:rsidR="00F2370C" w:rsidRPr="0076411E">
        <w:t>C</w:t>
      </w:r>
      <w:r w:rsidRPr="0076411E">
        <w:t xml:space="preserve">ontinuity of </w:t>
      </w:r>
      <w:r w:rsidR="00F2370C" w:rsidRPr="0076411E">
        <w:t>S</w:t>
      </w:r>
      <w:r w:rsidRPr="0076411E">
        <w:t xml:space="preserve">ervice </w:t>
      </w:r>
      <w:r w:rsidR="00F2370C" w:rsidRPr="0076411E">
        <w:t>E</w:t>
      </w:r>
      <w:r w:rsidRPr="0076411E">
        <w:t>nabling Fund</w:t>
      </w:r>
      <w:r w:rsidRPr="004779BA">
        <w:rPr>
          <w:b w:val="0"/>
        </w:rPr>
        <w:t xml:space="preserve"> to ensure continuity of service delivery, adaptation, secure jobs, prevent loss of jobs or income, and guarantee paid special leave for all workers. </w:t>
      </w:r>
      <w:r w:rsidR="00A1400E" w:rsidRPr="004779BA">
        <w:rPr>
          <w:b w:val="0"/>
        </w:rPr>
        <w:t>This Fund should be in place before any reduction</w:t>
      </w:r>
      <w:r w:rsidR="00F2370C">
        <w:rPr>
          <w:b w:val="0"/>
        </w:rPr>
        <w:t xml:space="preserve"> or withdrawal</w:t>
      </w:r>
      <w:r w:rsidR="00A1400E" w:rsidRPr="004779BA">
        <w:rPr>
          <w:b w:val="0"/>
        </w:rPr>
        <w:t xml:space="preserve"> of JobKeeper. </w:t>
      </w:r>
      <w:r w:rsidR="00E63114">
        <w:rPr>
          <w:b w:val="0"/>
        </w:rPr>
        <w:t>The Fund would be open to applications from</w:t>
      </w:r>
      <w:r w:rsidR="00A1400E" w:rsidRPr="004779BA">
        <w:rPr>
          <w:b w:val="0"/>
        </w:rPr>
        <w:t xml:space="preserve"> community organisations to secure additional ongoing government funding to ensure financial sustainability, continuity of service, protection of job losses, and any increased service demands. It </w:t>
      </w:r>
      <w:r w:rsidRPr="004779BA">
        <w:rPr>
          <w:b w:val="0"/>
        </w:rPr>
        <w:t xml:space="preserve">would also allow ramping up of services for people in need as well ensure that services remain viable to assist with the recovery from the pandemic. </w:t>
      </w:r>
      <w:r w:rsidR="00A96986" w:rsidRPr="004779BA">
        <w:rPr>
          <w:b w:val="0"/>
        </w:rPr>
        <w:br/>
      </w:r>
    </w:p>
    <w:p w14:paraId="4699286F" w14:textId="72F89AFD" w:rsidR="00A8111B" w:rsidRDefault="002A4BBA" w:rsidP="00EB1577">
      <w:pPr>
        <w:pStyle w:val="Heading3"/>
        <w:numPr>
          <w:ilvl w:val="0"/>
          <w:numId w:val="6"/>
        </w:numPr>
        <w:tabs>
          <w:tab w:val="left" w:pos="821"/>
        </w:tabs>
        <w:spacing w:before="21"/>
      </w:pPr>
      <w:r>
        <w:rPr>
          <w:b w:val="0"/>
        </w:rPr>
        <w:t xml:space="preserve">Commit to </w:t>
      </w:r>
      <w:r>
        <w:t>restore funding for Equal Remuneration</w:t>
      </w:r>
      <w:r w:rsidRPr="00A96986">
        <w:rPr>
          <w:spacing w:val="-14"/>
        </w:rPr>
        <w:t xml:space="preserve"> </w:t>
      </w:r>
      <w:r>
        <w:t>Order</w:t>
      </w:r>
      <w:r w:rsidR="00A96986">
        <w:t xml:space="preserve"> </w:t>
      </w:r>
      <w:r w:rsidRPr="00A96986">
        <w:rPr>
          <w:b w:val="0"/>
        </w:rPr>
        <w:t>implementation</w:t>
      </w:r>
      <w:r>
        <w:t>.</w:t>
      </w:r>
      <w:r w:rsidR="00E63114">
        <w:t xml:space="preserve"> </w:t>
      </w:r>
      <w:r w:rsidR="00E63114" w:rsidRPr="00B3144C">
        <w:rPr>
          <w:b w:val="0"/>
        </w:rPr>
        <w:t xml:space="preserve">(For more detail, see </w:t>
      </w:r>
      <w:hyperlink r:id="rId10" w:history="1">
        <w:r w:rsidR="0076411E" w:rsidRPr="00B3144C">
          <w:rPr>
            <w:rStyle w:val="Hyperlink"/>
            <w:b w:val="0"/>
          </w:rPr>
          <w:t>Future Cuts to ERO Supplementation – An ACOSS Briefing Note</w:t>
        </w:r>
      </w:hyperlink>
      <w:r w:rsidR="00E63114" w:rsidRPr="00B3144C">
        <w:rPr>
          <w:b w:val="0"/>
        </w:rPr>
        <w:t>)</w:t>
      </w:r>
    </w:p>
    <w:p w14:paraId="7CB10941" w14:textId="77777777" w:rsidR="00A8111B" w:rsidRDefault="00A8111B">
      <w:pPr>
        <w:pStyle w:val="BodyText"/>
        <w:spacing w:before="7"/>
        <w:rPr>
          <w:sz w:val="25"/>
        </w:rPr>
      </w:pPr>
    </w:p>
    <w:p w14:paraId="0C9A0DEF" w14:textId="77777777" w:rsidR="00A8111B" w:rsidRDefault="002A4BBA" w:rsidP="00EB1577">
      <w:pPr>
        <w:pStyle w:val="ListParagraph"/>
        <w:numPr>
          <w:ilvl w:val="0"/>
          <w:numId w:val="6"/>
        </w:numPr>
        <w:tabs>
          <w:tab w:val="left" w:pos="821"/>
        </w:tabs>
        <w:ind w:right="1242"/>
      </w:pPr>
      <w:bookmarkStart w:id="0" w:name="_GoBack"/>
      <w:bookmarkEnd w:id="0"/>
      <w:r>
        <w:t xml:space="preserve">Authorise government funded human services to have </w:t>
      </w:r>
      <w:r>
        <w:rPr>
          <w:b/>
        </w:rPr>
        <w:t xml:space="preserve">maximum flexibility in use of funds </w:t>
      </w:r>
      <w:r>
        <w:t>to respond and adapt, avoid job losses and service cuts - this requires the Federal Government</w:t>
      </w:r>
      <w:r>
        <w:rPr>
          <w:spacing w:val="-7"/>
        </w:rPr>
        <w:t xml:space="preserve"> </w:t>
      </w:r>
      <w:r>
        <w:t>to:</w:t>
      </w:r>
    </w:p>
    <w:p w14:paraId="0D154997" w14:textId="1BFBDD9D" w:rsidR="00A8111B" w:rsidRDefault="003C1DB7" w:rsidP="00A96986">
      <w:pPr>
        <w:pStyle w:val="ListParagraph"/>
        <w:numPr>
          <w:ilvl w:val="1"/>
          <w:numId w:val="1"/>
        </w:numPr>
        <w:tabs>
          <w:tab w:val="left" w:pos="1181"/>
        </w:tabs>
        <w:spacing w:before="167"/>
        <w:ind w:right="1512"/>
      </w:pPr>
      <w:r>
        <w:rPr>
          <w:b/>
        </w:rPr>
        <w:t>Extend contracts that expire on 30 June 2021 for a further year</w:t>
      </w:r>
      <w:r w:rsidR="002A4BBA">
        <w:rPr>
          <w:b/>
        </w:rPr>
        <w:t xml:space="preserve"> </w:t>
      </w:r>
      <w:r w:rsidR="00890C64">
        <w:rPr>
          <w:b/>
        </w:rPr>
        <w:t xml:space="preserve">where there are reform processes underway </w:t>
      </w:r>
      <w:r w:rsidR="002A4BBA">
        <w:t>to provide stability and risk reduction for existing services and avoid job</w:t>
      </w:r>
      <w:r w:rsidR="002A4BBA">
        <w:rPr>
          <w:spacing w:val="-6"/>
        </w:rPr>
        <w:t xml:space="preserve"> </w:t>
      </w:r>
      <w:r w:rsidR="002A4BBA">
        <w:t>losses.</w:t>
      </w:r>
    </w:p>
    <w:p w14:paraId="6ED5F75B" w14:textId="60888511" w:rsidR="00A8111B" w:rsidRDefault="002A4BBA" w:rsidP="00A96986">
      <w:pPr>
        <w:pStyle w:val="ListParagraph"/>
        <w:numPr>
          <w:ilvl w:val="1"/>
          <w:numId w:val="1"/>
        </w:numPr>
        <w:tabs>
          <w:tab w:val="left" w:pos="1181"/>
        </w:tabs>
        <w:spacing w:before="165"/>
        <w:ind w:right="1310"/>
      </w:pPr>
      <w:r>
        <w:rPr>
          <w:b/>
        </w:rPr>
        <w:t xml:space="preserve">Authorise </w:t>
      </w:r>
      <w:r w:rsidR="003C1DB7">
        <w:rPr>
          <w:b/>
        </w:rPr>
        <w:t xml:space="preserve">affected </w:t>
      </w:r>
      <w:r>
        <w:rPr>
          <w:b/>
        </w:rPr>
        <w:t>organisations</w:t>
      </w:r>
      <w:r w:rsidR="003C1DB7">
        <w:rPr>
          <w:b/>
        </w:rPr>
        <w:t xml:space="preserve"> (particularly those in jurisdictions where there are </w:t>
      </w:r>
      <w:r w:rsidR="00E63114">
        <w:rPr>
          <w:b/>
        </w:rPr>
        <w:t xml:space="preserve">ongoing </w:t>
      </w:r>
      <w:r w:rsidR="003C1DB7">
        <w:rPr>
          <w:b/>
        </w:rPr>
        <w:t>health restrictions in place)</w:t>
      </w:r>
      <w:r>
        <w:rPr>
          <w:b/>
        </w:rPr>
        <w:t xml:space="preserve"> to use government funds as they see fit </w:t>
      </w:r>
      <w:r>
        <w:t>across all their program and cost centre areas, for at least three months, with reporting backwards to account for</w:t>
      </w:r>
      <w:r>
        <w:rPr>
          <w:spacing w:val="-12"/>
        </w:rPr>
        <w:t xml:space="preserve"> </w:t>
      </w:r>
      <w:r>
        <w:t>use.</w:t>
      </w:r>
    </w:p>
    <w:p w14:paraId="217F4E14" w14:textId="465EBEAA" w:rsidR="00A8111B" w:rsidRDefault="00E63114" w:rsidP="00A96986">
      <w:pPr>
        <w:pStyle w:val="ListParagraph"/>
        <w:numPr>
          <w:ilvl w:val="1"/>
          <w:numId w:val="1"/>
        </w:numPr>
        <w:tabs>
          <w:tab w:val="left" w:pos="1181"/>
        </w:tabs>
        <w:spacing w:before="164"/>
        <w:ind w:hanging="361"/>
      </w:pPr>
      <w:r>
        <w:rPr>
          <w:b/>
        </w:rPr>
        <w:t xml:space="preserve">Extend </w:t>
      </w:r>
      <w:r w:rsidR="002A4BBA">
        <w:rPr>
          <w:b/>
        </w:rPr>
        <w:t>or relax reporting</w:t>
      </w:r>
      <w:r w:rsidR="002A4BBA">
        <w:rPr>
          <w:b/>
          <w:spacing w:val="-1"/>
        </w:rPr>
        <w:t xml:space="preserve"> </w:t>
      </w:r>
      <w:r w:rsidR="002A4BBA">
        <w:t>obligations</w:t>
      </w:r>
      <w:r w:rsidR="003C1DB7">
        <w:t xml:space="preserve"> for organisations affected by </w:t>
      </w:r>
      <w:r>
        <w:t xml:space="preserve">ongoing </w:t>
      </w:r>
      <w:r w:rsidR="003C1DB7">
        <w:t>health restrictions</w:t>
      </w:r>
      <w:r w:rsidR="002A4BBA">
        <w:t>.</w:t>
      </w:r>
    </w:p>
    <w:p w14:paraId="2BE31E06" w14:textId="664AE442" w:rsidR="00A8111B" w:rsidRDefault="00E63114" w:rsidP="00A96986">
      <w:pPr>
        <w:pStyle w:val="Heading3"/>
        <w:numPr>
          <w:ilvl w:val="1"/>
          <w:numId w:val="1"/>
        </w:numPr>
        <w:tabs>
          <w:tab w:val="left" w:pos="1181"/>
        </w:tabs>
        <w:spacing w:before="182"/>
        <w:ind w:hanging="361"/>
        <w:rPr>
          <w:b w:val="0"/>
        </w:rPr>
      </w:pPr>
      <w:r>
        <w:t xml:space="preserve">Avoid commencement of new funding </w:t>
      </w:r>
      <w:r w:rsidR="002A4BBA">
        <w:t xml:space="preserve">reform </w:t>
      </w:r>
      <w:r>
        <w:t>or</w:t>
      </w:r>
      <w:r w:rsidR="002A4BBA">
        <w:t xml:space="preserve"> tendering</w:t>
      </w:r>
      <w:r w:rsidR="002A4BBA">
        <w:rPr>
          <w:spacing w:val="-11"/>
        </w:rPr>
        <w:t xml:space="preserve"> </w:t>
      </w:r>
      <w:r w:rsidR="002A4BBA">
        <w:rPr>
          <w:b w:val="0"/>
        </w:rPr>
        <w:t>processes</w:t>
      </w:r>
      <w:r>
        <w:rPr>
          <w:b w:val="0"/>
        </w:rPr>
        <w:t xml:space="preserve"> without prior engagement with affected organisations to ensure their capacity to engage</w:t>
      </w:r>
      <w:r w:rsidR="002A4BBA">
        <w:rPr>
          <w:b w:val="0"/>
        </w:rPr>
        <w:t>.</w:t>
      </w:r>
    </w:p>
    <w:p w14:paraId="43038DF8" w14:textId="4631D77B" w:rsidR="00A8111B" w:rsidRDefault="002A4BBA" w:rsidP="00A96986">
      <w:pPr>
        <w:pStyle w:val="ListParagraph"/>
        <w:numPr>
          <w:ilvl w:val="1"/>
          <w:numId w:val="1"/>
        </w:numPr>
        <w:tabs>
          <w:tab w:val="left" w:pos="1181"/>
        </w:tabs>
        <w:spacing w:before="184"/>
        <w:ind w:right="1590"/>
      </w:pPr>
      <w:r>
        <w:t>Unilaterally suspend KPIs and outcomes</w:t>
      </w:r>
      <w:r w:rsidR="003C1DB7">
        <w:t xml:space="preserve"> for organisations affected by health restrictions</w:t>
      </w:r>
      <w:r>
        <w:t xml:space="preserve"> to allow for adaptation to new conditions.</w:t>
      </w:r>
    </w:p>
    <w:p w14:paraId="7A6A2900" w14:textId="77777777" w:rsidR="00A8111B" w:rsidRDefault="002A4BBA" w:rsidP="00A96986">
      <w:pPr>
        <w:pStyle w:val="ListParagraph"/>
        <w:numPr>
          <w:ilvl w:val="1"/>
          <w:numId w:val="1"/>
        </w:numPr>
        <w:tabs>
          <w:tab w:val="left" w:pos="1181"/>
        </w:tabs>
        <w:spacing w:before="164"/>
        <w:ind w:right="1284"/>
      </w:pPr>
      <w:r>
        <w:rPr>
          <w:b/>
        </w:rPr>
        <w:t xml:space="preserve">Remove penalties for non-compliance </w:t>
      </w:r>
      <w:r>
        <w:t>with contracts arising from the COVID-19</w:t>
      </w:r>
      <w:r>
        <w:rPr>
          <w:spacing w:val="-3"/>
        </w:rPr>
        <w:t xml:space="preserve"> </w:t>
      </w:r>
      <w:r>
        <w:t>emergency.</w:t>
      </w:r>
    </w:p>
    <w:sectPr w:rsidR="00A8111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00" w:right="280" w:bottom="1740" w:left="1340" w:header="0" w:footer="1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A8B7" w14:textId="77777777" w:rsidR="003A0C29" w:rsidRDefault="003A0C29">
      <w:r>
        <w:separator/>
      </w:r>
    </w:p>
  </w:endnote>
  <w:endnote w:type="continuationSeparator" w:id="0">
    <w:p w14:paraId="7E1CF946" w14:textId="77777777" w:rsidR="003A0C29" w:rsidRDefault="003A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9E50" w14:textId="77777777" w:rsidR="00A8111B" w:rsidRDefault="00A1400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4576" behindDoc="1" locked="0" layoutInCell="1" allowOverlap="1" wp14:anchorId="0AC79F38" wp14:editId="2733D67A">
              <wp:simplePos x="0" y="0"/>
              <wp:positionH relativeFrom="page">
                <wp:posOffset>876300</wp:posOffset>
              </wp:positionH>
              <wp:positionV relativeFrom="page">
                <wp:posOffset>8931910</wp:posOffset>
              </wp:positionV>
              <wp:extent cx="16573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3A6BD" w14:textId="77777777" w:rsidR="00A8111B" w:rsidRDefault="002A4BBA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0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79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703.3pt;width:13.05pt;height:15.45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rd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" filled="f" stroked="f">
              <v:textbox inset="0,0,0,0">
                <w:txbxContent>
                  <w:p w14:paraId="7183A6BD" w14:textId="77777777" w:rsidR="00A8111B" w:rsidRDefault="002A4BBA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40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5600" behindDoc="1" locked="0" layoutInCell="1" allowOverlap="1" wp14:anchorId="0AB7C377" wp14:editId="46D26819">
              <wp:simplePos x="0" y="0"/>
              <wp:positionH relativeFrom="page">
                <wp:posOffset>2288540</wp:posOffset>
              </wp:positionH>
              <wp:positionV relativeFrom="page">
                <wp:posOffset>9104630</wp:posOffset>
              </wp:positionV>
              <wp:extent cx="3194685" cy="520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68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7DCB" w14:textId="77777777" w:rsidR="00A8111B" w:rsidRDefault="002A4BBA">
                          <w:pPr>
                            <w:spacing w:before="21"/>
                            <w:ind w:left="19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ACOSS 2020, Locked Bag 4777 Strawberry Hills NSW 2012 Ph (02) 9310 6200 E: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info@acoss.org.au</w:t>
                            </w:r>
                          </w:hyperlink>
                        </w:p>
                        <w:p w14:paraId="1B2AC118" w14:textId="77777777" w:rsidR="00A8111B" w:rsidRDefault="00A3408B">
                          <w:pPr>
                            <w:ind w:left="18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hyperlink r:id="rId2">
                            <w:r w:rsidR="002A4BBA">
                              <w:rPr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ACOSS</w:t>
                            </w:r>
                            <w:r w:rsidR="002A4BBA">
                              <w:rPr>
                                <w:b/>
                                <w:color w:val="0462C1"/>
                                <w:spacing w:val="-10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 w:rsidR="002A4BBA">
                              <w:rPr>
                                <w:b/>
                                <w:color w:val="0462C1"/>
                                <w:sz w:val="16"/>
                                <w:u w:val="single" w:color="0462C1"/>
                              </w:rPr>
                              <w:t>Website</w:t>
                            </w:r>
                          </w:hyperlink>
                        </w:p>
                        <w:p w14:paraId="523E8238" w14:textId="77777777" w:rsidR="00A8111B" w:rsidRDefault="002A4BBA">
                          <w:pPr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ISSN: 1326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80.2pt;margin-top:716.9pt;width:251.55pt;height:41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a/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" filled="f" stroked="f">
              <v:textbox inset="0,0,0,0">
                <w:txbxContent>
                  <w:p w:rsidR="00A8111B" w:rsidRDefault="002A4BBA">
                    <w:pPr>
                      <w:spacing w:before="21"/>
                      <w:ind w:left="19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ACOSS 2020, Locked Bag 4777 Strawberry Hills NSW 2012 Ph (02) 9310 6200 E: </w:t>
                    </w:r>
                    <w:hyperlink r:id="rId3">
                      <w:r>
                        <w:rPr>
                          <w:b/>
                          <w:color w:val="0462C1"/>
                          <w:sz w:val="16"/>
                          <w:u w:val="single" w:color="0462C1"/>
                        </w:rPr>
                        <w:t>info@acoss.org.au</w:t>
                      </w:r>
                    </w:hyperlink>
                  </w:p>
                  <w:p w:rsidR="00A8111B" w:rsidRDefault="0010725D">
                    <w:pPr>
                      <w:ind w:left="18" w:right="18"/>
                      <w:jc w:val="center"/>
                      <w:rPr>
                        <w:b/>
                        <w:sz w:val="16"/>
                      </w:rPr>
                    </w:pPr>
                    <w:hyperlink r:id="rId4">
                      <w:r w:rsidR="002A4BBA">
                        <w:rPr>
                          <w:b/>
                          <w:color w:val="0462C1"/>
                          <w:sz w:val="16"/>
                          <w:u w:val="single" w:color="0462C1"/>
                        </w:rPr>
                        <w:t>ACOSS</w:t>
                      </w:r>
                      <w:r w:rsidR="002A4BBA">
                        <w:rPr>
                          <w:b/>
                          <w:color w:val="0462C1"/>
                          <w:spacing w:val="-10"/>
                          <w:sz w:val="16"/>
                          <w:u w:val="single" w:color="0462C1"/>
                        </w:rPr>
                        <w:t xml:space="preserve"> </w:t>
                      </w:r>
                      <w:r w:rsidR="002A4BBA">
                        <w:rPr>
                          <w:b/>
                          <w:color w:val="0462C1"/>
                          <w:sz w:val="16"/>
                          <w:u w:val="single" w:color="0462C1"/>
                        </w:rPr>
                        <w:t>Website</w:t>
                      </w:r>
                    </w:hyperlink>
                  </w:p>
                  <w:p w:rsidR="00A8111B" w:rsidRDefault="002A4BBA">
                    <w:pPr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ISSN: 1326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E7C2" w14:textId="77777777" w:rsidR="003A0C29" w:rsidRDefault="003A0C29">
      <w:r>
        <w:separator/>
      </w:r>
    </w:p>
  </w:footnote>
  <w:footnote w:type="continuationSeparator" w:id="0">
    <w:p w14:paraId="50615893" w14:textId="77777777" w:rsidR="003A0C29" w:rsidRDefault="003A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F55CE" w14:textId="323153CA" w:rsidR="002A5942" w:rsidRDefault="002A5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A447" w14:textId="29683E35" w:rsidR="002A5942" w:rsidRDefault="002A5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6D3CB" w14:textId="61165E6D" w:rsidR="002A5942" w:rsidRDefault="002A5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4929"/>
    <w:multiLevelType w:val="hybridMultilevel"/>
    <w:tmpl w:val="728CE378"/>
    <w:lvl w:ilvl="0" w:tplc="2EAA9FC2">
      <w:start w:val="1"/>
      <w:numFmt w:val="bullet"/>
      <w:lvlText w:val="-"/>
      <w:lvlJc w:val="left"/>
      <w:pPr>
        <w:ind w:left="1180" w:hanging="360"/>
      </w:pPr>
      <w:rPr>
        <w:rFonts w:ascii="Verdana" w:eastAsia="Verdana" w:hAnsi="Verdana" w:cs="Verdana" w:hint="default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78D3F02"/>
    <w:multiLevelType w:val="hybridMultilevel"/>
    <w:tmpl w:val="C6C4044C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7CA2856"/>
    <w:multiLevelType w:val="hybridMultilevel"/>
    <w:tmpl w:val="426CB69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9D512D5"/>
    <w:multiLevelType w:val="hybridMultilevel"/>
    <w:tmpl w:val="B89CC914"/>
    <w:lvl w:ilvl="0" w:tplc="602020A6">
      <w:start w:val="8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030D1"/>
    <w:multiLevelType w:val="hybridMultilevel"/>
    <w:tmpl w:val="BF7EBE76"/>
    <w:lvl w:ilvl="0" w:tplc="A6348C7A">
      <w:start w:val="1"/>
      <w:numFmt w:val="bullet"/>
      <w:lvlText w:val="-"/>
      <w:lvlJc w:val="left"/>
      <w:pPr>
        <w:ind w:left="862" w:hanging="360"/>
      </w:pPr>
      <w:rPr>
        <w:rFonts w:ascii="Verdana" w:eastAsia="Verdana" w:hAnsi="Verdana" w:cs="Verdana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87579A2"/>
    <w:multiLevelType w:val="hybridMultilevel"/>
    <w:tmpl w:val="03121ACC"/>
    <w:lvl w:ilvl="0" w:tplc="695C70A8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en-AU" w:eastAsia="en-AU" w:bidi="en-AU"/>
      </w:rPr>
    </w:lvl>
    <w:lvl w:ilvl="1" w:tplc="6E4CCD18">
      <w:numFmt w:val="bullet"/>
      <w:lvlText w:val="•"/>
      <w:lvlJc w:val="left"/>
      <w:pPr>
        <w:ind w:left="1800" w:hanging="360"/>
      </w:pPr>
      <w:rPr>
        <w:rFonts w:hint="default"/>
        <w:lang w:val="en-AU" w:eastAsia="en-AU" w:bidi="en-AU"/>
      </w:rPr>
    </w:lvl>
    <w:lvl w:ilvl="2" w:tplc="96D4F130">
      <w:numFmt w:val="bullet"/>
      <w:lvlText w:val="•"/>
      <w:lvlJc w:val="left"/>
      <w:pPr>
        <w:ind w:left="2780" w:hanging="360"/>
      </w:pPr>
      <w:rPr>
        <w:rFonts w:hint="default"/>
        <w:lang w:val="en-AU" w:eastAsia="en-AU" w:bidi="en-AU"/>
      </w:rPr>
    </w:lvl>
    <w:lvl w:ilvl="3" w:tplc="87EAA688">
      <w:numFmt w:val="bullet"/>
      <w:lvlText w:val="•"/>
      <w:lvlJc w:val="left"/>
      <w:pPr>
        <w:ind w:left="3760" w:hanging="360"/>
      </w:pPr>
      <w:rPr>
        <w:rFonts w:hint="default"/>
        <w:lang w:val="en-AU" w:eastAsia="en-AU" w:bidi="en-AU"/>
      </w:rPr>
    </w:lvl>
    <w:lvl w:ilvl="4" w:tplc="4858B70A">
      <w:numFmt w:val="bullet"/>
      <w:lvlText w:val="•"/>
      <w:lvlJc w:val="left"/>
      <w:pPr>
        <w:ind w:left="4740" w:hanging="360"/>
      </w:pPr>
      <w:rPr>
        <w:rFonts w:hint="default"/>
        <w:lang w:val="en-AU" w:eastAsia="en-AU" w:bidi="en-AU"/>
      </w:rPr>
    </w:lvl>
    <w:lvl w:ilvl="5" w:tplc="7D686FD8">
      <w:numFmt w:val="bullet"/>
      <w:lvlText w:val="•"/>
      <w:lvlJc w:val="left"/>
      <w:pPr>
        <w:ind w:left="5720" w:hanging="360"/>
      </w:pPr>
      <w:rPr>
        <w:rFonts w:hint="default"/>
        <w:lang w:val="en-AU" w:eastAsia="en-AU" w:bidi="en-AU"/>
      </w:rPr>
    </w:lvl>
    <w:lvl w:ilvl="6" w:tplc="33C8E0DA">
      <w:numFmt w:val="bullet"/>
      <w:lvlText w:val="•"/>
      <w:lvlJc w:val="left"/>
      <w:pPr>
        <w:ind w:left="6700" w:hanging="360"/>
      </w:pPr>
      <w:rPr>
        <w:rFonts w:hint="default"/>
        <w:lang w:val="en-AU" w:eastAsia="en-AU" w:bidi="en-AU"/>
      </w:rPr>
    </w:lvl>
    <w:lvl w:ilvl="7" w:tplc="88F4749A">
      <w:numFmt w:val="bullet"/>
      <w:lvlText w:val="•"/>
      <w:lvlJc w:val="left"/>
      <w:pPr>
        <w:ind w:left="7680" w:hanging="360"/>
      </w:pPr>
      <w:rPr>
        <w:rFonts w:hint="default"/>
        <w:lang w:val="en-AU" w:eastAsia="en-AU" w:bidi="en-AU"/>
      </w:rPr>
    </w:lvl>
    <w:lvl w:ilvl="8" w:tplc="D4AC7022">
      <w:numFmt w:val="bullet"/>
      <w:lvlText w:val="•"/>
      <w:lvlJc w:val="left"/>
      <w:pPr>
        <w:ind w:left="8660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4A991F6C"/>
    <w:multiLevelType w:val="hybridMultilevel"/>
    <w:tmpl w:val="367EE682"/>
    <w:lvl w:ilvl="0" w:tplc="9A5ADDE6">
      <w:start w:val="1"/>
      <w:numFmt w:val="decimal"/>
      <w:lvlText w:val="%1."/>
      <w:lvlJc w:val="left"/>
      <w:pPr>
        <w:ind w:left="820" w:hanging="36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n-AU" w:eastAsia="en-AU" w:bidi="en-AU"/>
      </w:rPr>
    </w:lvl>
    <w:lvl w:ilvl="1" w:tplc="3A5A016C">
      <w:start w:val="1"/>
      <w:numFmt w:val="lowerLetter"/>
      <w:lvlText w:val="%2)"/>
      <w:lvlJc w:val="left"/>
      <w:pPr>
        <w:ind w:left="118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AU" w:eastAsia="en-AU" w:bidi="en-AU"/>
      </w:rPr>
    </w:lvl>
    <w:lvl w:ilvl="2" w:tplc="CBF0464A">
      <w:numFmt w:val="bullet"/>
      <w:lvlText w:val="•"/>
      <w:lvlJc w:val="left"/>
      <w:pPr>
        <w:ind w:left="2228" w:hanging="360"/>
      </w:pPr>
      <w:rPr>
        <w:rFonts w:hint="default"/>
        <w:lang w:val="en-AU" w:eastAsia="en-AU" w:bidi="en-AU"/>
      </w:rPr>
    </w:lvl>
    <w:lvl w:ilvl="3" w:tplc="DEA63A2A">
      <w:numFmt w:val="bullet"/>
      <w:lvlText w:val="•"/>
      <w:lvlJc w:val="left"/>
      <w:pPr>
        <w:ind w:left="3277" w:hanging="360"/>
      </w:pPr>
      <w:rPr>
        <w:rFonts w:hint="default"/>
        <w:lang w:val="en-AU" w:eastAsia="en-AU" w:bidi="en-AU"/>
      </w:rPr>
    </w:lvl>
    <w:lvl w:ilvl="4" w:tplc="AF607988">
      <w:numFmt w:val="bullet"/>
      <w:lvlText w:val="•"/>
      <w:lvlJc w:val="left"/>
      <w:pPr>
        <w:ind w:left="4326" w:hanging="360"/>
      </w:pPr>
      <w:rPr>
        <w:rFonts w:hint="default"/>
        <w:lang w:val="en-AU" w:eastAsia="en-AU" w:bidi="en-AU"/>
      </w:rPr>
    </w:lvl>
    <w:lvl w:ilvl="5" w:tplc="D54E9F40">
      <w:numFmt w:val="bullet"/>
      <w:lvlText w:val="•"/>
      <w:lvlJc w:val="left"/>
      <w:pPr>
        <w:ind w:left="5375" w:hanging="360"/>
      </w:pPr>
      <w:rPr>
        <w:rFonts w:hint="default"/>
        <w:lang w:val="en-AU" w:eastAsia="en-AU" w:bidi="en-AU"/>
      </w:rPr>
    </w:lvl>
    <w:lvl w:ilvl="6" w:tplc="E1E6DB1E">
      <w:numFmt w:val="bullet"/>
      <w:lvlText w:val="•"/>
      <w:lvlJc w:val="left"/>
      <w:pPr>
        <w:ind w:left="6424" w:hanging="360"/>
      </w:pPr>
      <w:rPr>
        <w:rFonts w:hint="default"/>
        <w:lang w:val="en-AU" w:eastAsia="en-AU" w:bidi="en-AU"/>
      </w:rPr>
    </w:lvl>
    <w:lvl w:ilvl="7" w:tplc="9BBE75F4">
      <w:numFmt w:val="bullet"/>
      <w:lvlText w:val="•"/>
      <w:lvlJc w:val="left"/>
      <w:pPr>
        <w:ind w:left="7473" w:hanging="360"/>
      </w:pPr>
      <w:rPr>
        <w:rFonts w:hint="default"/>
        <w:lang w:val="en-AU" w:eastAsia="en-AU" w:bidi="en-AU"/>
      </w:rPr>
    </w:lvl>
    <w:lvl w:ilvl="8" w:tplc="825C848C">
      <w:numFmt w:val="bullet"/>
      <w:lvlText w:val="•"/>
      <w:lvlJc w:val="left"/>
      <w:pPr>
        <w:ind w:left="8522" w:hanging="360"/>
      </w:pPr>
      <w:rPr>
        <w:rFonts w:hint="default"/>
        <w:lang w:val="en-AU" w:eastAsia="en-AU" w:bidi="en-AU"/>
      </w:rPr>
    </w:lvl>
  </w:abstractNum>
  <w:abstractNum w:abstractNumId="7" w15:restartNumberingAfterBreak="0">
    <w:nsid w:val="55CF3E64"/>
    <w:multiLevelType w:val="hybridMultilevel"/>
    <w:tmpl w:val="7AC69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0B0F"/>
    <w:multiLevelType w:val="hybridMultilevel"/>
    <w:tmpl w:val="351CFC26"/>
    <w:lvl w:ilvl="0" w:tplc="32E6FE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1B"/>
    <w:rsid w:val="0002005E"/>
    <w:rsid w:val="000E6171"/>
    <w:rsid w:val="0010725D"/>
    <w:rsid w:val="001156D9"/>
    <w:rsid w:val="0026684B"/>
    <w:rsid w:val="002A4BBA"/>
    <w:rsid w:val="002A5942"/>
    <w:rsid w:val="002C16DF"/>
    <w:rsid w:val="003A0C29"/>
    <w:rsid w:val="003C1DB7"/>
    <w:rsid w:val="0045402B"/>
    <w:rsid w:val="004779BA"/>
    <w:rsid w:val="00526808"/>
    <w:rsid w:val="005D52BA"/>
    <w:rsid w:val="00686D81"/>
    <w:rsid w:val="0076411E"/>
    <w:rsid w:val="007D7CFB"/>
    <w:rsid w:val="00834914"/>
    <w:rsid w:val="00890C64"/>
    <w:rsid w:val="008F661F"/>
    <w:rsid w:val="00996821"/>
    <w:rsid w:val="009F4A4D"/>
    <w:rsid w:val="00A1400E"/>
    <w:rsid w:val="00A3408B"/>
    <w:rsid w:val="00A55EDF"/>
    <w:rsid w:val="00A60B60"/>
    <w:rsid w:val="00A8111B"/>
    <w:rsid w:val="00A96986"/>
    <w:rsid w:val="00B3144C"/>
    <w:rsid w:val="00B8030D"/>
    <w:rsid w:val="00BB4373"/>
    <w:rsid w:val="00C5711D"/>
    <w:rsid w:val="00E63114"/>
    <w:rsid w:val="00EB1577"/>
    <w:rsid w:val="00F2370C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B44BC2"/>
  <w15:docId w15:val="{520027A5-5ED9-4754-A282-3DF152B5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677" w:lineRule="exact"/>
      <w:ind w:left="100"/>
      <w:outlineLvl w:val="0"/>
    </w:pPr>
    <w:rPr>
      <w:rFonts w:ascii="Palatino Linotype" w:eastAsia="Palatino Linotype" w:hAnsi="Palatino Linotype" w:cs="Palatino Linotype"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Palatino Linotype" w:eastAsia="Palatino Linotype" w:hAnsi="Palatino Linotype" w:cs="Palatino Linotype"/>
      <w:sz w:val="36"/>
      <w:szCs w:val="36"/>
    </w:rPr>
  </w:style>
  <w:style w:type="paragraph" w:styleId="Heading3">
    <w:name w:val="heading 3"/>
    <w:basedOn w:val="Normal"/>
    <w:uiPriority w:val="1"/>
    <w:qFormat/>
    <w:pPr>
      <w:ind w:left="820" w:hanging="3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45402B"/>
    <w:rPr>
      <w:rFonts w:ascii="Palatino Linotype" w:eastAsia="Palatino Linotype" w:hAnsi="Palatino Linotype" w:cs="Palatino Linotype"/>
      <w:sz w:val="36"/>
      <w:szCs w:val="36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2A59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942"/>
    <w:rPr>
      <w:rFonts w:ascii="Verdana" w:eastAsia="Verdana" w:hAnsi="Verdana" w:cs="Verdana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942"/>
    <w:rPr>
      <w:rFonts w:ascii="Verdana" w:eastAsia="Verdana" w:hAnsi="Verdana" w:cs="Verdana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42"/>
    <w:rPr>
      <w:rFonts w:ascii="Segoe UI" w:eastAsia="Verdana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2A5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942"/>
    <w:rPr>
      <w:rFonts w:ascii="Verdana" w:eastAsia="Verdana" w:hAnsi="Verdana" w:cs="Verdana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2A5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942"/>
    <w:rPr>
      <w:rFonts w:ascii="Verdana" w:eastAsia="Verdana" w:hAnsi="Verdana" w:cs="Verdana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oss.org.au/wp-content/uploads/2019/04/ERO-payments-updated-July-201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coss.org.au" TargetMode="External"/><Relationship Id="rId2" Type="http://schemas.openxmlformats.org/officeDocument/2006/relationships/hyperlink" Target="http://www.acoss.org.au/" TargetMode="External"/><Relationship Id="rId1" Type="http://schemas.openxmlformats.org/officeDocument/2006/relationships/hyperlink" Target="mailto:info@acoss.org.au" TargetMode="External"/><Relationship Id="rId4" Type="http://schemas.openxmlformats.org/officeDocument/2006/relationships/hyperlink" Target="http://www.acoss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6DDB-8B1F-493B-98B3-A74A6208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Wenzel</dc:creator>
  <cp:lastModifiedBy>John Mikelsons</cp:lastModifiedBy>
  <cp:revision>2</cp:revision>
  <cp:lastPrinted>2020-07-10T03:54:00Z</cp:lastPrinted>
  <dcterms:created xsi:type="dcterms:W3CDTF">2020-07-16T06:24:00Z</dcterms:created>
  <dcterms:modified xsi:type="dcterms:W3CDTF">2020-07-16T06:24:00Z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2020-05-07T00:00:00Z</vt:filetime>
  </property>
</Properties>
</file>