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9597" w14:textId="610CB103" w:rsidR="00B678E7" w:rsidRDefault="00300E70" w:rsidP="00606A3B">
      <w:pPr>
        <w:jc w:val="center"/>
        <w:rPr>
          <w:b/>
          <w:bCs/>
          <w:noProof/>
        </w:rPr>
      </w:pPr>
      <w:bookmarkStart w:id="0" w:name="_GoBack"/>
      <w:bookmarkEnd w:id="0"/>
      <w:r>
        <w:rPr>
          <w:b/>
          <w:bCs/>
          <w:noProof/>
          <w:lang w:val="en-US"/>
        </w:rPr>
        <w:drawing>
          <wp:inline distT="0" distB="0" distL="0" distR="0" wp14:anchorId="78509F08" wp14:editId="7E4AA5D2">
            <wp:extent cx="1357313" cy="575082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F logo (main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63" cy="59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n-US"/>
        </w:rPr>
        <w:drawing>
          <wp:inline distT="0" distB="0" distL="0" distR="0" wp14:anchorId="14A0EBF4" wp14:editId="46AA2960">
            <wp:extent cx="466238" cy="469265"/>
            <wp:effectExtent l="0" t="0" r="0" b="698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OSS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1" cy="49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3D0">
        <w:rPr>
          <w:rFonts w:asciiTheme="majorHAnsi" w:hAnsiTheme="majorHAnsi" w:cstheme="majorHAnsi"/>
          <w:noProof/>
          <w:lang w:eastAsia="en-AU"/>
        </w:rPr>
        <w:t xml:space="preserve">  </w:t>
      </w:r>
      <w:r w:rsidR="00461F06">
        <w:rPr>
          <w:rFonts w:asciiTheme="majorHAnsi" w:hAnsiTheme="majorHAnsi" w:cstheme="majorHAnsi"/>
          <w:noProof/>
          <w:lang w:eastAsia="en-AU"/>
        </w:rPr>
        <w:t xml:space="preserve"> </w:t>
      </w:r>
      <w:r w:rsidR="00BC35F3" w:rsidRPr="00A63D5C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645F42F4" wp14:editId="359870EB">
            <wp:extent cx="1029600" cy="432000"/>
            <wp:effectExtent l="0" t="0" r="0" b="6350"/>
            <wp:docPr id="4" name="Picture 4" descr="Description: ACTU Letterhead Heade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ACTU Letterhead Header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74" b="3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3D0">
        <w:rPr>
          <w:b/>
          <w:bCs/>
          <w:noProof/>
        </w:rPr>
        <w:t xml:space="preserve">  </w:t>
      </w:r>
      <w:r w:rsidR="00A77249">
        <w:rPr>
          <w:b/>
          <w:bCs/>
          <w:noProof/>
          <w:lang w:val="en-US"/>
        </w:rPr>
        <w:drawing>
          <wp:inline distT="0" distB="0" distL="0" distR="0" wp14:anchorId="34AE149F" wp14:editId="45216130">
            <wp:extent cx="1184929" cy="410042"/>
            <wp:effectExtent l="0" t="0" r="0" b="9525"/>
            <wp:docPr id="3" name="Picture 3" descr="A picture containing meter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109" cy="43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1B0C2" w14:textId="03A0965C" w:rsidR="00606A3B" w:rsidRDefault="00A77249" w:rsidP="00606A3B">
      <w:pPr>
        <w:jc w:val="center"/>
        <w:rPr>
          <w:b/>
          <w:bCs/>
          <w:noProof/>
        </w:rPr>
      </w:pPr>
      <w:r>
        <w:rPr>
          <w:b/>
          <w:bCs/>
          <w:noProof/>
          <w:lang w:val="en-US"/>
        </w:rPr>
        <w:drawing>
          <wp:inline distT="0" distB="0" distL="0" distR="0" wp14:anchorId="3851F315" wp14:editId="7E93B1B3">
            <wp:extent cx="472013" cy="456883"/>
            <wp:effectExtent l="0" t="0" r="4445" b="635"/>
            <wp:docPr id="5" name="Picture 5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_group_vertical_medi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09" cy="48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3D0">
        <w:rPr>
          <w:b/>
          <w:bCs/>
          <w:noProof/>
        </w:rPr>
        <w:t xml:space="preserve">   </w:t>
      </w:r>
      <w:r w:rsidR="00736A92">
        <w:rPr>
          <w:b/>
          <w:bCs/>
          <w:noProof/>
          <w:lang w:val="en-US"/>
        </w:rPr>
        <w:drawing>
          <wp:inline distT="0" distB="0" distL="0" distR="0" wp14:anchorId="55C3E6D1" wp14:editId="1090FFAD">
            <wp:extent cx="872504" cy="575242"/>
            <wp:effectExtent l="0" t="0" r="3810" b="0"/>
            <wp:docPr id="6" name="Picture 6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SL LOGO - COLOUR - JPE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667" cy="6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3D0">
        <w:rPr>
          <w:b/>
          <w:bCs/>
          <w:noProof/>
        </w:rPr>
        <w:t xml:space="preserve">   </w:t>
      </w:r>
      <w:r w:rsidR="00B37D98">
        <w:rPr>
          <w:b/>
          <w:bCs/>
          <w:noProof/>
          <w:lang w:val="en-US"/>
        </w:rPr>
        <w:drawing>
          <wp:inline distT="0" distB="0" distL="0" distR="0" wp14:anchorId="5A28A517" wp14:editId="17C9614B">
            <wp:extent cx="1785938" cy="352417"/>
            <wp:effectExtent l="0" t="0" r="5080" b="0"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CA 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36" cy="38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3D0">
        <w:rPr>
          <w:b/>
          <w:bCs/>
          <w:noProof/>
        </w:rPr>
        <w:t xml:space="preserve">   </w:t>
      </w:r>
      <w:r w:rsidR="00B37D98">
        <w:rPr>
          <w:b/>
          <w:bCs/>
          <w:noProof/>
          <w:lang w:val="en-US"/>
        </w:rPr>
        <w:drawing>
          <wp:inline distT="0" distB="0" distL="0" distR="0" wp14:anchorId="3BF295ED" wp14:editId="6AD54D8E">
            <wp:extent cx="969510" cy="452438"/>
            <wp:effectExtent l="0" t="0" r="2540" b="5080"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bon Market Institute lo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59" cy="47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92D98" w14:textId="0C53BA2F" w:rsidR="00606A3B" w:rsidRDefault="00B37D98" w:rsidP="00606A3B">
      <w:pPr>
        <w:jc w:val="center"/>
        <w:rPr>
          <w:b/>
          <w:bCs/>
          <w:noProof/>
        </w:rPr>
      </w:pPr>
      <w:r>
        <w:rPr>
          <w:b/>
          <w:bCs/>
          <w:noProof/>
          <w:lang w:val="en-US"/>
        </w:rPr>
        <w:drawing>
          <wp:inline distT="0" distB="0" distL="0" distR="0" wp14:anchorId="0B287EB6" wp14:editId="14020075">
            <wp:extent cx="743447" cy="499850"/>
            <wp:effectExtent l="0" t="0" r="0" b="0"/>
            <wp:docPr id="9" name="Picture 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EC logo (more square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75" cy="52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F06">
        <w:rPr>
          <w:b/>
          <w:bCs/>
          <w:noProof/>
        </w:rPr>
        <w:t xml:space="preserve">  </w:t>
      </w:r>
      <w:r>
        <w:rPr>
          <w:b/>
          <w:bCs/>
          <w:noProof/>
          <w:lang w:val="en-US"/>
        </w:rPr>
        <w:drawing>
          <wp:inline distT="0" distB="0" distL="0" distR="0" wp14:anchorId="4FC658CB" wp14:editId="39F6B59F">
            <wp:extent cx="1003084" cy="443865"/>
            <wp:effectExtent l="0" t="0" r="6985" b="0"/>
            <wp:docPr id="10" name="Picture 10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UAA logo blu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640" cy="46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n-US"/>
        </w:rPr>
        <w:drawing>
          <wp:inline distT="0" distB="0" distL="0" distR="0" wp14:anchorId="7E369F99" wp14:editId="02CEA29C">
            <wp:extent cx="1480795" cy="562054"/>
            <wp:effectExtent l="0" t="0" r="5715" b="0"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GCC logo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4" cy="57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428">
        <w:rPr>
          <w:noProof/>
          <w:lang w:val="en-US"/>
        </w:rPr>
        <w:drawing>
          <wp:inline distT="0" distB="0" distL="0" distR="0" wp14:anchorId="552965BF" wp14:editId="6506B165">
            <wp:extent cx="1442994" cy="382947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26" cy="42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124BB" w14:textId="6BBC8D51" w:rsidR="00B976BB" w:rsidRPr="00FB7977" w:rsidRDefault="00743D88" w:rsidP="00606A3B">
      <w:pPr>
        <w:jc w:val="center"/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4AFF09EA" wp14:editId="1B2DCEE2">
            <wp:extent cx="761868" cy="561633"/>
            <wp:effectExtent l="0" t="0" r="635" b="0"/>
            <wp:docPr id="12" name="Picture 1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operty Council log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42" cy="56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F06">
        <w:rPr>
          <w:b/>
          <w:bCs/>
          <w:noProof/>
        </w:rPr>
        <w:t xml:space="preserve">  </w:t>
      </w:r>
      <w:r>
        <w:rPr>
          <w:b/>
          <w:bCs/>
          <w:noProof/>
          <w:lang w:val="en-US"/>
        </w:rPr>
        <w:drawing>
          <wp:inline distT="0" distB="0" distL="0" distR="0" wp14:anchorId="3E045532" wp14:editId="29D48E5B">
            <wp:extent cx="1800225" cy="391587"/>
            <wp:effectExtent l="0" t="0" r="0" b="8890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innies logo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443" cy="40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F06">
        <w:rPr>
          <w:b/>
          <w:bCs/>
          <w:noProof/>
        </w:rPr>
        <w:t xml:space="preserve">  </w:t>
      </w:r>
      <w:r>
        <w:rPr>
          <w:b/>
          <w:bCs/>
          <w:noProof/>
          <w:lang w:val="en-US"/>
        </w:rPr>
        <w:drawing>
          <wp:inline distT="0" distB="0" distL="0" distR="0" wp14:anchorId="4F1B33C8" wp14:editId="6D7F5D27">
            <wp:extent cx="425530" cy="561975"/>
            <wp:effectExtent l="0" t="0" r="0" b="0"/>
            <wp:docPr id="14" name="Picture 1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WF Panda logo.t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7" cy="6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B319E" w14:textId="1275BA41" w:rsidR="00B976BB" w:rsidRPr="008A620B" w:rsidRDefault="031BFB81" w:rsidP="27B89B85">
      <w:pPr>
        <w:jc w:val="right"/>
        <w:rPr>
          <w:b/>
          <w:bCs/>
        </w:rPr>
      </w:pPr>
      <w:r w:rsidRPr="27B89B85">
        <w:rPr>
          <w:b/>
          <w:bCs/>
        </w:rPr>
        <w:t>2</w:t>
      </w:r>
      <w:r w:rsidR="003F0D97">
        <w:rPr>
          <w:b/>
          <w:bCs/>
        </w:rPr>
        <w:t>5</w:t>
      </w:r>
      <w:r w:rsidR="004D36B7" w:rsidRPr="27B89B85">
        <w:rPr>
          <w:b/>
          <w:bCs/>
        </w:rPr>
        <w:t xml:space="preserve"> May 2020</w:t>
      </w:r>
    </w:p>
    <w:p w14:paraId="18979463" w14:textId="21E7FB73" w:rsidR="6DA6EC0D" w:rsidRDefault="6DA6EC0D" w:rsidP="27B89B85">
      <w:r w:rsidRPr="27B89B85">
        <w:rPr>
          <w:b/>
          <w:bCs/>
        </w:rPr>
        <w:t>BUILDING A STRONGER AND CLEANER POST-PANDEMIC AUSTRALIA</w:t>
      </w:r>
    </w:p>
    <w:p w14:paraId="4124153E" w14:textId="77777777" w:rsidR="001477B9" w:rsidRDefault="001477B9"/>
    <w:p w14:paraId="131EB643" w14:textId="3DB12512" w:rsidR="00FE2E01" w:rsidRDefault="51077578" w:rsidP="7E371207">
      <w:r>
        <w:t xml:space="preserve">Our diverse organisations </w:t>
      </w:r>
      <w:r w:rsidR="6366D044">
        <w:t xml:space="preserve">together call for </w:t>
      </w:r>
      <w:r w:rsidR="004F6FA2">
        <w:t xml:space="preserve">support </w:t>
      </w:r>
      <w:r w:rsidR="78281387">
        <w:t xml:space="preserve">for </w:t>
      </w:r>
      <w:r w:rsidR="004F6FA2">
        <w:t xml:space="preserve">COVID </w:t>
      </w:r>
      <w:r w:rsidR="7958E89A">
        <w:t xml:space="preserve">economic recovery to </w:t>
      </w:r>
      <w:r w:rsidR="008A5A3E">
        <w:t>urgently stimulate jobs and</w:t>
      </w:r>
      <w:r w:rsidR="00E30A2F">
        <w:t xml:space="preserve"> to rebuild </w:t>
      </w:r>
      <w:r w:rsidR="002D507B">
        <w:t>a sustainable and strong economy</w:t>
      </w:r>
      <w:r w:rsidR="7958E89A">
        <w:t>.</w:t>
      </w:r>
    </w:p>
    <w:p w14:paraId="09CEF100" w14:textId="62B807E9" w:rsidR="00FE2E01" w:rsidRDefault="00FE2E01">
      <w:r>
        <w:t>Australia</w:t>
      </w:r>
      <w:r w:rsidR="0098321E">
        <w:t xml:space="preserve"> faces</w:t>
      </w:r>
      <w:r w:rsidR="00EB4B18">
        <w:t xml:space="preserve"> a</w:t>
      </w:r>
      <w:r>
        <w:t xml:space="preserve"> public health emergency</w:t>
      </w:r>
      <w:r w:rsidR="001D74C9">
        <w:t xml:space="preserve"> with</w:t>
      </w:r>
      <w:r>
        <w:t xml:space="preserve"> immediate economic impact</w:t>
      </w:r>
      <w:r w:rsidR="001D74C9">
        <w:t>s</w:t>
      </w:r>
      <w:r>
        <w:t xml:space="preserve"> </w:t>
      </w:r>
      <w:r w:rsidR="007248E1">
        <w:t xml:space="preserve">as well as </w:t>
      </w:r>
      <w:r w:rsidR="006E2098">
        <w:t>longer-</w:t>
      </w:r>
      <w:r w:rsidR="0039303B">
        <w:t>lasting global economic pain</w:t>
      </w:r>
      <w:r>
        <w:t xml:space="preserve">. </w:t>
      </w:r>
      <w:r w:rsidR="006E2098">
        <w:t>B</w:t>
      </w:r>
      <w:r>
        <w:t>eyond the pandemic</w:t>
      </w:r>
      <w:r w:rsidR="006E2098">
        <w:t>,</w:t>
      </w:r>
      <w:r>
        <w:t xml:space="preserve"> Australia</w:t>
      </w:r>
      <w:r w:rsidR="00DE3CFF">
        <w:t>n</w:t>
      </w:r>
      <w:r>
        <w:t xml:space="preserve"> prosperity </w:t>
      </w:r>
      <w:r w:rsidR="007248E1">
        <w:t xml:space="preserve">also </w:t>
      </w:r>
      <w:r w:rsidR="006A3C4D">
        <w:t xml:space="preserve">depends </w:t>
      </w:r>
      <w:r>
        <w:t xml:space="preserve">on </w:t>
      </w:r>
      <w:r w:rsidR="00DE3CFF">
        <w:t xml:space="preserve">dealing with </w:t>
      </w:r>
      <w:r w:rsidR="00EA11A0">
        <w:t>other</w:t>
      </w:r>
      <w:r>
        <w:t xml:space="preserve"> long</w:t>
      </w:r>
      <w:r w:rsidR="00DE3CFF">
        <w:t>-</w:t>
      </w:r>
      <w:r>
        <w:t xml:space="preserve">term </w:t>
      </w:r>
      <w:r w:rsidR="000F083A">
        <w:t>challenges</w:t>
      </w:r>
      <w:r w:rsidR="00611F07">
        <w:t xml:space="preserve"> </w:t>
      </w:r>
      <w:r w:rsidR="006D7421">
        <w:t xml:space="preserve">– </w:t>
      </w:r>
      <w:r w:rsidR="000F083A">
        <w:t xml:space="preserve">including the transition to net zero emissions. </w:t>
      </w:r>
      <w:r w:rsidR="006C59F6">
        <w:t>E</w:t>
      </w:r>
      <w:r w:rsidR="00AE64C8">
        <w:t>conomic recovery efforts</w:t>
      </w:r>
      <w:r w:rsidR="000F083A">
        <w:t xml:space="preserve"> </w:t>
      </w:r>
      <w:r w:rsidR="006C59F6">
        <w:t xml:space="preserve">can and </w:t>
      </w:r>
      <w:r w:rsidR="000F083A">
        <w:t xml:space="preserve">should </w:t>
      </w:r>
      <w:r w:rsidR="00C10DFD">
        <w:t xml:space="preserve">contribute </w:t>
      </w:r>
      <w:r w:rsidR="5F34680D">
        <w:t xml:space="preserve">to </w:t>
      </w:r>
      <w:r w:rsidR="00BE3555">
        <w:t xml:space="preserve">addressing </w:t>
      </w:r>
      <w:r w:rsidR="000F083A">
        <w:t xml:space="preserve">these long term </w:t>
      </w:r>
      <w:r w:rsidR="00A952AB">
        <w:t>challenges</w:t>
      </w:r>
      <w:r w:rsidR="000F083A">
        <w:t>.</w:t>
      </w:r>
      <w:r w:rsidR="00E7279C">
        <w:t xml:space="preserve"> Our organisations encourage governments to </w:t>
      </w:r>
      <w:r w:rsidR="000D341E">
        <w:t xml:space="preserve">bolster their </w:t>
      </w:r>
      <w:r w:rsidR="00C3025F">
        <w:t xml:space="preserve">jobs and </w:t>
      </w:r>
      <w:r w:rsidR="000D341E">
        <w:t>recovery strategies with measures</w:t>
      </w:r>
      <w:r w:rsidR="001671F7">
        <w:t xml:space="preserve"> to </w:t>
      </w:r>
      <w:r w:rsidR="00E27514">
        <w:t xml:space="preserve">reduce emissions and </w:t>
      </w:r>
      <w:r w:rsidR="001671F7">
        <w:t>accelerate successful energy transition</w:t>
      </w:r>
      <w:r w:rsidR="00E27514">
        <w:t>s</w:t>
      </w:r>
      <w:r w:rsidR="00E7279C">
        <w:t xml:space="preserve"> </w:t>
      </w:r>
      <w:r w:rsidR="00BB69A6">
        <w:t>across all Australia’s regions and economic sectors.</w:t>
      </w:r>
    </w:p>
    <w:p w14:paraId="0ED28467" w14:textId="234FCC01" w:rsidR="00E94E53" w:rsidRDefault="00F84576">
      <w:r>
        <w:t xml:space="preserve">There are many opportunities. One particularly promising area for </w:t>
      </w:r>
      <w:r w:rsidR="00107B86">
        <w:t>i</w:t>
      </w:r>
      <w:r w:rsidR="00EE066F">
        <w:t>nvestment i</w:t>
      </w:r>
      <w:r w:rsidR="00107B86">
        <w:t>s</w:t>
      </w:r>
      <w:r w:rsidR="00EE066F">
        <w:t xml:space="preserve"> better energy efficiency and energy management</w:t>
      </w:r>
      <w:r w:rsidR="00FD0C89">
        <w:t>.</w:t>
      </w:r>
      <w:r w:rsidR="00E7279C">
        <w:t xml:space="preserve"> </w:t>
      </w:r>
      <w:r w:rsidR="000B1075">
        <w:t>Useful upgrades could be made</w:t>
      </w:r>
      <w:r w:rsidR="00386E6C">
        <w:t xml:space="preserve"> </w:t>
      </w:r>
      <w:r w:rsidR="00E7279C">
        <w:t xml:space="preserve">across Australia’s private </w:t>
      </w:r>
      <w:r w:rsidR="00E3272A">
        <w:t xml:space="preserve">and </w:t>
      </w:r>
      <w:r w:rsidR="00E7279C">
        <w:t>public housing</w:t>
      </w:r>
      <w:r w:rsidR="00E3272A">
        <w:t>;</w:t>
      </w:r>
      <w:r w:rsidR="00E7279C">
        <w:t xml:space="preserve"> commercial</w:t>
      </w:r>
      <w:r w:rsidR="00E3272A">
        <w:t xml:space="preserve">, </w:t>
      </w:r>
      <w:r w:rsidR="007C4063">
        <w:t xml:space="preserve">community and </w:t>
      </w:r>
      <w:r w:rsidR="00E7279C">
        <w:t>government</w:t>
      </w:r>
      <w:r w:rsidR="00416B46">
        <w:t xml:space="preserve"> </w:t>
      </w:r>
      <w:r w:rsidR="00E7279C">
        <w:t>buildings</w:t>
      </w:r>
      <w:r w:rsidR="00E3272A">
        <w:t>;</w:t>
      </w:r>
      <w:r w:rsidR="00E7279C">
        <w:t xml:space="preserve"> and industrial facilities. </w:t>
      </w:r>
      <w:r w:rsidR="00386E6C">
        <w:t xml:space="preserve">Improvements </w:t>
      </w:r>
      <w:r w:rsidR="004B443D">
        <w:t xml:space="preserve">could include </w:t>
      </w:r>
      <w:r w:rsidR="00A2766F">
        <w:t>more efficient and controllable appliances and major equipment</w:t>
      </w:r>
      <w:r w:rsidR="00EB0022">
        <w:t>, especially for heating and cooling</w:t>
      </w:r>
      <w:r w:rsidR="00A2766F">
        <w:t>; improved thermal</w:t>
      </w:r>
      <w:r w:rsidR="00F13FD4">
        <w:t xml:space="preserve"> envelopes</w:t>
      </w:r>
      <w:r w:rsidR="00EB0022">
        <w:t xml:space="preserve"> and shading</w:t>
      </w:r>
      <w:r w:rsidR="00F13FD4">
        <w:t>;</w:t>
      </w:r>
      <w:r w:rsidR="00EB0022">
        <w:t xml:space="preserve"> </w:t>
      </w:r>
      <w:r w:rsidR="00564DF8">
        <w:t>smart meters and sub-metering</w:t>
      </w:r>
      <w:r w:rsidR="005D0E5F">
        <w:t>; distributed energy generation and storage</w:t>
      </w:r>
      <w:r w:rsidR="00057B07">
        <w:t xml:space="preserve">; </w:t>
      </w:r>
      <w:r w:rsidR="00A2034B">
        <w:t xml:space="preserve">fuel switching; </w:t>
      </w:r>
      <w:r w:rsidR="007A1CE6">
        <w:t xml:space="preserve">and the equipment, training and external </w:t>
      </w:r>
      <w:r w:rsidR="00DB366E">
        <w:t xml:space="preserve">advice </w:t>
      </w:r>
      <w:r w:rsidR="007A1CE6">
        <w:t>needed for better energy management.</w:t>
      </w:r>
      <w:r w:rsidR="005D0E5F">
        <w:t xml:space="preserve"> </w:t>
      </w:r>
      <w:r w:rsidR="00F13FD4">
        <w:t xml:space="preserve"> </w:t>
      </w:r>
    </w:p>
    <w:p w14:paraId="032A2D78" w14:textId="5214EC7A" w:rsidR="00A85A8E" w:rsidRDefault="00E3378C">
      <w:r>
        <w:t>If done well, these investments</w:t>
      </w:r>
      <w:r w:rsidR="00DB366E">
        <w:t xml:space="preserve"> would durably</w:t>
      </w:r>
      <w:r w:rsidR="00E7279C">
        <w:t xml:space="preserve"> lower </w:t>
      </w:r>
      <w:r w:rsidR="00DB366E">
        <w:t xml:space="preserve">energy </w:t>
      </w:r>
      <w:r w:rsidR="00E7279C">
        <w:t>bills</w:t>
      </w:r>
      <w:r w:rsidR="00E94E53">
        <w:t>;</w:t>
      </w:r>
      <w:r w:rsidR="00E7279C">
        <w:t xml:space="preserve"> ease strains on a rapidly changing energy system</w:t>
      </w:r>
      <w:r w:rsidR="00E94E53">
        <w:t>;</w:t>
      </w:r>
      <w:r w:rsidR="00E7279C">
        <w:t xml:space="preserve"> improve health and safety during </w:t>
      </w:r>
      <w:r w:rsidR="00786F12">
        <w:t xml:space="preserve">increasingly </w:t>
      </w:r>
      <w:r w:rsidR="00396583">
        <w:t>hot</w:t>
      </w:r>
      <w:r w:rsidR="00E7279C">
        <w:t xml:space="preserve"> summers</w:t>
      </w:r>
      <w:r w:rsidR="00E94E53">
        <w:t>;</w:t>
      </w:r>
      <w:r w:rsidR="00E7279C">
        <w:t xml:space="preserve"> </w:t>
      </w:r>
      <w:r w:rsidR="00396583">
        <w:t>boost</w:t>
      </w:r>
      <w:r w:rsidR="005B6D1D">
        <w:t xml:space="preserve"> the </w:t>
      </w:r>
      <w:r w:rsidR="00177DCF">
        <w:t xml:space="preserve">competitiveness of </w:t>
      </w:r>
      <w:r w:rsidR="00022BCF">
        <w:t>local manufactur</w:t>
      </w:r>
      <w:r w:rsidR="002B133C">
        <w:t>ers, whose value to Australia is clearer than ever;</w:t>
      </w:r>
      <w:r w:rsidR="00022BCF">
        <w:t xml:space="preserve"> </w:t>
      </w:r>
      <w:r w:rsidR="00E4177B">
        <w:t>enable deeper</w:t>
      </w:r>
      <w:r w:rsidR="00E7279C">
        <w:t xml:space="preserve"> emissions </w:t>
      </w:r>
      <w:r w:rsidR="00E4177B">
        <w:t xml:space="preserve">cuts </w:t>
      </w:r>
      <w:r w:rsidR="00E7279C">
        <w:t>– and</w:t>
      </w:r>
      <w:r w:rsidR="00E4177B">
        <w:t xml:space="preserve"> </w:t>
      </w:r>
      <w:r w:rsidR="00E7279C">
        <w:t>sustain activity across a broad range of trades and industries</w:t>
      </w:r>
      <w:r w:rsidR="00A85A8E">
        <w:t>.</w:t>
      </w:r>
    </w:p>
    <w:p w14:paraId="5B93CEBB" w14:textId="68FDF524" w:rsidR="003D07CB" w:rsidRPr="003D07CB" w:rsidRDefault="003D07CB">
      <w:r w:rsidRPr="00593849">
        <w:t>The International Energy Agency ha</w:t>
      </w:r>
      <w:r w:rsidR="00107B86">
        <w:t>s</w:t>
      </w:r>
      <w:r w:rsidRPr="00593849">
        <w:t xml:space="preserve"> highlighted that energy efficiency upgrades are job-intensive and strongly support economic stimulus goals. </w:t>
      </w:r>
      <w:r>
        <w:t>I</w:t>
      </w:r>
      <w:r w:rsidRPr="00593849">
        <w:t>n Australia, a major drive to improve the energy efficiency of buildings and industry could deliver over 120,000 job-years of employment</w:t>
      </w:r>
      <w:r w:rsidR="003268D0">
        <w:t xml:space="preserve">. </w:t>
      </w:r>
      <w:r w:rsidR="005E433E">
        <w:t xml:space="preserve">Support for </w:t>
      </w:r>
      <w:r w:rsidR="00BF7930">
        <w:t xml:space="preserve">upgrades and new construction of </w:t>
      </w:r>
      <w:r w:rsidR="005E433E">
        <w:t xml:space="preserve">public, low income and vulnerable housing </w:t>
      </w:r>
      <w:r w:rsidR="006339F8">
        <w:t xml:space="preserve">would </w:t>
      </w:r>
      <w:r w:rsidR="006F62E5">
        <w:t xml:space="preserve">also </w:t>
      </w:r>
      <w:r w:rsidR="00917B05">
        <w:t>help</w:t>
      </w:r>
      <w:r w:rsidR="006339F8">
        <w:t xml:space="preserve"> those </w:t>
      </w:r>
      <w:r w:rsidR="00DC18E6">
        <w:t>most affected</w:t>
      </w:r>
      <w:r w:rsidR="00917B05">
        <w:t xml:space="preserve"> by </w:t>
      </w:r>
      <w:r w:rsidR="00DC18E6">
        <w:t xml:space="preserve">pandemic </w:t>
      </w:r>
      <w:r w:rsidR="00311F05">
        <w:t>restrictions</w:t>
      </w:r>
      <w:r w:rsidR="00A132D4">
        <w:t xml:space="preserve"> and</w:t>
      </w:r>
      <w:r w:rsidR="00311F05">
        <w:t xml:space="preserve"> lift their purchasing power</w:t>
      </w:r>
      <w:r w:rsidR="006339F8">
        <w:t xml:space="preserve">. Support for </w:t>
      </w:r>
      <w:r w:rsidR="00BF7930">
        <w:t xml:space="preserve">upgrades and new construction of </w:t>
      </w:r>
      <w:r w:rsidR="001E7256">
        <w:t>private housing would</w:t>
      </w:r>
      <w:r w:rsidR="0091708C">
        <w:t xml:space="preserve"> </w:t>
      </w:r>
      <w:r w:rsidR="00CE49C8">
        <w:t xml:space="preserve">also </w:t>
      </w:r>
      <w:r w:rsidR="001E7256">
        <w:t xml:space="preserve">capitalise on </w:t>
      </w:r>
      <w:r w:rsidR="0091708C">
        <w:t xml:space="preserve">people’s renewed interest in improving their homes, driving </w:t>
      </w:r>
      <w:r w:rsidR="0091708C">
        <w:lastRenderedPageBreak/>
        <w:t>additional private investment.</w:t>
      </w:r>
      <w:r w:rsidR="00CE49C8">
        <w:t xml:space="preserve"> Support for commercial and industrial </w:t>
      </w:r>
      <w:r w:rsidR="00C70DBC">
        <w:t>efficiency w</w:t>
      </w:r>
      <w:r w:rsidR="00C16887">
        <w:t>ould</w:t>
      </w:r>
      <w:r w:rsidR="00C258C1">
        <w:t xml:space="preserve"> </w:t>
      </w:r>
      <w:r w:rsidR="006F390E">
        <w:t xml:space="preserve">cut operating costs and </w:t>
      </w:r>
      <w:r w:rsidR="000E6A52">
        <w:t>make investment and employment easier to sustain.</w:t>
      </w:r>
    </w:p>
    <w:p w14:paraId="3205FEA6" w14:textId="6585610E" w:rsidR="00AB2740" w:rsidRDefault="008F2C54">
      <w:r>
        <w:t>Positive examples to build on include:</w:t>
      </w:r>
    </w:p>
    <w:p w14:paraId="3307222C" w14:textId="77777777" w:rsidR="002F5B83" w:rsidRDefault="23CDAF4E" w:rsidP="002F5B83">
      <w:pPr>
        <w:pStyle w:val="ListParagraph"/>
        <w:numPr>
          <w:ilvl w:val="0"/>
          <w:numId w:val="3"/>
        </w:numPr>
      </w:pPr>
      <w:r>
        <w:t xml:space="preserve">Housing: the </w:t>
      </w:r>
      <w:r w:rsidR="00DC48B5">
        <w:t xml:space="preserve">Clean Energy Finance </w:t>
      </w:r>
      <w:r w:rsidR="00817F56">
        <w:t xml:space="preserve">Corporation </w:t>
      </w:r>
      <w:r w:rsidR="0008114A">
        <w:t xml:space="preserve">has supported </w:t>
      </w:r>
      <w:r w:rsidR="006402E8">
        <w:t xml:space="preserve">construction of </w:t>
      </w:r>
      <w:r w:rsidR="007F690C">
        <w:t>hundreds of 7</w:t>
      </w:r>
      <w:r w:rsidR="00B33D0A">
        <w:noBreakHyphen/>
      </w:r>
      <w:r w:rsidR="007F690C">
        <w:t>star</w:t>
      </w:r>
      <w:r w:rsidR="009A5CBF">
        <w:t xml:space="preserve"> efficiency </w:t>
      </w:r>
      <w:r w:rsidR="007F690C">
        <w:t xml:space="preserve"> affordable housing units by St George Community Housing in Sydney</w:t>
      </w:r>
      <w:r w:rsidR="002F5B83">
        <w:t>, and with additional investment from New South Wales Government supported upgrades and installation of solar PVs of 700 existing units, providing energy bill savings of up to $500 per household.</w:t>
      </w:r>
    </w:p>
    <w:p w14:paraId="356742E4" w14:textId="1CF22207" w:rsidR="1CE0BD76" w:rsidRDefault="00FB25AB" w:rsidP="00FB07DE">
      <w:pPr>
        <w:pStyle w:val="ListParagraph"/>
        <w:numPr>
          <w:ilvl w:val="0"/>
          <w:numId w:val="3"/>
        </w:numPr>
      </w:pPr>
      <w:r>
        <w:t>Commercial buildings</w:t>
      </w:r>
      <w:r w:rsidR="594A5ED9">
        <w:t>:</w:t>
      </w:r>
      <w:r w:rsidR="45BDEFFB" w:rsidRPr="1CE0BD76">
        <w:rPr>
          <w:rFonts w:ascii="Calibri" w:eastAsia="Calibri" w:hAnsi="Calibri" w:cs="Calibri"/>
        </w:rPr>
        <w:t xml:space="preserve"> in 2017 the Victorian Government supported an energy upgrade to the MCG that cut its energy use by 24 per cent, enough to power 1872 houses a year.</w:t>
      </w:r>
    </w:p>
    <w:p w14:paraId="0BB8C160" w14:textId="611D6255" w:rsidR="00E624D9" w:rsidRDefault="00E624D9" w:rsidP="00FB25AB">
      <w:pPr>
        <w:pStyle w:val="ListParagraph"/>
        <w:numPr>
          <w:ilvl w:val="0"/>
          <w:numId w:val="3"/>
        </w:numPr>
      </w:pPr>
      <w:r>
        <w:t>Industry</w:t>
      </w:r>
      <w:r w:rsidR="00FB07DE">
        <w:t>:</w:t>
      </w:r>
      <w:r>
        <w:t xml:space="preserve"> </w:t>
      </w:r>
      <w:r w:rsidR="00E42FA1">
        <w:t xml:space="preserve">in 2019 </w:t>
      </w:r>
      <w:r w:rsidR="009B469A">
        <w:t xml:space="preserve">ARENA </w:t>
      </w:r>
      <w:r w:rsidR="00933F94">
        <w:t xml:space="preserve">identified already-economic opportunities to save the equivalent of 12% of </w:t>
      </w:r>
      <w:r w:rsidR="00E43AD2">
        <w:t>industrial gas use for heat.</w:t>
      </w:r>
    </w:p>
    <w:p w14:paraId="1694EC59" w14:textId="19C2D341" w:rsidR="002B0C11" w:rsidRDefault="002B0C11" w:rsidP="1CE0BD7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Government buildings</w:t>
      </w:r>
      <w:r w:rsidR="7092024D">
        <w:t xml:space="preserve">: </w:t>
      </w:r>
      <w:r w:rsidR="00E42FA1">
        <w:rPr>
          <w:rFonts w:ascii="Calibri" w:eastAsia="Calibri" w:hAnsi="Calibri" w:cs="Calibri"/>
        </w:rPr>
        <w:t>t</w:t>
      </w:r>
      <w:r w:rsidR="7092024D" w:rsidRPr="1CE0BD76">
        <w:rPr>
          <w:rFonts w:ascii="Calibri" w:eastAsia="Calibri" w:hAnsi="Calibri" w:cs="Calibri"/>
        </w:rPr>
        <w:t>he Victorian Government is investing $7 million to improve health facilities in the Mornington Peninsula region, which will improve front-line services and cut their energy bills by $1.2 million a year.</w:t>
      </w:r>
      <w:r>
        <w:t xml:space="preserve"> </w:t>
      </w:r>
    </w:p>
    <w:p w14:paraId="608230CF" w14:textId="6CC87694" w:rsidR="00E7279C" w:rsidRDefault="00C820C1" w:rsidP="4F6DD304">
      <w:r>
        <w:t xml:space="preserve">Governments should </w:t>
      </w:r>
      <w:r w:rsidR="00606F98">
        <w:t>also look for</w:t>
      </w:r>
      <w:r w:rsidR="003D0D91">
        <w:t xml:space="preserve"> other</w:t>
      </w:r>
      <w:r>
        <w:t xml:space="preserve"> options that can </w:t>
      </w:r>
      <w:r w:rsidR="00D930ED">
        <w:t xml:space="preserve">support </w:t>
      </w:r>
      <w:r w:rsidR="00C51CDB">
        <w:t xml:space="preserve">economic </w:t>
      </w:r>
      <w:r w:rsidR="00C142B8">
        <w:t>recovery</w:t>
      </w:r>
      <w:r w:rsidR="00D930ED">
        <w:t xml:space="preserve"> and energy transition. </w:t>
      </w:r>
      <w:r w:rsidR="6D1702DD">
        <w:t>The Federal and State</w:t>
      </w:r>
      <w:r w:rsidR="6D1702DD" w:rsidRPr="7E371207">
        <w:rPr>
          <w:rFonts w:ascii="Calibri" w:eastAsia="Calibri" w:hAnsi="Calibri" w:cs="Calibri"/>
        </w:rPr>
        <w:t xml:space="preserve"> Governments should integrate recovery plans with their </w:t>
      </w:r>
      <w:r w:rsidR="28D21BD7" w:rsidRPr="7E371207">
        <w:rPr>
          <w:rFonts w:ascii="Calibri" w:eastAsia="Calibri" w:hAnsi="Calibri" w:cs="Calibri"/>
        </w:rPr>
        <w:t xml:space="preserve">respective </w:t>
      </w:r>
      <w:r w:rsidR="6D1702DD" w:rsidRPr="7E371207">
        <w:rPr>
          <w:rFonts w:ascii="Calibri" w:eastAsia="Calibri" w:hAnsi="Calibri" w:cs="Calibri"/>
        </w:rPr>
        <w:t xml:space="preserve">clean </w:t>
      </w:r>
      <w:r w:rsidR="4926D533" w:rsidRPr="7E371207">
        <w:rPr>
          <w:rFonts w:ascii="Calibri" w:eastAsia="Calibri" w:hAnsi="Calibri" w:cs="Calibri"/>
        </w:rPr>
        <w:t xml:space="preserve">technology </w:t>
      </w:r>
      <w:r w:rsidR="004C525D">
        <w:rPr>
          <w:rFonts w:ascii="Calibri" w:eastAsia="Calibri" w:hAnsi="Calibri" w:cs="Calibri"/>
        </w:rPr>
        <w:t xml:space="preserve">roadmaps </w:t>
      </w:r>
      <w:r w:rsidR="4926D533" w:rsidRPr="7E371207">
        <w:rPr>
          <w:rFonts w:ascii="Calibri" w:eastAsia="Calibri" w:hAnsi="Calibri" w:cs="Calibri"/>
        </w:rPr>
        <w:t xml:space="preserve">and long term emissions strategies, </w:t>
      </w:r>
      <w:r w:rsidR="6D1702DD" w:rsidRPr="7E371207">
        <w:rPr>
          <w:rFonts w:ascii="Calibri" w:eastAsia="Calibri" w:hAnsi="Calibri" w:cs="Calibri"/>
        </w:rPr>
        <w:t>grid modernisation planning</w:t>
      </w:r>
      <w:r w:rsidR="00ED68F4">
        <w:rPr>
          <w:rFonts w:ascii="Calibri" w:eastAsia="Calibri" w:hAnsi="Calibri" w:cs="Calibri"/>
        </w:rPr>
        <w:t>, carbon farming development</w:t>
      </w:r>
      <w:r w:rsidR="6D1702DD" w:rsidRPr="7E371207">
        <w:rPr>
          <w:rFonts w:ascii="Calibri" w:eastAsia="Calibri" w:hAnsi="Calibri" w:cs="Calibri"/>
        </w:rPr>
        <w:t xml:space="preserve"> and bushfire recovery to build greater resilience and reduce climate risk.</w:t>
      </w:r>
      <w:r w:rsidR="6D1702DD">
        <w:t xml:space="preserve"> </w:t>
      </w:r>
    </w:p>
    <w:p w14:paraId="11EE9A6D" w14:textId="1A9EC2F7" w:rsidR="00E7279C" w:rsidRDefault="00006B94" w:rsidP="00BB69A6">
      <w:r>
        <w:t>Investments will work best with</w:t>
      </w:r>
      <w:r w:rsidR="00E7279C">
        <w:t xml:space="preserve"> careful design</w:t>
      </w:r>
      <w:r w:rsidR="00CD6D27">
        <w:t xml:space="preserve"> and </w:t>
      </w:r>
      <w:r w:rsidR="002052A6">
        <w:t>discussion</w:t>
      </w:r>
      <w:r w:rsidR="00E7279C">
        <w:t xml:space="preserve"> with </w:t>
      </w:r>
      <w:r w:rsidR="00CD6D27">
        <w:t>regulators, business and the community</w:t>
      </w:r>
      <w:r w:rsidR="00BB69A6">
        <w:t>.</w:t>
      </w:r>
      <w:r w:rsidR="002B7896">
        <w:t xml:space="preserve"> </w:t>
      </w:r>
      <w:r w:rsidR="00DA25A2">
        <w:t xml:space="preserve">Equity </w:t>
      </w:r>
      <w:r w:rsidR="00CE1A5A">
        <w:t xml:space="preserve">and accessibility are essential to ensure that the most vulnerable </w:t>
      </w:r>
      <w:r w:rsidR="00E94E16">
        <w:t>benefit fully.</w:t>
      </w:r>
    </w:p>
    <w:p w14:paraId="289CE25F" w14:textId="58B07DE5" w:rsidR="00E7279C" w:rsidRDefault="00A85A8E">
      <w:r>
        <w:t xml:space="preserve">We are confident that </w:t>
      </w:r>
      <w:r w:rsidR="00C01E2D">
        <w:t xml:space="preserve">smart, swift and sustained </w:t>
      </w:r>
      <w:r>
        <w:t xml:space="preserve">responses can speed the recovery and put </w:t>
      </w:r>
      <w:r w:rsidR="00C01E2D">
        <w:t xml:space="preserve">Australia’s </w:t>
      </w:r>
      <w:r>
        <w:t>future growth on stronger foundations.</w:t>
      </w:r>
    </w:p>
    <w:p w14:paraId="1D1746FD" w14:textId="32270927" w:rsidR="7E371207" w:rsidRDefault="0BC51F38" w:rsidP="27B89B85">
      <w:pPr>
        <w:rPr>
          <w:b/>
          <w:bCs/>
          <w:i/>
          <w:iCs/>
        </w:rPr>
      </w:pPr>
      <w:r w:rsidRPr="27B89B85">
        <w:rPr>
          <w:b/>
          <w:bCs/>
          <w:i/>
          <w:iCs/>
        </w:rPr>
        <w:t>Endorsed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77B9" w14:paraId="16A18F58" w14:textId="77777777" w:rsidTr="00ED26F6">
        <w:tc>
          <w:tcPr>
            <w:tcW w:w="3116" w:type="dxa"/>
          </w:tcPr>
          <w:p w14:paraId="0FE95CA1" w14:textId="6423A9E2" w:rsidR="00F70438" w:rsidRPr="005142DA" w:rsidRDefault="006B5762" w:rsidP="7E371207">
            <w:pPr>
              <w:rPr>
                <w:b/>
                <w:bCs/>
              </w:rPr>
            </w:pPr>
            <w:r w:rsidRPr="5773EE0A">
              <w:rPr>
                <w:b/>
                <w:bCs/>
              </w:rPr>
              <w:t>Kelly O’Shanassy</w:t>
            </w:r>
          </w:p>
          <w:p w14:paraId="3A9D02C8" w14:textId="72A2C771" w:rsidR="00F70438" w:rsidRDefault="00F70438" w:rsidP="7E371207">
            <w:r>
              <w:t>C</w:t>
            </w:r>
            <w:r w:rsidR="004B2D46">
              <w:t>EO</w:t>
            </w:r>
          </w:p>
          <w:p w14:paraId="6302AE79" w14:textId="01E1ED72" w:rsidR="00F70438" w:rsidRPr="005142DA" w:rsidRDefault="00F70438" w:rsidP="00F70438">
            <w:r w:rsidRPr="005142DA">
              <w:t>Australian Conservation Foundation</w:t>
            </w:r>
          </w:p>
          <w:p w14:paraId="2211FA0C" w14:textId="597539C2" w:rsidR="00B270E5" w:rsidRPr="00B270E5" w:rsidRDefault="00B270E5" w:rsidP="7E371207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BE7EA41" w14:textId="10B9BD53" w:rsidR="005142DA" w:rsidRPr="005142DA" w:rsidRDefault="004B2D46" w:rsidP="005142DA">
            <w:pPr>
              <w:rPr>
                <w:b/>
                <w:bCs/>
              </w:rPr>
            </w:pPr>
            <w:r>
              <w:rPr>
                <w:b/>
                <w:bCs/>
              </w:rPr>
              <w:t>Cassandra Goldie</w:t>
            </w:r>
          </w:p>
          <w:p w14:paraId="6B12A6DD" w14:textId="14FCEF5C" w:rsidR="005142DA" w:rsidRDefault="005142DA" w:rsidP="005142DA">
            <w:r>
              <w:t>C</w:t>
            </w:r>
            <w:r w:rsidR="00D0658B">
              <w:t>EO</w:t>
            </w:r>
          </w:p>
          <w:p w14:paraId="459851AA" w14:textId="01199140" w:rsidR="005142DA" w:rsidRPr="005142DA" w:rsidRDefault="005142DA" w:rsidP="005142DA">
            <w:r w:rsidRPr="005142DA">
              <w:t xml:space="preserve">Australian </w:t>
            </w:r>
            <w:r w:rsidR="00D0658B">
              <w:t>Council of Social Service</w:t>
            </w:r>
          </w:p>
          <w:p w14:paraId="26B25FEC" w14:textId="77777777" w:rsidR="001477B9" w:rsidRDefault="001477B9" w:rsidP="7E371207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F81B774" w14:textId="72AED63F" w:rsidR="005142DA" w:rsidRPr="005142DA" w:rsidRDefault="00565FC2" w:rsidP="005142DA">
            <w:pPr>
              <w:rPr>
                <w:b/>
                <w:bCs/>
              </w:rPr>
            </w:pPr>
            <w:r>
              <w:rPr>
                <w:b/>
                <w:bCs/>
              </w:rPr>
              <w:t>Michele O’Neil</w:t>
            </w:r>
          </w:p>
          <w:p w14:paraId="2E67CF08" w14:textId="0F8E5241" w:rsidR="005142DA" w:rsidRDefault="00565FC2" w:rsidP="005142DA">
            <w:r>
              <w:t>President</w:t>
            </w:r>
          </w:p>
          <w:p w14:paraId="5F7E4357" w14:textId="1673B5E3" w:rsidR="005142DA" w:rsidRPr="005142DA" w:rsidRDefault="005142DA" w:rsidP="005142DA">
            <w:r w:rsidRPr="005142DA">
              <w:t>Australian C</w:t>
            </w:r>
            <w:r w:rsidR="00565FC2">
              <w:t>ouncil of Trade Unions</w:t>
            </w:r>
          </w:p>
          <w:p w14:paraId="2416B81A" w14:textId="77777777" w:rsidR="001477B9" w:rsidRDefault="001477B9" w:rsidP="7E371207">
            <w:pPr>
              <w:rPr>
                <w:i/>
                <w:iCs/>
              </w:rPr>
            </w:pPr>
          </w:p>
        </w:tc>
      </w:tr>
      <w:tr w:rsidR="001477B9" w14:paraId="4526032F" w14:textId="77777777" w:rsidTr="00ED26F6">
        <w:tc>
          <w:tcPr>
            <w:tcW w:w="3116" w:type="dxa"/>
          </w:tcPr>
          <w:p w14:paraId="09EA4DDB" w14:textId="374C10AA" w:rsidR="005142DA" w:rsidRPr="005142DA" w:rsidRDefault="0030455F" w:rsidP="005142DA">
            <w:pPr>
              <w:rPr>
                <w:b/>
                <w:bCs/>
              </w:rPr>
            </w:pPr>
            <w:r>
              <w:rPr>
                <w:b/>
                <w:bCs/>
              </w:rPr>
              <w:t>Sarah McNamara</w:t>
            </w:r>
          </w:p>
          <w:p w14:paraId="7CB97796" w14:textId="77777777" w:rsidR="005142DA" w:rsidRDefault="005142DA" w:rsidP="005142DA">
            <w:r>
              <w:t>Chief Executive</w:t>
            </w:r>
          </w:p>
          <w:p w14:paraId="722DBC10" w14:textId="03094221" w:rsidR="005142DA" w:rsidRPr="005142DA" w:rsidRDefault="005142DA" w:rsidP="005142DA">
            <w:r w:rsidRPr="005142DA">
              <w:t xml:space="preserve">Australian </w:t>
            </w:r>
            <w:r w:rsidR="0030455F">
              <w:t>Energy Council</w:t>
            </w:r>
          </w:p>
          <w:p w14:paraId="4F04EAE6" w14:textId="77777777" w:rsidR="001477B9" w:rsidRDefault="001477B9" w:rsidP="7E371207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5F949457" w14:textId="35625C77" w:rsidR="005142DA" w:rsidRPr="005142DA" w:rsidRDefault="00971B17" w:rsidP="005142DA">
            <w:pPr>
              <w:rPr>
                <w:b/>
                <w:bCs/>
              </w:rPr>
            </w:pPr>
            <w:r>
              <w:rPr>
                <w:b/>
                <w:bCs/>
              </w:rPr>
              <w:t>Innes Willox</w:t>
            </w:r>
          </w:p>
          <w:p w14:paraId="620BC869" w14:textId="77777777" w:rsidR="005142DA" w:rsidRDefault="005142DA" w:rsidP="005142DA">
            <w:r>
              <w:t>Chief Executive</w:t>
            </w:r>
          </w:p>
          <w:p w14:paraId="7914592E" w14:textId="1983732F" w:rsidR="005142DA" w:rsidRPr="005142DA" w:rsidRDefault="005142DA" w:rsidP="005142DA">
            <w:r w:rsidRPr="005142DA">
              <w:t xml:space="preserve">Australian </w:t>
            </w:r>
            <w:r w:rsidR="00971B17">
              <w:t>Industry Group</w:t>
            </w:r>
          </w:p>
          <w:p w14:paraId="0AB461C9" w14:textId="77777777" w:rsidR="001477B9" w:rsidRDefault="001477B9" w:rsidP="7E371207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CAE2F47" w14:textId="6FA7EA04" w:rsidR="005142DA" w:rsidRPr="005142DA" w:rsidRDefault="00F22815" w:rsidP="005142DA">
            <w:pPr>
              <w:rPr>
                <w:b/>
                <w:bCs/>
              </w:rPr>
            </w:pPr>
            <w:r>
              <w:rPr>
                <w:b/>
                <w:bCs/>
              </w:rPr>
              <w:t>Conny Lenneberg</w:t>
            </w:r>
          </w:p>
          <w:p w14:paraId="61586A1E" w14:textId="6425A8CE" w:rsidR="005142DA" w:rsidRDefault="00F22815" w:rsidP="005142DA">
            <w:r>
              <w:t>Executive Director</w:t>
            </w:r>
          </w:p>
          <w:p w14:paraId="17EBEB00" w14:textId="7131EEED" w:rsidR="005142DA" w:rsidRPr="005142DA" w:rsidRDefault="00971B17" w:rsidP="005142DA">
            <w:r>
              <w:t>Brotherhood of St Laurence</w:t>
            </w:r>
          </w:p>
          <w:p w14:paraId="45180288" w14:textId="77777777" w:rsidR="001477B9" w:rsidRDefault="001477B9" w:rsidP="7E371207">
            <w:pPr>
              <w:rPr>
                <w:i/>
                <w:iCs/>
              </w:rPr>
            </w:pPr>
          </w:p>
        </w:tc>
      </w:tr>
      <w:tr w:rsidR="001477B9" w14:paraId="5A3A5AEA" w14:textId="77777777" w:rsidTr="00ED26F6">
        <w:tc>
          <w:tcPr>
            <w:tcW w:w="3116" w:type="dxa"/>
          </w:tcPr>
          <w:p w14:paraId="50A31A45" w14:textId="4B2BC1EF" w:rsidR="005142DA" w:rsidRPr="005142DA" w:rsidRDefault="005A08AA" w:rsidP="005142DA">
            <w:pPr>
              <w:rPr>
                <w:b/>
                <w:bCs/>
              </w:rPr>
            </w:pPr>
            <w:r>
              <w:rPr>
                <w:b/>
                <w:bCs/>
              </w:rPr>
              <w:t>Jennifer Westacott</w:t>
            </w:r>
          </w:p>
          <w:p w14:paraId="1C33968B" w14:textId="039640F8" w:rsidR="005142DA" w:rsidRDefault="005142DA" w:rsidP="005142DA">
            <w:r>
              <w:t>C</w:t>
            </w:r>
            <w:r w:rsidR="0073689D">
              <w:t>EO</w:t>
            </w:r>
          </w:p>
          <w:p w14:paraId="0223254C" w14:textId="03FB49B6" w:rsidR="005142DA" w:rsidRPr="005142DA" w:rsidRDefault="0073689D" w:rsidP="005142DA">
            <w:r>
              <w:t>Business Council of Australia</w:t>
            </w:r>
          </w:p>
          <w:p w14:paraId="5E54EB81" w14:textId="77777777" w:rsidR="001477B9" w:rsidRDefault="001477B9" w:rsidP="7E371207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35263B87" w14:textId="42F68259" w:rsidR="001477B9" w:rsidRDefault="19A696AF" w:rsidP="16A5749A">
            <w:pPr>
              <w:rPr>
                <w:b/>
                <w:bCs/>
              </w:rPr>
            </w:pPr>
            <w:r w:rsidRPr="16A5749A">
              <w:rPr>
                <w:b/>
                <w:bCs/>
              </w:rPr>
              <w:t>John Connor</w:t>
            </w:r>
          </w:p>
          <w:p w14:paraId="2FECD5FB" w14:textId="258B565F" w:rsidR="001477B9" w:rsidRDefault="19A696AF" w:rsidP="7E371207">
            <w:r>
              <w:t>CEO</w:t>
            </w:r>
          </w:p>
          <w:p w14:paraId="636D7EDC" w14:textId="597B9BC2" w:rsidR="001477B9" w:rsidRDefault="19A696AF" w:rsidP="7E371207">
            <w:r>
              <w:t>Carbon Market Institute</w:t>
            </w:r>
          </w:p>
          <w:p w14:paraId="7ADB8E00" w14:textId="412AB6B5" w:rsidR="001477B9" w:rsidRDefault="001477B9" w:rsidP="16A5749A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444FFC1" w14:textId="582A809F" w:rsidR="001477B9" w:rsidRDefault="4F308469" w:rsidP="16A5749A">
            <w:pPr>
              <w:rPr>
                <w:b/>
                <w:bCs/>
              </w:rPr>
            </w:pPr>
            <w:r w:rsidRPr="16A5749A">
              <w:rPr>
                <w:b/>
                <w:bCs/>
              </w:rPr>
              <w:t>Luke Menzel</w:t>
            </w:r>
          </w:p>
          <w:p w14:paraId="2C207B2D" w14:textId="258B565F" w:rsidR="001477B9" w:rsidRDefault="4F308469" w:rsidP="7E371207">
            <w:r>
              <w:t>CEO</w:t>
            </w:r>
          </w:p>
          <w:p w14:paraId="1F1FAB49" w14:textId="560D7846" w:rsidR="001477B9" w:rsidRDefault="4F308469" w:rsidP="7E371207">
            <w:r>
              <w:t>Energy Efficiency Council</w:t>
            </w:r>
          </w:p>
          <w:p w14:paraId="53E3838B" w14:textId="6DEE2744" w:rsidR="001477B9" w:rsidRDefault="001477B9" w:rsidP="16A5749A">
            <w:pPr>
              <w:rPr>
                <w:i/>
                <w:iCs/>
              </w:rPr>
            </w:pPr>
          </w:p>
        </w:tc>
      </w:tr>
      <w:tr w:rsidR="001477B9" w14:paraId="167ECE2F" w14:textId="77777777" w:rsidTr="00ED26F6">
        <w:tc>
          <w:tcPr>
            <w:tcW w:w="3116" w:type="dxa"/>
          </w:tcPr>
          <w:p w14:paraId="40997094" w14:textId="59EF27C4" w:rsidR="001477B9" w:rsidRDefault="4E6807E5" w:rsidP="16A5749A">
            <w:pPr>
              <w:rPr>
                <w:b/>
                <w:bCs/>
              </w:rPr>
            </w:pPr>
            <w:r w:rsidRPr="16A5749A">
              <w:rPr>
                <w:b/>
                <w:bCs/>
              </w:rPr>
              <w:t>Andrew Richards</w:t>
            </w:r>
          </w:p>
          <w:p w14:paraId="5AFF35B4" w14:textId="77777777" w:rsidR="001477B9" w:rsidRDefault="4E6807E5" w:rsidP="16A5749A">
            <w:r>
              <w:t>CEO</w:t>
            </w:r>
          </w:p>
          <w:p w14:paraId="3374F7EB" w14:textId="65593894" w:rsidR="001477B9" w:rsidRDefault="4E6807E5" w:rsidP="16A5749A">
            <w:r>
              <w:t>Energy Users’ Association of Australia</w:t>
            </w:r>
          </w:p>
          <w:p w14:paraId="0BBEA0AC" w14:textId="144C4BA9" w:rsidR="001477B9" w:rsidRDefault="001477B9" w:rsidP="5773EE0A"/>
        </w:tc>
        <w:tc>
          <w:tcPr>
            <w:tcW w:w="3117" w:type="dxa"/>
          </w:tcPr>
          <w:p w14:paraId="15AD3FDE" w14:textId="495A07FA" w:rsidR="001477B9" w:rsidRDefault="47764BFC" w:rsidP="16A5749A">
            <w:pPr>
              <w:rPr>
                <w:b/>
                <w:bCs/>
              </w:rPr>
            </w:pPr>
            <w:r w:rsidRPr="16A5749A">
              <w:rPr>
                <w:b/>
                <w:bCs/>
              </w:rPr>
              <w:t>Emma Herd</w:t>
            </w:r>
          </w:p>
          <w:p w14:paraId="4D8BA6D1" w14:textId="77777777" w:rsidR="001477B9" w:rsidRDefault="47764BFC" w:rsidP="16A5749A">
            <w:r>
              <w:t>CEO</w:t>
            </w:r>
          </w:p>
          <w:p w14:paraId="4DE79105" w14:textId="48F6B4B0" w:rsidR="001477B9" w:rsidRDefault="47764BFC" w:rsidP="16A5749A">
            <w:pPr>
              <w:rPr>
                <w:i/>
                <w:iCs/>
              </w:rPr>
            </w:pPr>
            <w:r>
              <w:t>Investor Group on Climate Change</w:t>
            </w:r>
          </w:p>
          <w:p w14:paraId="2B269BE9" w14:textId="050CB693" w:rsidR="001477B9" w:rsidRDefault="001477B9" w:rsidP="16A5749A"/>
        </w:tc>
        <w:tc>
          <w:tcPr>
            <w:tcW w:w="3117" w:type="dxa"/>
          </w:tcPr>
          <w:p w14:paraId="50E52E50" w14:textId="419A2EDC" w:rsidR="007B2F42" w:rsidRDefault="004F176D" w:rsidP="007B2F42">
            <w:pPr>
              <w:rPr>
                <w:i/>
                <w:iCs/>
              </w:rPr>
            </w:pPr>
            <w:r>
              <w:rPr>
                <w:b/>
                <w:bCs/>
              </w:rPr>
              <w:t>Malcolm Richards</w:t>
            </w:r>
          </w:p>
          <w:p w14:paraId="032EA662" w14:textId="7C5BC47C" w:rsidR="007B2F42" w:rsidRDefault="007B2F42" w:rsidP="007B2F42">
            <w:pPr>
              <w:rPr>
                <w:b/>
                <w:bCs/>
              </w:rPr>
            </w:pPr>
            <w:r w:rsidRPr="16A5749A">
              <w:t>C</w:t>
            </w:r>
            <w:r w:rsidR="004F176D">
              <w:t>EO</w:t>
            </w:r>
          </w:p>
          <w:p w14:paraId="2FB19F9F" w14:textId="6A926839" w:rsidR="007B2F42" w:rsidRDefault="004F176D" w:rsidP="007B2F42">
            <w:r>
              <w:t>Master Electricians Australia</w:t>
            </w:r>
          </w:p>
          <w:p w14:paraId="033800AE" w14:textId="6EDDDFF2" w:rsidR="001477B9" w:rsidRDefault="001477B9" w:rsidP="007B2F42">
            <w:pPr>
              <w:rPr>
                <w:i/>
                <w:iCs/>
              </w:rPr>
            </w:pPr>
          </w:p>
        </w:tc>
      </w:tr>
      <w:tr w:rsidR="5773EE0A" w14:paraId="678A845A" w14:textId="77777777" w:rsidTr="00ED26F6">
        <w:tc>
          <w:tcPr>
            <w:tcW w:w="3116" w:type="dxa"/>
          </w:tcPr>
          <w:p w14:paraId="3923D04B" w14:textId="77777777" w:rsidR="007B2F42" w:rsidRDefault="007B2F42" w:rsidP="007B2F42">
            <w:pPr>
              <w:rPr>
                <w:i/>
                <w:iCs/>
              </w:rPr>
            </w:pPr>
            <w:r w:rsidRPr="16A5749A">
              <w:rPr>
                <w:b/>
                <w:bCs/>
              </w:rPr>
              <w:t>Ken Morrison</w:t>
            </w:r>
          </w:p>
          <w:p w14:paraId="2DFAA54A" w14:textId="77777777" w:rsidR="007B2F42" w:rsidRDefault="007B2F42" w:rsidP="007B2F42">
            <w:pPr>
              <w:rPr>
                <w:b/>
                <w:bCs/>
              </w:rPr>
            </w:pPr>
            <w:r w:rsidRPr="16A5749A">
              <w:t>Chief Executive</w:t>
            </w:r>
          </w:p>
          <w:p w14:paraId="03A3CBC6" w14:textId="77777777" w:rsidR="007B2F42" w:rsidRDefault="007B2F42" w:rsidP="007B2F42">
            <w:r w:rsidRPr="16A5749A">
              <w:t>Property Council of Australia</w:t>
            </w:r>
          </w:p>
          <w:p w14:paraId="7D5F9F6E" w14:textId="6E9B8E2F" w:rsidR="5773EE0A" w:rsidRDefault="5773EE0A" w:rsidP="007B2F4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2626509" w14:textId="77777777" w:rsidR="007B2F42" w:rsidRDefault="007B2F42" w:rsidP="007B2F42">
            <w:pPr>
              <w:rPr>
                <w:b/>
                <w:bCs/>
              </w:rPr>
            </w:pPr>
            <w:r w:rsidRPr="16A5749A">
              <w:rPr>
                <w:b/>
                <w:bCs/>
              </w:rPr>
              <w:lastRenderedPageBreak/>
              <w:t>Toby oConnor</w:t>
            </w:r>
          </w:p>
          <w:p w14:paraId="43CB09CC" w14:textId="77777777" w:rsidR="007B2F42" w:rsidRDefault="007B2F42" w:rsidP="007B2F42">
            <w:r>
              <w:t>National Council CEO</w:t>
            </w:r>
          </w:p>
          <w:p w14:paraId="5F43B6F1" w14:textId="77777777" w:rsidR="007B2F42" w:rsidRDefault="007B2F42" w:rsidP="007B2F42">
            <w:r>
              <w:t>St Vincent de Paul Society</w:t>
            </w:r>
          </w:p>
          <w:p w14:paraId="494BE77E" w14:textId="05555E31" w:rsidR="5773EE0A" w:rsidRDefault="5773EE0A" w:rsidP="007B2F4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C2C922D" w14:textId="77777777" w:rsidR="007B2F42" w:rsidRDefault="007B2F42" w:rsidP="007B2F42">
            <w:pPr>
              <w:rPr>
                <w:b/>
                <w:bCs/>
              </w:rPr>
            </w:pPr>
            <w:r w:rsidRPr="16A5749A">
              <w:rPr>
                <w:b/>
                <w:bCs/>
              </w:rPr>
              <w:lastRenderedPageBreak/>
              <w:t>Dermot O’Gorman</w:t>
            </w:r>
          </w:p>
          <w:p w14:paraId="24F082DE" w14:textId="77777777" w:rsidR="007B2F42" w:rsidRDefault="007B2F42" w:rsidP="007B2F42">
            <w:r>
              <w:t>CEO</w:t>
            </w:r>
          </w:p>
          <w:p w14:paraId="39D9532B" w14:textId="77777777" w:rsidR="007B2F42" w:rsidRDefault="007B2F42" w:rsidP="007B2F42">
            <w:r>
              <w:t>WWF-Australia</w:t>
            </w:r>
          </w:p>
          <w:p w14:paraId="03ABC798" w14:textId="6D687832" w:rsidR="5773EE0A" w:rsidRDefault="5773EE0A" w:rsidP="5773EE0A">
            <w:pPr>
              <w:rPr>
                <w:b/>
                <w:bCs/>
              </w:rPr>
            </w:pPr>
          </w:p>
        </w:tc>
      </w:tr>
    </w:tbl>
    <w:p w14:paraId="37CCDFEA" w14:textId="49C9875A" w:rsidR="005923E9" w:rsidRDefault="005923E9" w:rsidP="00863464">
      <w:pPr>
        <w:rPr>
          <w:i/>
          <w:iCs/>
        </w:rPr>
      </w:pPr>
    </w:p>
    <w:p w14:paraId="01238E00" w14:textId="49B6D3FF" w:rsidR="00A27795" w:rsidRDefault="009D0ECF" w:rsidP="00863464">
      <w:pPr>
        <w:rPr>
          <w:i/>
          <w:iCs/>
        </w:rPr>
      </w:pPr>
      <w:r>
        <w:rPr>
          <w:i/>
          <w:iCs/>
        </w:rPr>
        <w:t>Contact individual organisations for comment</w:t>
      </w:r>
      <w:r w:rsidR="000639DA">
        <w:rPr>
          <w:i/>
          <w:iCs/>
        </w:rPr>
        <w:t>:</w:t>
      </w:r>
    </w:p>
    <w:p w14:paraId="7003FD83" w14:textId="485A8964" w:rsidR="00A10611" w:rsidRPr="00A10611" w:rsidRDefault="000B0031" w:rsidP="00A10611">
      <w:pPr>
        <w:rPr>
          <w:rFonts w:ascii="Calibri" w:eastAsia="Times New Roman" w:hAnsi="Calibri" w:cs="Calibri"/>
          <w:color w:val="000000"/>
          <w:lang w:eastAsia="en-AU"/>
        </w:rPr>
      </w:pPr>
      <w:r w:rsidRPr="00721ADB">
        <w:rPr>
          <w:rFonts w:cstheme="minorHAnsi"/>
          <w:i/>
          <w:iCs/>
        </w:rPr>
        <w:t>Australian Conservation Foundation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A10611" w:rsidRPr="00A10611">
        <w:rPr>
          <w:rFonts w:ascii="Calibri" w:eastAsia="Times New Roman" w:hAnsi="Calibri" w:cs="Calibri"/>
          <w:color w:val="000000"/>
          <w:lang w:eastAsia="en-AU"/>
        </w:rPr>
        <w:t>Josh Meadows, 0439 342 992</w:t>
      </w:r>
    </w:p>
    <w:p w14:paraId="03382859" w14:textId="679B341E" w:rsidR="000B0031" w:rsidRPr="00721ADB" w:rsidRDefault="000B0031" w:rsidP="000B0031">
      <w:pPr>
        <w:rPr>
          <w:rFonts w:eastAsia="Times New Roman" w:cstheme="minorHAnsi"/>
          <w:color w:val="000000"/>
          <w:lang w:eastAsia="en-AU"/>
        </w:rPr>
      </w:pPr>
      <w:r w:rsidRPr="00721ADB">
        <w:rPr>
          <w:rFonts w:cstheme="minorHAnsi"/>
          <w:i/>
          <w:iCs/>
        </w:rPr>
        <w:t>Australian Council of Social Service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703D14" w:rsidRPr="00721ADB">
        <w:rPr>
          <w:rFonts w:eastAsia="Times New Roman" w:cstheme="minorHAnsi"/>
          <w:color w:val="000000"/>
          <w:lang w:eastAsia="en-AU"/>
        </w:rPr>
        <w:t>Monique Vandeleur, 0419 626 155</w:t>
      </w:r>
    </w:p>
    <w:p w14:paraId="783FF940" w14:textId="4A500B11" w:rsidR="000A573A" w:rsidRPr="00721ADB" w:rsidRDefault="000B0031" w:rsidP="000A573A">
      <w:pPr>
        <w:rPr>
          <w:rFonts w:eastAsia="Times New Roman" w:cstheme="minorHAnsi"/>
          <w:color w:val="000000"/>
          <w:lang w:eastAsia="en-AU"/>
        </w:rPr>
      </w:pPr>
      <w:r w:rsidRPr="00721ADB">
        <w:rPr>
          <w:rFonts w:cstheme="minorHAnsi"/>
          <w:i/>
          <w:iCs/>
        </w:rPr>
        <w:t>Australian Council of Trade Unions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0A573A" w:rsidRPr="00721ADB">
        <w:rPr>
          <w:rFonts w:eastAsia="Times New Roman" w:cstheme="minorHAnsi"/>
          <w:color w:val="000000"/>
          <w:lang w:eastAsia="en-AU"/>
        </w:rPr>
        <w:t>Peter Green, 0400 764 200</w:t>
      </w:r>
    </w:p>
    <w:p w14:paraId="5352CBCE" w14:textId="304748BA" w:rsidR="002A14BE" w:rsidRPr="00721ADB" w:rsidRDefault="000B0031" w:rsidP="002A14BE">
      <w:pPr>
        <w:rPr>
          <w:rFonts w:eastAsia="Times New Roman" w:cstheme="minorHAnsi"/>
          <w:color w:val="000000"/>
          <w:lang w:eastAsia="en-AU"/>
        </w:rPr>
      </w:pPr>
      <w:r w:rsidRPr="00721ADB">
        <w:rPr>
          <w:rFonts w:cstheme="minorHAnsi"/>
          <w:i/>
          <w:iCs/>
        </w:rPr>
        <w:t>Australian Energy Council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13506F" w:rsidRPr="00721ADB">
        <w:rPr>
          <w:rFonts w:cstheme="minorHAnsi"/>
        </w:rPr>
        <w:t>Carl Kitchen</w:t>
      </w:r>
      <w:r w:rsidR="00FE581B" w:rsidRPr="00721ADB">
        <w:rPr>
          <w:rFonts w:cstheme="minorHAnsi"/>
        </w:rPr>
        <w:t xml:space="preserve">, </w:t>
      </w:r>
      <w:r w:rsidR="002A14BE" w:rsidRPr="00721ADB">
        <w:rPr>
          <w:rFonts w:cstheme="minorHAnsi"/>
        </w:rPr>
        <w:t>0401 691 342</w:t>
      </w:r>
    </w:p>
    <w:p w14:paraId="1809B706" w14:textId="41981AF7" w:rsidR="000B0031" w:rsidRPr="00721ADB" w:rsidRDefault="000B0031" w:rsidP="000B0031">
      <w:pPr>
        <w:rPr>
          <w:rFonts w:cstheme="minorHAnsi"/>
        </w:rPr>
      </w:pPr>
      <w:r w:rsidRPr="00721ADB">
        <w:rPr>
          <w:rFonts w:cstheme="minorHAnsi"/>
          <w:i/>
          <w:iCs/>
        </w:rPr>
        <w:t>Australian Industry Group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5222C5" w:rsidRPr="00721ADB">
        <w:rPr>
          <w:rFonts w:cstheme="minorHAnsi"/>
        </w:rPr>
        <w:t xml:space="preserve">Anthony Melville, </w:t>
      </w:r>
      <w:r w:rsidR="00453A4C" w:rsidRPr="00721ADB">
        <w:rPr>
          <w:rFonts w:cstheme="minorHAnsi"/>
        </w:rPr>
        <w:t>0419 190 347</w:t>
      </w:r>
    </w:p>
    <w:p w14:paraId="34ADE214" w14:textId="43994647" w:rsidR="00453A4C" w:rsidRPr="00721ADB" w:rsidRDefault="000B0031" w:rsidP="00453A4C">
      <w:pPr>
        <w:rPr>
          <w:rFonts w:cstheme="minorHAnsi"/>
          <w:color w:val="000000"/>
        </w:rPr>
      </w:pPr>
      <w:r w:rsidRPr="00721ADB">
        <w:rPr>
          <w:rFonts w:cstheme="minorHAnsi"/>
          <w:i/>
          <w:iCs/>
        </w:rPr>
        <w:t>Brotherhood of St Laurence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453A4C" w:rsidRPr="00721ADB">
        <w:rPr>
          <w:rFonts w:cstheme="minorHAnsi"/>
        </w:rPr>
        <w:t>Bridie Riordan, 0491 159 256</w:t>
      </w:r>
    </w:p>
    <w:p w14:paraId="0A50C79A" w14:textId="77777777" w:rsidR="005222C5" w:rsidRPr="00721ADB" w:rsidRDefault="000B0031" w:rsidP="005222C5">
      <w:pPr>
        <w:rPr>
          <w:rFonts w:cstheme="minorHAnsi"/>
        </w:rPr>
      </w:pPr>
      <w:r w:rsidRPr="00721ADB">
        <w:rPr>
          <w:rFonts w:cstheme="minorHAnsi"/>
          <w:i/>
          <w:iCs/>
        </w:rPr>
        <w:t>Business Council of Australia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5222C5" w:rsidRPr="00721ADB">
        <w:rPr>
          <w:rFonts w:cstheme="minorHAnsi"/>
        </w:rPr>
        <w:t>Rheuben Freelander, 0417 814 904</w:t>
      </w:r>
    </w:p>
    <w:p w14:paraId="79E8C34F" w14:textId="667E7689" w:rsidR="00F47495" w:rsidRPr="00721ADB" w:rsidRDefault="000B0031" w:rsidP="00F47495">
      <w:pPr>
        <w:rPr>
          <w:rFonts w:eastAsia="Times New Roman" w:cstheme="minorHAnsi"/>
          <w:color w:val="000000"/>
          <w:sz w:val="20"/>
          <w:szCs w:val="20"/>
          <w:lang w:eastAsia="en-AU"/>
        </w:rPr>
      </w:pPr>
      <w:r w:rsidRPr="00721ADB">
        <w:rPr>
          <w:rFonts w:cstheme="minorHAnsi"/>
          <w:i/>
          <w:iCs/>
        </w:rPr>
        <w:t>Carbon Markets Institute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F47495" w:rsidRPr="00721ADB">
        <w:rPr>
          <w:rFonts w:cstheme="minorHAnsi"/>
        </w:rPr>
        <w:t>Clare Price, 0490 252 743</w:t>
      </w:r>
      <w:r w:rsidR="00F47495" w:rsidRPr="00721ADB">
        <w:rPr>
          <w:rFonts w:eastAsia="Times New Roman" w:cstheme="minorHAnsi"/>
          <w:color w:val="000000"/>
          <w:sz w:val="20"/>
          <w:szCs w:val="20"/>
          <w:lang w:eastAsia="en-AU"/>
        </w:rPr>
        <w:t xml:space="preserve"> </w:t>
      </w:r>
    </w:p>
    <w:p w14:paraId="2648306C" w14:textId="39AC3C4C" w:rsidR="00D92D91" w:rsidRPr="00721ADB" w:rsidRDefault="000B0031" w:rsidP="00D92D91">
      <w:pPr>
        <w:rPr>
          <w:rFonts w:eastAsia="Times New Roman" w:cstheme="minorHAnsi"/>
          <w:color w:val="000000"/>
          <w:lang w:eastAsia="en-AU"/>
        </w:rPr>
      </w:pPr>
      <w:r w:rsidRPr="00721ADB">
        <w:rPr>
          <w:rFonts w:cstheme="minorHAnsi"/>
          <w:i/>
          <w:iCs/>
        </w:rPr>
        <w:t>Energy Efficiency Council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D92D91" w:rsidRPr="00721ADB">
        <w:rPr>
          <w:rFonts w:cstheme="minorHAnsi"/>
        </w:rPr>
        <w:t>Luke Menzel, 0433 237 293</w:t>
      </w:r>
    </w:p>
    <w:p w14:paraId="559E31B2" w14:textId="1996ADEA" w:rsidR="00191EFD" w:rsidRPr="00721ADB" w:rsidRDefault="000B0031" w:rsidP="00191EFD">
      <w:pPr>
        <w:rPr>
          <w:rFonts w:eastAsia="Times New Roman" w:cstheme="minorHAnsi"/>
          <w:color w:val="000000"/>
          <w:lang w:eastAsia="en-AU"/>
        </w:rPr>
      </w:pPr>
      <w:r w:rsidRPr="00721ADB">
        <w:rPr>
          <w:rFonts w:cstheme="minorHAnsi"/>
          <w:i/>
          <w:iCs/>
        </w:rPr>
        <w:t>Energy Users' Association of Australia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191EFD" w:rsidRPr="00721ADB">
        <w:rPr>
          <w:rFonts w:cstheme="minorHAnsi"/>
        </w:rPr>
        <w:t>Emily Wood, 0421 042 121</w:t>
      </w:r>
    </w:p>
    <w:p w14:paraId="2EED07E9" w14:textId="5C1A85EA" w:rsidR="00FE6534" w:rsidRPr="00721ADB" w:rsidRDefault="000B0031" w:rsidP="00FE6534">
      <w:pPr>
        <w:rPr>
          <w:rFonts w:eastAsia="Times New Roman" w:cstheme="minorHAnsi"/>
          <w:color w:val="000000"/>
          <w:lang w:eastAsia="en-AU"/>
        </w:rPr>
      </w:pPr>
      <w:r w:rsidRPr="00721ADB">
        <w:rPr>
          <w:rFonts w:cstheme="minorHAnsi"/>
          <w:i/>
          <w:iCs/>
        </w:rPr>
        <w:t>Investor Group on Climate Change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FE6534" w:rsidRPr="00721ADB">
        <w:rPr>
          <w:rFonts w:cstheme="minorHAnsi"/>
        </w:rPr>
        <w:t>Tom Arup, 0402 482 910</w:t>
      </w:r>
      <w:r w:rsidR="00FE6534" w:rsidRPr="00721ADB">
        <w:rPr>
          <w:rFonts w:eastAsia="Times New Roman" w:cstheme="minorHAnsi"/>
          <w:color w:val="000000"/>
          <w:lang w:eastAsia="en-AU"/>
        </w:rPr>
        <w:t xml:space="preserve"> </w:t>
      </w:r>
    </w:p>
    <w:p w14:paraId="429F4316" w14:textId="32C29A93" w:rsidR="00414C7B" w:rsidRPr="00721ADB" w:rsidRDefault="00414C7B" w:rsidP="000B0031">
      <w:pPr>
        <w:rPr>
          <w:rFonts w:cstheme="minorHAnsi"/>
          <w:i/>
          <w:iCs/>
        </w:rPr>
      </w:pPr>
      <w:r w:rsidRPr="00721ADB">
        <w:rPr>
          <w:rFonts w:cstheme="minorHAnsi"/>
          <w:i/>
          <w:iCs/>
        </w:rPr>
        <w:t>Master Electricians Australia</w:t>
      </w:r>
      <w:r w:rsidRPr="00721ADB">
        <w:rPr>
          <w:rFonts w:cstheme="minorHAnsi"/>
          <w:i/>
          <w:iCs/>
        </w:rPr>
        <w:tab/>
      </w:r>
      <w:r w:rsidRPr="00721ADB">
        <w:rPr>
          <w:rFonts w:cstheme="minorHAnsi"/>
          <w:i/>
          <w:iCs/>
        </w:rPr>
        <w:tab/>
      </w:r>
      <w:r w:rsidRPr="00721ADB">
        <w:rPr>
          <w:rFonts w:cstheme="minorHAnsi"/>
          <w:i/>
          <w:iCs/>
        </w:rPr>
        <w:tab/>
      </w:r>
      <w:r w:rsidR="003D7097" w:rsidRPr="00721ADB">
        <w:rPr>
          <w:rFonts w:cstheme="minorHAnsi"/>
        </w:rPr>
        <w:t>Mitch Collier, 0410 768 072</w:t>
      </w:r>
    </w:p>
    <w:p w14:paraId="37EEFFF1" w14:textId="72BFBFC0" w:rsidR="008825CB" w:rsidRPr="00721ADB" w:rsidRDefault="000B0031" w:rsidP="008825CB">
      <w:pPr>
        <w:rPr>
          <w:rFonts w:eastAsia="Times New Roman" w:cstheme="minorHAnsi"/>
          <w:color w:val="000000"/>
          <w:lang w:eastAsia="en-AU"/>
        </w:rPr>
      </w:pPr>
      <w:r w:rsidRPr="00721ADB">
        <w:rPr>
          <w:rFonts w:cstheme="minorHAnsi"/>
          <w:i/>
          <w:iCs/>
        </w:rPr>
        <w:t>Property Council of Australia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8825CB" w:rsidRPr="00721ADB">
        <w:rPr>
          <w:rFonts w:cstheme="minorHAnsi"/>
        </w:rPr>
        <w:t>Matt Francis, 0467 777 220</w:t>
      </w:r>
    </w:p>
    <w:p w14:paraId="042C1A06" w14:textId="1712C45A" w:rsidR="000B0031" w:rsidRPr="00721ADB" w:rsidRDefault="000B0031" w:rsidP="000B0031">
      <w:pPr>
        <w:rPr>
          <w:rFonts w:eastAsia="Times New Roman" w:cstheme="minorHAnsi"/>
          <w:color w:val="000000"/>
          <w:lang w:eastAsia="en-AU"/>
        </w:rPr>
      </w:pPr>
      <w:r w:rsidRPr="00721ADB">
        <w:rPr>
          <w:rFonts w:cstheme="minorHAnsi"/>
          <w:i/>
          <w:iCs/>
        </w:rPr>
        <w:t>St Vincent de Paul Society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845C44" w:rsidRPr="00721ADB">
        <w:rPr>
          <w:rFonts w:cstheme="minorHAnsi"/>
        </w:rPr>
        <w:t>Gavin Dufty, 0439 357 129</w:t>
      </w:r>
    </w:p>
    <w:p w14:paraId="05EFBC20" w14:textId="4871EB51" w:rsidR="005923E9" w:rsidRPr="00721ADB" w:rsidRDefault="000B0031" w:rsidP="000B0031">
      <w:pPr>
        <w:rPr>
          <w:rFonts w:cstheme="minorHAnsi"/>
        </w:rPr>
      </w:pPr>
      <w:r w:rsidRPr="00721ADB">
        <w:rPr>
          <w:rFonts w:cstheme="minorHAnsi"/>
          <w:i/>
          <w:iCs/>
        </w:rPr>
        <w:t>WWF Australia</w:t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C16692" w:rsidRPr="00721ADB">
        <w:rPr>
          <w:rFonts w:cstheme="minorHAnsi"/>
          <w:i/>
          <w:iCs/>
        </w:rPr>
        <w:tab/>
      </w:r>
      <w:r w:rsidR="00EE16FC" w:rsidRPr="00721ADB">
        <w:rPr>
          <w:rFonts w:cstheme="minorHAnsi"/>
        </w:rPr>
        <w:t>Paul Fahy, 0455 528 161</w:t>
      </w:r>
    </w:p>
    <w:sectPr w:rsidR="005923E9" w:rsidRPr="00721ADB" w:rsidSect="00FE3C8F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2A03F" w14:textId="77777777" w:rsidR="000C267A" w:rsidRDefault="000C267A" w:rsidP="001644B7">
      <w:pPr>
        <w:spacing w:after="0" w:line="240" w:lineRule="auto"/>
      </w:pPr>
      <w:r>
        <w:separator/>
      </w:r>
    </w:p>
  </w:endnote>
  <w:endnote w:type="continuationSeparator" w:id="0">
    <w:p w14:paraId="2C8EACB5" w14:textId="77777777" w:rsidR="000C267A" w:rsidRDefault="000C267A" w:rsidP="001644B7">
      <w:pPr>
        <w:spacing w:after="0" w:line="240" w:lineRule="auto"/>
      </w:pPr>
      <w:r>
        <w:continuationSeparator/>
      </w:r>
    </w:p>
  </w:endnote>
  <w:endnote w:type="continuationNotice" w:id="1">
    <w:p w14:paraId="09DA19D6" w14:textId="77777777" w:rsidR="000C267A" w:rsidRDefault="000C2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02E7" w14:textId="77777777" w:rsidR="000C267A" w:rsidRDefault="000C267A" w:rsidP="001644B7">
      <w:pPr>
        <w:spacing w:after="0" w:line="240" w:lineRule="auto"/>
      </w:pPr>
      <w:r>
        <w:separator/>
      </w:r>
    </w:p>
  </w:footnote>
  <w:footnote w:type="continuationSeparator" w:id="0">
    <w:p w14:paraId="56C12437" w14:textId="77777777" w:rsidR="000C267A" w:rsidRDefault="000C267A" w:rsidP="001644B7">
      <w:pPr>
        <w:spacing w:after="0" w:line="240" w:lineRule="auto"/>
      </w:pPr>
      <w:r>
        <w:continuationSeparator/>
      </w:r>
    </w:p>
  </w:footnote>
  <w:footnote w:type="continuationNotice" w:id="1">
    <w:p w14:paraId="25E318AB" w14:textId="77777777" w:rsidR="000C267A" w:rsidRDefault="000C26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971"/>
    <w:multiLevelType w:val="hybridMultilevel"/>
    <w:tmpl w:val="39EEDEC0"/>
    <w:lvl w:ilvl="0" w:tplc="9D5C4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3724"/>
    <w:multiLevelType w:val="hybridMultilevel"/>
    <w:tmpl w:val="7B2CD15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A6B7B"/>
    <w:multiLevelType w:val="hybridMultilevel"/>
    <w:tmpl w:val="B16625C8"/>
    <w:lvl w:ilvl="0" w:tplc="0F2EA5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01"/>
    <w:rsid w:val="00006B94"/>
    <w:rsid w:val="000173E4"/>
    <w:rsid w:val="00022BCF"/>
    <w:rsid w:val="00057B07"/>
    <w:rsid w:val="000639DA"/>
    <w:rsid w:val="00070D0F"/>
    <w:rsid w:val="0008114A"/>
    <w:rsid w:val="00087887"/>
    <w:rsid w:val="000942B8"/>
    <w:rsid w:val="000A0D0D"/>
    <w:rsid w:val="000A573A"/>
    <w:rsid w:val="000B0031"/>
    <w:rsid w:val="000B1075"/>
    <w:rsid w:val="000B7BF8"/>
    <w:rsid w:val="000C267A"/>
    <w:rsid w:val="000D341E"/>
    <w:rsid w:val="000D5298"/>
    <w:rsid w:val="000E6A52"/>
    <w:rsid w:val="000F083A"/>
    <w:rsid w:val="000F4E0E"/>
    <w:rsid w:val="00100CBE"/>
    <w:rsid w:val="00107B86"/>
    <w:rsid w:val="0012004C"/>
    <w:rsid w:val="0013506F"/>
    <w:rsid w:val="001477B9"/>
    <w:rsid w:val="001644B7"/>
    <w:rsid w:val="001671F7"/>
    <w:rsid w:val="001673EA"/>
    <w:rsid w:val="00173F1B"/>
    <w:rsid w:val="00177DCF"/>
    <w:rsid w:val="00191EFD"/>
    <w:rsid w:val="001A6357"/>
    <w:rsid w:val="001D74C9"/>
    <w:rsid w:val="001E7256"/>
    <w:rsid w:val="002052A6"/>
    <w:rsid w:val="00207026"/>
    <w:rsid w:val="0021150D"/>
    <w:rsid w:val="00225284"/>
    <w:rsid w:val="00235711"/>
    <w:rsid w:val="00255399"/>
    <w:rsid w:val="00270DC1"/>
    <w:rsid w:val="00295C69"/>
    <w:rsid w:val="002A14BE"/>
    <w:rsid w:val="002A79F2"/>
    <w:rsid w:val="002B0C11"/>
    <w:rsid w:val="002B133C"/>
    <w:rsid w:val="002B7896"/>
    <w:rsid w:val="002D1816"/>
    <w:rsid w:val="002D507B"/>
    <w:rsid w:val="002F2C24"/>
    <w:rsid w:val="002F5B83"/>
    <w:rsid w:val="00300E70"/>
    <w:rsid w:val="0030455F"/>
    <w:rsid w:val="00311F05"/>
    <w:rsid w:val="003268D0"/>
    <w:rsid w:val="00340EBD"/>
    <w:rsid w:val="003576B8"/>
    <w:rsid w:val="00365D4E"/>
    <w:rsid w:val="00373133"/>
    <w:rsid w:val="00385CB8"/>
    <w:rsid w:val="003869AC"/>
    <w:rsid w:val="00386E6C"/>
    <w:rsid w:val="00387C87"/>
    <w:rsid w:val="0039303B"/>
    <w:rsid w:val="0039463C"/>
    <w:rsid w:val="00396583"/>
    <w:rsid w:val="003B30FC"/>
    <w:rsid w:val="003C2673"/>
    <w:rsid w:val="003D07CB"/>
    <w:rsid w:val="003D0D91"/>
    <w:rsid w:val="003D7097"/>
    <w:rsid w:val="003F0D97"/>
    <w:rsid w:val="00404CDF"/>
    <w:rsid w:val="00411829"/>
    <w:rsid w:val="00414C7B"/>
    <w:rsid w:val="00416B46"/>
    <w:rsid w:val="004209E0"/>
    <w:rsid w:val="00431907"/>
    <w:rsid w:val="00444508"/>
    <w:rsid w:val="00453A4C"/>
    <w:rsid w:val="00461F06"/>
    <w:rsid w:val="004B2D46"/>
    <w:rsid w:val="004B443D"/>
    <w:rsid w:val="004B5885"/>
    <w:rsid w:val="004C079A"/>
    <w:rsid w:val="004C525D"/>
    <w:rsid w:val="004C7D0C"/>
    <w:rsid w:val="004D36B7"/>
    <w:rsid w:val="004F176D"/>
    <w:rsid w:val="004F2A1E"/>
    <w:rsid w:val="004F5F9E"/>
    <w:rsid w:val="004F6FA2"/>
    <w:rsid w:val="005142DA"/>
    <w:rsid w:val="00521C36"/>
    <w:rsid w:val="005222C5"/>
    <w:rsid w:val="0053223E"/>
    <w:rsid w:val="005379C8"/>
    <w:rsid w:val="005417A0"/>
    <w:rsid w:val="005455CD"/>
    <w:rsid w:val="00562C42"/>
    <w:rsid w:val="00564DF8"/>
    <w:rsid w:val="00565FC2"/>
    <w:rsid w:val="00567005"/>
    <w:rsid w:val="00591607"/>
    <w:rsid w:val="005923E9"/>
    <w:rsid w:val="00593849"/>
    <w:rsid w:val="00595842"/>
    <w:rsid w:val="005A08AA"/>
    <w:rsid w:val="005B5403"/>
    <w:rsid w:val="005B6D1D"/>
    <w:rsid w:val="005D029B"/>
    <w:rsid w:val="005D0E5F"/>
    <w:rsid w:val="005E0952"/>
    <w:rsid w:val="005E433E"/>
    <w:rsid w:val="005F2C03"/>
    <w:rsid w:val="0060591A"/>
    <w:rsid w:val="00606A3B"/>
    <w:rsid w:val="00606F98"/>
    <w:rsid w:val="00611F07"/>
    <w:rsid w:val="0063281D"/>
    <w:rsid w:val="006339F8"/>
    <w:rsid w:val="006402E8"/>
    <w:rsid w:val="006631FE"/>
    <w:rsid w:val="006A14F2"/>
    <w:rsid w:val="006A3C4D"/>
    <w:rsid w:val="006B5762"/>
    <w:rsid w:val="006C59F6"/>
    <w:rsid w:val="006C61F8"/>
    <w:rsid w:val="006D2571"/>
    <w:rsid w:val="006D558E"/>
    <w:rsid w:val="006D7421"/>
    <w:rsid w:val="006E2098"/>
    <w:rsid w:val="006F390E"/>
    <w:rsid w:val="006F62E5"/>
    <w:rsid w:val="00703D14"/>
    <w:rsid w:val="00721ADB"/>
    <w:rsid w:val="007248E1"/>
    <w:rsid w:val="0073689D"/>
    <w:rsid w:val="00736A92"/>
    <w:rsid w:val="00743D88"/>
    <w:rsid w:val="00745BD7"/>
    <w:rsid w:val="00751414"/>
    <w:rsid w:val="0075398A"/>
    <w:rsid w:val="00785DF6"/>
    <w:rsid w:val="00786F12"/>
    <w:rsid w:val="007949D7"/>
    <w:rsid w:val="007A08E2"/>
    <w:rsid w:val="007A1CE6"/>
    <w:rsid w:val="007B2F42"/>
    <w:rsid w:val="007B384C"/>
    <w:rsid w:val="007C4063"/>
    <w:rsid w:val="007C634A"/>
    <w:rsid w:val="007F690C"/>
    <w:rsid w:val="00817F56"/>
    <w:rsid w:val="00837133"/>
    <w:rsid w:val="00840B9F"/>
    <w:rsid w:val="00845C44"/>
    <w:rsid w:val="008460B2"/>
    <w:rsid w:val="00855BF0"/>
    <w:rsid w:val="008619EB"/>
    <w:rsid w:val="00863464"/>
    <w:rsid w:val="008825CB"/>
    <w:rsid w:val="008A3EBB"/>
    <w:rsid w:val="008A5A3E"/>
    <w:rsid w:val="008A620B"/>
    <w:rsid w:val="008D5007"/>
    <w:rsid w:val="008F2C54"/>
    <w:rsid w:val="00903387"/>
    <w:rsid w:val="0091500D"/>
    <w:rsid w:val="0091708C"/>
    <w:rsid w:val="00917B05"/>
    <w:rsid w:val="00930A2F"/>
    <w:rsid w:val="00933F94"/>
    <w:rsid w:val="00971B17"/>
    <w:rsid w:val="0098321E"/>
    <w:rsid w:val="009A5CBF"/>
    <w:rsid w:val="009A6EAC"/>
    <w:rsid w:val="009B469A"/>
    <w:rsid w:val="009D0ECF"/>
    <w:rsid w:val="009D31F0"/>
    <w:rsid w:val="00A0049E"/>
    <w:rsid w:val="00A04406"/>
    <w:rsid w:val="00A10611"/>
    <w:rsid w:val="00A132D4"/>
    <w:rsid w:val="00A2034B"/>
    <w:rsid w:val="00A2766F"/>
    <w:rsid w:val="00A27795"/>
    <w:rsid w:val="00A27F62"/>
    <w:rsid w:val="00A36581"/>
    <w:rsid w:val="00A37E72"/>
    <w:rsid w:val="00A432B0"/>
    <w:rsid w:val="00A47085"/>
    <w:rsid w:val="00A52B63"/>
    <w:rsid w:val="00A77249"/>
    <w:rsid w:val="00A85A8E"/>
    <w:rsid w:val="00A90750"/>
    <w:rsid w:val="00A952AB"/>
    <w:rsid w:val="00AB2740"/>
    <w:rsid w:val="00AC4BC3"/>
    <w:rsid w:val="00AE64C8"/>
    <w:rsid w:val="00B01F9A"/>
    <w:rsid w:val="00B04280"/>
    <w:rsid w:val="00B063EF"/>
    <w:rsid w:val="00B06C23"/>
    <w:rsid w:val="00B13911"/>
    <w:rsid w:val="00B13BBA"/>
    <w:rsid w:val="00B270E5"/>
    <w:rsid w:val="00B33D0A"/>
    <w:rsid w:val="00B37D98"/>
    <w:rsid w:val="00B531B6"/>
    <w:rsid w:val="00B678E7"/>
    <w:rsid w:val="00B8096F"/>
    <w:rsid w:val="00B976BB"/>
    <w:rsid w:val="00BB69A6"/>
    <w:rsid w:val="00BC35F3"/>
    <w:rsid w:val="00BD68CF"/>
    <w:rsid w:val="00BE3555"/>
    <w:rsid w:val="00BF7930"/>
    <w:rsid w:val="00C01E2D"/>
    <w:rsid w:val="00C10DFD"/>
    <w:rsid w:val="00C142B8"/>
    <w:rsid w:val="00C16692"/>
    <w:rsid w:val="00C16887"/>
    <w:rsid w:val="00C258C1"/>
    <w:rsid w:val="00C3025F"/>
    <w:rsid w:val="00C51594"/>
    <w:rsid w:val="00C51CDB"/>
    <w:rsid w:val="00C53173"/>
    <w:rsid w:val="00C66D8A"/>
    <w:rsid w:val="00C70DBC"/>
    <w:rsid w:val="00C75358"/>
    <w:rsid w:val="00C75D50"/>
    <w:rsid w:val="00C820C1"/>
    <w:rsid w:val="00CB43C2"/>
    <w:rsid w:val="00CD6D27"/>
    <w:rsid w:val="00CE1A5A"/>
    <w:rsid w:val="00CE49C8"/>
    <w:rsid w:val="00CF7167"/>
    <w:rsid w:val="00D0658B"/>
    <w:rsid w:val="00D13176"/>
    <w:rsid w:val="00D16318"/>
    <w:rsid w:val="00D27DC1"/>
    <w:rsid w:val="00D33C06"/>
    <w:rsid w:val="00D36FB0"/>
    <w:rsid w:val="00D572C5"/>
    <w:rsid w:val="00D703D0"/>
    <w:rsid w:val="00D76428"/>
    <w:rsid w:val="00D90E47"/>
    <w:rsid w:val="00D92D91"/>
    <w:rsid w:val="00D930ED"/>
    <w:rsid w:val="00DA25A2"/>
    <w:rsid w:val="00DB366E"/>
    <w:rsid w:val="00DC0CBC"/>
    <w:rsid w:val="00DC18E6"/>
    <w:rsid w:val="00DC48B5"/>
    <w:rsid w:val="00DD46F2"/>
    <w:rsid w:val="00DE3CFF"/>
    <w:rsid w:val="00DF33A2"/>
    <w:rsid w:val="00E06A1F"/>
    <w:rsid w:val="00E20B5E"/>
    <w:rsid w:val="00E27514"/>
    <w:rsid w:val="00E30A2F"/>
    <w:rsid w:val="00E3272A"/>
    <w:rsid w:val="00E3378C"/>
    <w:rsid w:val="00E40561"/>
    <w:rsid w:val="00E4177B"/>
    <w:rsid w:val="00E42ABA"/>
    <w:rsid w:val="00E42FA1"/>
    <w:rsid w:val="00E43AD2"/>
    <w:rsid w:val="00E533A5"/>
    <w:rsid w:val="00E624D9"/>
    <w:rsid w:val="00E6383C"/>
    <w:rsid w:val="00E67F93"/>
    <w:rsid w:val="00E7279C"/>
    <w:rsid w:val="00E73317"/>
    <w:rsid w:val="00E94E16"/>
    <w:rsid w:val="00E94E53"/>
    <w:rsid w:val="00EA11A0"/>
    <w:rsid w:val="00EB0022"/>
    <w:rsid w:val="00EB4B18"/>
    <w:rsid w:val="00EC2504"/>
    <w:rsid w:val="00ED26F6"/>
    <w:rsid w:val="00ED68F4"/>
    <w:rsid w:val="00EE066F"/>
    <w:rsid w:val="00EE16FC"/>
    <w:rsid w:val="00EE405F"/>
    <w:rsid w:val="00F01211"/>
    <w:rsid w:val="00F13FD4"/>
    <w:rsid w:val="00F173CC"/>
    <w:rsid w:val="00F22815"/>
    <w:rsid w:val="00F3106D"/>
    <w:rsid w:val="00F4435C"/>
    <w:rsid w:val="00F47495"/>
    <w:rsid w:val="00F70438"/>
    <w:rsid w:val="00F84576"/>
    <w:rsid w:val="00FB07DE"/>
    <w:rsid w:val="00FB25AB"/>
    <w:rsid w:val="00FB2D28"/>
    <w:rsid w:val="00FB7977"/>
    <w:rsid w:val="00FC5FFC"/>
    <w:rsid w:val="00FD0C89"/>
    <w:rsid w:val="00FE2E01"/>
    <w:rsid w:val="00FE3C8F"/>
    <w:rsid w:val="00FE5664"/>
    <w:rsid w:val="00FE581B"/>
    <w:rsid w:val="00FE6534"/>
    <w:rsid w:val="031BFB81"/>
    <w:rsid w:val="074EB691"/>
    <w:rsid w:val="0752FAFD"/>
    <w:rsid w:val="082A8649"/>
    <w:rsid w:val="0BC51F38"/>
    <w:rsid w:val="0E76BF69"/>
    <w:rsid w:val="0EC3DD3B"/>
    <w:rsid w:val="13EA3FBD"/>
    <w:rsid w:val="15896532"/>
    <w:rsid w:val="159EB56F"/>
    <w:rsid w:val="16A5749A"/>
    <w:rsid w:val="1773EF3B"/>
    <w:rsid w:val="19A696AF"/>
    <w:rsid w:val="1A255A4A"/>
    <w:rsid w:val="1CE0BD76"/>
    <w:rsid w:val="1D4A5789"/>
    <w:rsid w:val="1EAF7151"/>
    <w:rsid w:val="2298CBF9"/>
    <w:rsid w:val="23CDAF4E"/>
    <w:rsid w:val="25DECD3A"/>
    <w:rsid w:val="26ADD945"/>
    <w:rsid w:val="27B89B85"/>
    <w:rsid w:val="28B582CF"/>
    <w:rsid w:val="28D21BD7"/>
    <w:rsid w:val="2CE8C163"/>
    <w:rsid w:val="2E322FCA"/>
    <w:rsid w:val="30BA936D"/>
    <w:rsid w:val="34439A37"/>
    <w:rsid w:val="34F6EA50"/>
    <w:rsid w:val="35BC024C"/>
    <w:rsid w:val="37CC3E25"/>
    <w:rsid w:val="381C5556"/>
    <w:rsid w:val="45BDEFFB"/>
    <w:rsid w:val="47764BFC"/>
    <w:rsid w:val="4926D533"/>
    <w:rsid w:val="4C798720"/>
    <w:rsid w:val="4D4A36F1"/>
    <w:rsid w:val="4D6DFAC7"/>
    <w:rsid w:val="4E6807E5"/>
    <w:rsid w:val="4F308469"/>
    <w:rsid w:val="4F6DD304"/>
    <w:rsid w:val="4F90C7B7"/>
    <w:rsid w:val="4FAA79E6"/>
    <w:rsid w:val="51077578"/>
    <w:rsid w:val="54C15B7C"/>
    <w:rsid w:val="55F9CA1A"/>
    <w:rsid w:val="5773EE0A"/>
    <w:rsid w:val="57992841"/>
    <w:rsid w:val="594A5ED9"/>
    <w:rsid w:val="596832D1"/>
    <w:rsid w:val="5A89DA19"/>
    <w:rsid w:val="5F2A6367"/>
    <w:rsid w:val="5F34680D"/>
    <w:rsid w:val="5F64A2F0"/>
    <w:rsid w:val="5F82BEB0"/>
    <w:rsid w:val="600F5B81"/>
    <w:rsid w:val="604A520F"/>
    <w:rsid w:val="62D24625"/>
    <w:rsid w:val="6366D044"/>
    <w:rsid w:val="65242C71"/>
    <w:rsid w:val="6A66856E"/>
    <w:rsid w:val="6D1702DD"/>
    <w:rsid w:val="6DA6EC0D"/>
    <w:rsid w:val="6DCF03AE"/>
    <w:rsid w:val="6F3612BC"/>
    <w:rsid w:val="7092024D"/>
    <w:rsid w:val="74BAB9D7"/>
    <w:rsid w:val="763A2DE6"/>
    <w:rsid w:val="77E7599E"/>
    <w:rsid w:val="78281387"/>
    <w:rsid w:val="7958E89A"/>
    <w:rsid w:val="7E371207"/>
    <w:rsid w:val="7F22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876E2"/>
  <w15:chartTrackingRefBased/>
  <w15:docId w15:val="{F5B4217B-0EB5-4AFB-B7A2-BDD991D4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B8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64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B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64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B7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47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7B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7B9"/>
    <w:rPr>
      <w:b/>
      <w:bCs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14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tiff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81FF529A99B48A3CAD608C3D50357" ma:contentTypeVersion="4" ma:contentTypeDescription="Create a new document." ma:contentTypeScope="" ma:versionID="650455824c886d63b7b588e2efc93034">
  <xsd:schema xmlns:xsd="http://www.w3.org/2001/XMLSchema" xmlns:xs="http://www.w3.org/2001/XMLSchema" xmlns:p="http://schemas.microsoft.com/office/2006/metadata/properties" xmlns:ns2="ef552430-03da-4fd5-a1b0-0c22e8e5b043" targetNamespace="http://schemas.microsoft.com/office/2006/metadata/properties" ma:root="true" ma:fieldsID="c0ffc30a4a29cb149e979a42eb2ed1b4" ns2:_="">
    <xsd:import namespace="ef552430-03da-4fd5-a1b0-0c22e8e5b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52430-03da-4fd5-a1b0-0c22e8e5b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BB5A-7791-4E98-A5D7-02764827B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3C2A2-C689-41B0-8C6F-A216FF25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52430-03da-4fd5-a1b0-0c22e8e5b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08564-4298-4DA5-A510-CA23F83A9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326AE-57E2-42C8-BB2D-EC12E61F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Tennant Reed</dc:creator>
  <cp:keywords/>
  <dc:description/>
  <cp:lastModifiedBy>Cameron Lum</cp:lastModifiedBy>
  <cp:revision>2</cp:revision>
  <dcterms:created xsi:type="dcterms:W3CDTF">2020-05-29T03:35:00Z</dcterms:created>
  <dcterms:modified xsi:type="dcterms:W3CDTF">2020-05-29T03:35:00Z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0x010100A3D81FF529A99B48A3CAD608C3D50357</vt:lpwstr>
  </property>
</Properties>
</file>